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BF54734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68D72C8B" w14:textId="77777777" w:rsidR="002D5AAC" w:rsidRDefault="002D5AAC" w:rsidP="00877514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1D4B4C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82704EF" w14:textId="18FFD1BF" w:rsidR="002D5AAC" w:rsidRDefault="00877514" w:rsidP="00877514">
            <w:pPr>
              <w:jc w:val="right"/>
            </w:pPr>
            <w:r w:rsidRPr="00877514">
              <w:rPr>
                <w:sz w:val="40"/>
              </w:rPr>
              <w:t>ECE</w:t>
            </w:r>
            <w:r>
              <w:t>/TRANS/WP.29/2024/53</w:t>
            </w:r>
          </w:p>
        </w:tc>
      </w:tr>
      <w:tr w:rsidR="002D5AAC" w14:paraId="1EEFE031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BB94B77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BEEE708" wp14:editId="0721D54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90E93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D14D17" w14:textId="77777777" w:rsidR="002D5AAC" w:rsidRDefault="00877514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E5AD4D4" w14:textId="77777777" w:rsidR="00877514" w:rsidRDefault="00877514" w:rsidP="008775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11 April 2024</w:t>
            </w:r>
          </w:p>
          <w:p w14:paraId="16D189A0" w14:textId="77777777" w:rsidR="00877514" w:rsidRDefault="00877514" w:rsidP="008775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484F229E" w14:textId="3DA0262D" w:rsidR="00877514" w:rsidRPr="008D53B6" w:rsidRDefault="00877514" w:rsidP="0087751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737874A4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E9B6D8" w14:textId="77777777" w:rsidR="00877514" w:rsidRPr="007E63EF" w:rsidRDefault="00877514" w:rsidP="00877514">
      <w:pPr>
        <w:spacing w:before="120"/>
        <w:rPr>
          <w:sz w:val="28"/>
          <w:szCs w:val="28"/>
        </w:rPr>
      </w:pPr>
      <w:r w:rsidRPr="007E63EF">
        <w:rPr>
          <w:sz w:val="28"/>
          <w:szCs w:val="28"/>
        </w:rPr>
        <w:t>Комитет по внутреннему транспорту</w:t>
      </w:r>
    </w:p>
    <w:p w14:paraId="16186585" w14:textId="77777777" w:rsidR="00877514" w:rsidRPr="007E63EF" w:rsidRDefault="00877514" w:rsidP="00877514">
      <w:pPr>
        <w:spacing w:before="120" w:after="120"/>
        <w:rPr>
          <w:b/>
          <w:bCs/>
          <w:sz w:val="24"/>
          <w:szCs w:val="24"/>
        </w:rPr>
      </w:pPr>
      <w:r w:rsidRPr="007E63EF">
        <w:rPr>
          <w:b/>
          <w:bCs/>
          <w:sz w:val="24"/>
          <w:szCs w:val="24"/>
        </w:rPr>
        <w:t>Всемирный форум для согласования правил</w:t>
      </w:r>
      <w:r w:rsidRPr="007E63EF">
        <w:rPr>
          <w:b/>
          <w:bCs/>
          <w:sz w:val="24"/>
          <w:szCs w:val="24"/>
        </w:rPr>
        <w:br/>
        <w:t>в области транспортных средств</w:t>
      </w:r>
    </w:p>
    <w:p w14:paraId="40FB6C45" w14:textId="77777777" w:rsidR="00877514" w:rsidRPr="007E63EF" w:rsidRDefault="00877514" w:rsidP="00877514">
      <w:pPr>
        <w:spacing w:before="120"/>
        <w:rPr>
          <w:b/>
        </w:rPr>
      </w:pPr>
      <w:r w:rsidRPr="007E63EF">
        <w:rPr>
          <w:b/>
        </w:rPr>
        <w:t>Сто девяносто третья сессия</w:t>
      </w:r>
    </w:p>
    <w:p w14:paraId="08755B73" w14:textId="77777777" w:rsidR="00877514" w:rsidRPr="007E63EF" w:rsidRDefault="00877514" w:rsidP="00877514">
      <w:r w:rsidRPr="007E63EF">
        <w:t>Женева, 25–28 июня 2024 года</w:t>
      </w:r>
    </w:p>
    <w:p w14:paraId="19421017" w14:textId="77777777" w:rsidR="00877514" w:rsidRPr="007E63EF" w:rsidRDefault="00877514" w:rsidP="00877514">
      <w:r w:rsidRPr="007E63EF">
        <w:t xml:space="preserve">Пункт 4.7.9 </w:t>
      </w:r>
      <w:r w:rsidRPr="007E63EF">
        <w:rPr>
          <w:shd w:val="clear" w:color="auto" w:fill="FFFFFF"/>
        </w:rPr>
        <w:t>предварительной повестки дня</w:t>
      </w:r>
    </w:p>
    <w:p w14:paraId="166FF682" w14:textId="77777777" w:rsidR="00877514" w:rsidRPr="007E63EF" w:rsidRDefault="00877514" w:rsidP="00877514">
      <w:pPr>
        <w:rPr>
          <w:b/>
        </w:rPr>
      </w:pPr>
      <w:r w:rsidRPr="007E63EF">
        <w:rPr>
          <w:b/>
        </w:rPr>
        <w:t>Соглашение 1958 года:</w:t>
      </w:r>
    </w:p>
    <w:p w14:paraId="60509CE3" w14:textId="77777777" w:rsidR="00877514" w:rsidRPr="007E63EF" w:rsidRDefault="00877514" w:rsidP="00877514">
      <w:pPr>
        <w:ind w:right="4819"/>
        <w:rPr>
          <w:b/>
        </w:rPr>
      </w:pPr>
      <w:r w:rsidRPr="007E63EF">
        <w:rPr>
          <w:b/>
        </w:rPr>
        <w:t>Рассмотрение проектов поправок к существующим правилам ООН, представленных GRPE</w:t>
      </w:r>
    </w:p>
    <w:p w14:paraId="0F9F8B22" w14:textId="3A8E0073" w:rsidR="00877514" w:rsidRPr="007E63EF" w:rsidRDefault="00877514" w:rsidP="00877514">
      <w:pPr>
        <w:pStyle w:val="HChG"/>
        <w:ind w:left="1124" w:right="1138" w:firstLine="0"/>
        <w:rPr>
          <w:szCs w:val="28"/>
        </w:rPr>
      </w:pPr>
      <w:r w:rsidRPr="007E63EF">
        <w:rPr>
          <w:szCs w:val="28"/>
          <w:shd w:val="clear" w:color="auto" w:fill="FFFFFF"/>
        </w:rPr>
        <w:t xml:space="preserve">Предложение по дополнению 13 к поправкам серии 01 </w:t>
      </w:r>
      <w:r>
        <w:rPr>
          <w:szCs w:val="28"/>
          <w:shd w:val="clear" w:color="auto" w:fill="FFFFFF"/>
        </w:rPr>
        <w:br/>
      </w:r>
      <w:r w:rsidRPr="007E63EF">
        <w:rPr>
          <w:szCs w:val="28"/>
          <w:shd w:val="clear" w:color="auto" w:fill="FFFFFF"/>
        </w:rPr>
        <w:t>к Правилам № 101 ООН (выбросы CO</w:t>
      </w:r>
      <w:r w:rsidRPr="007E63EF">
        <w:rPr>
          <w:szCs w:val="28"/>
          <w:shd w:val="clear" w:color="auto" w:fill="FFFFFF"/>
          <w:vertAlign w:val="subscript"/>
        </w:rPr>
        <w:t>2</w:t>
      </w:r>
      <w:r w:rsidRPr="007E63EF">
        <w:rPr>
          <w:szCs w:val="28"/>
          <w:shd w:val="clear" w:color="auto" w:fill="FFFFFF"/>
        </w:rPr>
        <w:t>/расход топлива)</w:t>
      </w:r>
    </w:p>
    <w:p w14:paraId="76A94295" w14:textId="78CC6104" w:rsidR="00877514" w:rsidRPr="007E63EF" w:rsidRDefault="00877514" w:rsidP="00877514">
      <w:pPr>
        <w:pStyle w:val="H1G"/>
        <w:rPr>
          <w:szCs w:val="24"/>
        </w:rPr>
      </w:pPr>
      <w:r w:rsidRPr="007E63EF">
        <w:tab/>
      </w:r>
      <w:r w:rsidRPr="007E63EF">
        <w:tab/>
      </w:r>
      <w:r w:rsidRPr="007E63EF">
        <w:rPr>
          <w:szCs w:val="24"/>
          <w:shd w:val="clear" w:color="auto" w:fill="FFFFFF"/>
        </w:rPr>
        <w:t xml:space="preserve">Представлено Рабочей группой по проблемам энергии </w:t>
      </w:r>
      <w:r>
        <w:rPr>
          <w:szCs w:val="24"/>
          <w:shd w:val="clear" w:color="auto" w:fill="FFFFFF"/>
        </w:rPr>
        <w:br/>
      </w:r>
      <w:r w:rsidRPr="007E63EF">
        <w:rPr>
          <w:szCs w:val="24"/>
          <w:shd w:val="clear" w:color="auto" w:fill="FFFFFF"/>
        </w:rPr>
        <w:t>и загрязнения окружающей среды</w:t>
      </w:r>
      <w:r w:rsidRPr="00877514">
        <w:rPr>
          <w:b w:val="0"/>
          <w:bCs/>
          <w:sz w:val="20"/>
        </w:rPr>
        <w:footnoteReference w:customMarkFollows="1" w:id="1"/>
        <w:t>*</w:t>
      </w:r>
    </w:p>
    <w:p w14:paraId="566C46EA" w14:textId="3821C8F0" w:rsidR="00877514" w:rsidRPr="007E63EF" w:rsidRDefault="00877514" w:rsidP="00877514">
      <w:pPr>
        <w:pStyle w:val="SingleTxtG"/>
        <w:ind w:firstLine="567"/>
        <w:rPr>
          <w:shd w:val="clear" w:color="auto" w:fill="FFFFFF"/>
        </w:rPr>
      </w:pPr>
      <w:r w:rsidRPr="007E63EF">
        <w:rPr>
          <w:shd w:val="clear" w:color="auto" w:fill="FFFFFF"/>
        </w:rPr>
        <w:t>Воспроизведенный ниже текст был принят Рабочей группой по проблемам энергии и загрязнения окружающей среды (</w:t>
      </w:r>
      <w:r w:rsidRPr="007E63EF">
        <w:rPr>
          <w:lang w:val="en-US"/>
        </w:rPr>
        <w:t>GRPE</w:t>
      </w:r>
      <w:r w:rsidRPr="007E63EF">
        <w:rPr>
          <w:shd w:val="clear" w:color="auto" w:fill="FFFFFF"/>
        </w:rPr>
        <w:t>) на ее девяностой сессии (</w:t>
      </w:r>
      <w:r w:rsidRPr="007E63EF">
        <w:rPr>
          <w:lang w:val="en-US"/>
        </w:rPr>
        <w:t>ECE</w:t>
      </w:r>
      <w:r w:rsidRPr="007E63EF">
        <w:t>/</w:t>
      </w:r>
      <w:r w:rsidRPr="007E63EF">
        <w:rPr>
          <w:lang w:val="en-US"/>
        </w:rPr>
        <w:t>TRANS</w:t>
      </w:r>
      <w:r w:rsidRPr="007E63EF">
        <w:t>/</w:t>
      </w:r>
      <w:r w:rsidRPr="007E63EF">
        <w:rPr>
          <w:lang w:val="en-US"/>
        </w:rPr>
        <w:t>WP</w:t>
      </w:r>
      <w:r w:rsidRPr="007E63EF">
        <w:t>.29/</w:t>
      </w:r>
      <w:r w:rsidRPr="007E63EF">
        <w:rPr>
          <w:lang w:val="en-US"/>
        </w:rPr>
        <w:t>GRPE</w:t>
      </w:r>
      <w:r w:rsidRPr="007E63EF">
        <w:t>/90</w:t>
      </w:r>
      <w:r w:rsidRPr="007E63EF">
        <w:rPr>
          <w:shd w:val="clear" w:color="auto" w:fill="FFFFFF"/>
        </w:rPr>
        <w:t xml:space="preserve">, пункт 20). В его основу положены документы </w:t>
      </w:r>
      <w:r w:rsidRPr="007E63EF">
        <w:rPr>
          <w:bCs/>
        </w:rPr>
        <w:t>ECE/TRANS/WP.29/GRPE/2024/9 и GRPE-90-39</w:t>
      </w:r>
      <w:r w:rsidRPr="007E63EF">
        <w:rPr>
          <w:shd w:val="clear" w:color="auto" w:fill="FFFFFF"/>
        </w:rPr>
        <w:t xml:space="preserve"> с поправками, содержащимися в приложении </w:t>
      </w:r>
      <w:r w:rsidRPr="007E63EF">
        <w:rPr>
          <w:bCs/>
        </w:rPr>
        <w:t>VIII</w:t>
      </w:r>
      <w:r w:rsidRPr="007E63EF">
        <w:rPr>
          <w:shd w:val="clear" w:color="auto" w:fill="FFFFFF"/>
        </w:rPr>
        <w:t xml:space="preserve"> к докладу о работе сессии.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</w:t>
      </w:r>
      <w:r>
        <w:rPr>
          <w:shd w:val="clear" w:color="auto" w:fill="FFFFFF"/>
          <w:lang w:val="en-US"/>
        </w:rPr>
        <w:t> </w:t>
      </w:r>
      <w:r w:rsidRPr="007E63EF">
        <w:rPr>
          <w:shd w:val="clear" w:color="auto" w:fill="FFFFFF"/>
        </w:rPr>
        <w:t>года.</w:t>
      </w:r>
    </w:p>
    <w:p w14:paraId="1BE2DB70" w14:textId="77777777" w:rsidR="00877514" w:rsidRPr="007E63EF" w:rsidRDefault="00877514" w:rsidP="00877514">
      <w:pPr>
        <w:spacing w:after="120" w:line="240" w:lineRule="auto"/>
        <w:ind w:left="2268" w:right="1134" w:hanging="1134"/>
        <w:jc w:val="both"/>
      </w:pPr>
      <w:r w:rsidRPr="007E63EF">
        <w:br w:type="page"/>
      </w:r>
    </w:p>
    <w:p w14:paraId="6909272F" w14:textId="77777777" w:rsidR="00877514" w:rsidRPr="007E63EF" w:rsidRDefault="00877514" w:rsidP="00877514">
      <w:pPr>
        <w:pStyle w:val="SingleTxtG"/>
      </w:pPr>
      <w:r w:rsidRPr="007E63EF">
        <w:rPr>
          <w:i/>
          <w:iCs/>
        </w:rPr>
        <w:lastRenderedPageBreak/>
        <w:t>Пункт 9.4.3.1</w:t>
      </w:r>
      <w:r w:rsidRPr="007E63EF">
        <w:t xml:space="preserve"> изменить следующим образом:</w:t>
      </w:r>
    </w:p>
    <w:p w14:paraId="1F312B90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7E63EF">
        <w:t xml:space="preserve">«9.4.3.1 </w:t>
      </w:r>
      <w:r w:rsidRPr="007E63EF">
        <w:tab/>
        <w:t>Подготовку транспортного средства осуществляют в соответствии с процедурой по пункту 5.2.2 приложения 7 к настоящим Правилам.</w:t>
      </w:r>
    </w:p>
    <w:p w14:paraId="3C6105F5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 xml:space="preserve">Для целей процедуры проверки соответствия производства граничный критерий, установленный для испытания типа 1 согласно пункту 5.2.3.1 приложения 7 к настоящим Правилам (процедура с прогоном по последовательным циклам) и пункту 5.2.3.2 приложения 7 к настоящим Правилам (сокращенная процедура испытания), заменяют нижеследующим образом. </w:t>
      </w:r>
    </w:p>
    <w:p w14:paraId="712E6F41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>Граничный критерий для целей процедуры проверки соответствия производства достигается после завершения первых двух испытательных циклов НЕЕЦ в соответствии с пунктом 2 приложения 7 к настоящим Правилам».</w:t>
      </w:r>
    </w:p>
    <w:p w14:paraId="1D6EF5FE" w14:textId="77777777" w:rsidR="00877514" w:rsidRPr="007E63EF" w:rsidRDefault="00877514" w:rsidP="00877514">
      <w:pPr>
        <w:spacing w:before="120" w:after="120"/>
        <w:ind w:left="1134" w:right="1134"/>
        <w:jc w:val="both"/>
        <w:rPr>
          <w:i/>
          <w:iCs/>
        </w:rPr>
      </w:pPr>
      <w:r w:rsidRPr="007E63EF">
        <w:rPr>
          <w:i/>
          <w:iCs/>
        </w:rPr>
        <w:t>Приложение 8, пункты 3.2.2.5 и 3.2.2.5.1</w:t>
      </w:r>
      <w:r w:rsidRPr="007E63EF">
        <w:t xml:space="preserve"> изменить следующим образом:</w:t>
      </w:r>
    </w:p>
    <w:p w14:paraId="44DFE1F9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 w:hanging="1134"/>
        <w:jc w:val="both"/>
      </w:pPr>
      <w:bookmarkStart w:id="0" w:name="_Hlk132877674"/>
      <w:r w:rsidRPr="007E63EF">
        <w:t>«3.2.2.5</w:t>
      </w:r>
      <w:r w:rsidRPr="007E63EF">
        <w:tab/>
        <w:t>Обычная процедура зарядки</w:t>
      </w:r>
    </w:p>
    <w:p w14:paraId="5BECD8FC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>Под обычной зарядкой понимается процедура подачи на электромобиль электроэнергии мощностью не более 22 кВт.</w:t>
      </w:r>
    </w:p>
    <w:p w14:paraId="284D18FC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>При наличии нескольких возможных методов обычной зарядки от переменного тока (например, проводная, индуктивная и проч.) используют процедуру зарядки с помощью кабеля.</w:t>
      </w:r>
    </w:p>
    <w:p w14:paraId="30C4426E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 xml:space="preserve">Если зарядка от переменного тока возможна при нескольких уровнях мощности, то используют максимальную мощность обычной зарядки. По рекомендации изготовителя и с одобрения компетентного органа допускается проводить зарядку от переменного тока при уровне мощности, более низком по сравнению с максимальной мощностью обычной зарядки. </w:t>
      </w:r>
    </w:p>
    <w:p w14:paraId="7435495A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strike/>
        </w:rPr>
      </w:pPr>
      <w:r w:rsidRPr="007E63EF">
        <w:t>3.2.2.5.1</w:t>
      </w:r>
      <w:r w:rsidRPr="007E63EF">
        <w:tab/>
        <w:t>Процедура зарядки</w:t>
      </w:r>
    </w:p>
    <w:p w14:paraId="3B4C0844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>Зарядку ПСАЭ осуществляют при температуре окружающей среды от 20 °C до 30 °C с помощью бортового зарядного устройства, если оно установлено.</w:t>
      </w:r>
    </w:p>
    <w:p w14:paraId="6EE5FB3B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>Рекомендуемое изготовителем зарядное устройство, причем с применением режима зарядки, предписанного для обычной зарядки, используют в следующих случаях:</w:t>
      </w:r>
    </w:p>
    <w:p w14:paraId="07E4012B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>a)</w:t>
      </w:r>
      <w:r w:rsidRPr="007E63EF">
        <w:tab/>
        <w:t>при отсутствии бортового зарядного устройства; или</w:t>
      </w:r>
    </w:p>
    <w:p w14:paraId="510D967A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835" w:right="1134" w:hanging="567"/>
        <w:jc w:val="both"/>
      </w:pPr>
      <w:r w:rsidRPr="007E63EF">
        <w:t>b)</w:t>
      </w:r>
      <w:r w:rsidRPr="007E63EF">
        <w:tab/>
        <w:t>когда время зарядки превышает указанное в пункте 3.2.2.5.2 максимальное время.</w:t>
      </w:r>
    </w:p>
    <w:p w14:paraId="1152A795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>Предусмотренные настоящим пунктом методы исключают какие-либо специальные виды подзарядки, которая может включаться автоматически или вручную, например выравнивающей или сервисной подзарядки.</w:t>
      </w:r>
    </w:p>
    <w:p w14:paraId="2AF3A9C4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ab/>
        <w:t>Изготовитель транспортного средства указывает, что в ходе испытания специальная подзарядка не производилась».</w:t>
      </w:r>
    </w:p>
    <w:bookmarkEnd w:id="0"/>
    <w:p w14:paraId="60C4853D" w14:textId="77777777" w:rsidR="00877514" w:rsidRPr="007E63EF" w:rsidRDefault="00877514" w:rsidP="00877514">
      <w:pPr>
        <w:pStyle w:val="SingleTxtG"/>
        <w:keepNext/>
      </w:pPr>
      <w:r w:rsidRPr="007E63EF">
        <w:rPr>
          <w:i/>
          <w:iCs/>
        </w:rPr>
        <w:t>Добавление 2, включить новый пункт 2</w:t>
      </w:r>
      <w:r w:rsidRPr="007E63EF">
        <w:t xml:space="preserve"> следующего содержания:</w:t>
      </w:r>
    </w:p>
    <w:p w14:paraId="6E386879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7E63EF">
        <w:t xml:space="preserve">«2. </w:t>
      </w:r>
      <w:r w:rsidRPr="007E63EF">
        <w:tab/>
        <w:t>Измерение силы тока в ПСАЭ с использованием внешнего оборудования»</w:t>
      </w:r>
    </w:p>
    <w:p w14:paraId="050CD8B4" w14:textId="77777777" w:rsidR="00877514" w:rsidRPr="007E63EF" w:rsidRDefault="00877514" w:rsidP="00877514">
      <w:pPr>
        <w:pStyle w:val="SingleTxtG"/>
        <w:keepNext/>
        <w:rPr>
          <w:i/>
          <w:iCs/>
        </w:rPr>
      </w:pPr>
      <w:r w:rsidRPr="007E63EF">
        <w:rPr>
          <w:i/>
          <w:iCs/>
        </w:rPr>
        <w:t>Пункт 2</w:t>
      </w:r>
      <w:r w:rsidRPr="007E63EF">
        <w:t xml:space="preserve"> пронумеровать как пункт 2.1.</w:t>
      </w:r>
    </w:p>
    <w:p w14:paraId="58E236D9" w14:textId="77777777" w:rsidR="00877514" w:rsidRPr="007E63EF" w:rsidRDefault="00877514" w:rsidP="00877514">
      <w:pPr>
        <w:pStyle w:val="SingleTxtG"/>
        <w:rPr>
          <w:i/>
          <w:iCs/>
        </w:rPr>
      </w:pPr>
      <w:r w:rsidRPr="007E63EF">
        <w:rPr>
          <w:i/>
          <w:iCs/>
        </w:rPr>
        <w:t>Пункт 2.1</w:t>
      </w:r>
      <w:r w:rsidRPr="007E63EF">
        <w:t xml:space="preserve"> пронумеровать как пункт 2.1.1.</w:t>
      </w:r>
    </w:p>
    <w:p w14:paraId="795F0B47" w14:textId="77777777" w:rsidR="00877514" w:rsidRPr="007E63EF" w:rsidRDefault="00877514" w:rsidP="00877514">
      <w:pPr>
        <w:pStyle w:val="SingleTxtG"/>
        <w:keepNext/>
        <w:rPr>
          <w:i/>
          <w:iCs/>
        </w:rPr>
      </w:pPr>
      <w:r w:rsidRPr="007E63EF">
        <w:rPr>
          <w:i/>
          <w:iCs/>
        </w:rPr>
        <w:lastRenderedPageBreak/>
        <w:t>Пункты 2.1.1–2.1.3</w:t>
      </w:r>
      <w:r w:rsidRPr="007E63EF">
        <w:t xml:space="preserve"> пронумеровать как пункты 2.1.1.1–2.1.1.3.</w:t>
      </w:r>
    </w:p>
    <w:p w14:paraId="4E40AAF0" w14:textId="77777777" w:rsidR="00877514" w:rsidRPr="007E63EF" w:rsidRDefault="00877514" w:rsidP="00877514">
      <w:pPr>
        <w:pStyle w:val="SingleTxtG"/>
        <w:keepNext/>
        <w:rPr>
          <w:i/>
          <w:iCs/>
        </w:rPr>
      </w:pPr>
      <w:r w:rsidRPr="007E63EF">
        <w:rPr>
          <w:i/>
          <w:iCs/>
        </w:rPr>
        <w:t>Пункт 2.2</w:t>
      </w:r>
      <w:r w:rsidRPr="007E63EF">
        <w:t xml:space="preserve"> пронумеровать как пункт 2.1.2.</w:t>
      </w:r>
    </w:p>
    <w:p w14:paraId="21EA94AD" w14:textId="77777777" w:rsidR="00877514" w:rsidRPr="007E63EF" w:rsidRDefault="00877514" w:rsidP="00877514">
      <w:pPr>
        <w:pStyle w:val="SingleTxtG"/>
        <w:keepNext/>
        <w:rPr>
          <w:i/>
          <w:iCs/>
        </w:rPr>
      </w:pPr>
      <w:r w:rsidRPr="007E63EF">
        <w:rPr>
          <w:i/>
          <w:iCs/>
        </w:rPr>
        <w:t>Пункт 3</w:t>
      </w:r>
      <w:r w:rsidRPr="007E63EF">
        <w:t xml:space="preserve"> пронумеровать как пункт 2.2.</w:t>
      </w:r>
    </w:p>
    <w:p w14:paraId="3F56825F" w14:textId="77777777" w:rsidR="00877514" w:rsidRPr="007E63EF" w:rsidRDefault="00877514" w:rsidP="00877514">
      <w:pPr>
        <w:pStyle w:val="SingleTxtG"/>
        <w:keepNext/>
      </w:pPr>
      <w:r w:rsidRPr="007E63EF">
        <w:rPr>
          <w:i/>
          <w:iCs/>
        </w:rPr>
        <w:t>Включить новый пункт 3</w:t>
      </w:r>
      <w:r w:rsidRPr="007E63EF">
        <w:t xml:space="preserve"> следующего содержания:</w:t>
      </w:r>
    </w:p>
    <w:p w14:paraId="74D441F6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 w:hanging="1134"/>
        <w:jc w:val="both"/>
      </w:pPr>
      <w:r w:rsidRPr="007E63EF">
        <w:t>«3.</w:t>
      </w:r>
      <w:r w:rsidRPr="007E63EF">
        <w:tab/>
        <w:t>Определение силы тока в ПСАЭ на основе данных бортовых приборов транспортного средства</w:t>
      </w:r>
    </w:p>
    <w:p w14:paraId="0DF37733" w14:textId="77777777" w:rsidR="00877514" w:rsidRPr="007E63EF" w:rsidRDefault="00877514" w:rsidP="00877514">
      <w:pPr>
        <w:autoSpaceDE w:val="0"/>
        <w:autoSpaceDN w:val="0"/>
        <w:adjustRightInd w:val="0"/>
        <w:spacing w:after="120"/>
        <w:ind w:left="2268" w:right="1134"/>
        <w:jc w:val="both"/>
      </w:pPr>
      <w:r w:rsidRPr="007E63EF">
        <w:tab/>
        <w:t>В качестве альтернативы пункту 2 настоящего добавления для измерения силы тока изготовитель может использовать данные бортовых приборов. Органу по официальному утверждению представляется подтверждение точности этих данных».</w:t>
      </w:r>
    </w:p>
    <w:p w14:paraId="5030AAAE" w14:textId="77777777" w:rsidR="00877514" w:rsidRPr="007E63EF" w:rsidRDefault="00877514" w:rsidP="00877514">
      <w:pPr>
        <w:spacing w:before="240"/>
        <w:jc w:val="center"/>
        <w:rPr>
          <w:u w:val="single"/>
        </w:rPr>
      </w:pPr>
      <w:r w:rsidRPr="007E63EF">
        <w:rPr>
          <w:u w:val="single"/>
        </w:rPr>
        <w:tab/>
      </w:r>
      <w:r w:rsidRPr="007E63EF">
        <w:rPr>
          <w:u w:val="single"/>
        </w:rPr>
        <w:tab/>
      </w:r>
      <w:r w:rsidRPr="007E63EF">
        <w:rPr>
          <w:u w:val="single"/>
        </w:rPr>
        <w:tab/>
      </w:r>
    </w:p>
    <w:p w14:paraId="4D38B7B9" w14:textId="77777777" w:rsidR="00E12C5F" w:rsidRPr="008D53B6" w:rsidRDefault="00E12C5F" w:rsidP="00D9145B"/>
    <w:sectPr w:rsidR="00E12C5F" w:rsidRPr="008D53B6" w:rsidSect="00877514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5BDE" w14:textId="77777777" w:rsidR="00FF5FB4" w:rsidRPr="00A312BC" w:rsidRDefault="00FF5FB4" w:rsidP="00A312BC"/>
  </w:endnote>
  <w:endnote w:type="continuationSeparator" w:id="0">
    <w:p w14:paraId="01887831" w14:textId="77777777" w:rsidR="00FF5FB4" w:rsidRPr="00A312BC" w:rsidRDefault="00FF5FB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C3373" w14:textId="1528338C" w:rsidR="00877514" w:rsidRPr="00877514" w:rsidRDefault="00877514">
    <w:pPr>
      <w:pStyle w:val="a8"/>
    </w:pPr>
    <w:r w:rsidRPr="00877514">
      <w:rPr>
        <w:b/>
        <w:sz w:val="18"/>
      </w:rPr>
      <w:fldChar w:fldCharType="begin"/>
    </w:r>
    <w:r w:rsidRPr="00877514">
      <w:rPr>
        <w:b/>
        <w:sz w:val="18"/>
      </w:rPr>
      <w:instrText xml:space="preserve"> PAGE  \* MERGEFORMAT </w:instrText>
    </w:r>
    <w:r w:rsidRPr="00877514">
      <w:rPr>
        <w:b/>
        <w:sz w:val="18"/>
      </w:rPr>
      <w:fldChar w:fldCharType="separate"/>
    </w:r>
    <w:r w:rsidRPr="00877514">
      <w:rPr>
        <w:b/>
        <w:noProof/>
        <w:sz w:val="18"/>
      </w:rPr>
      <w:t>2</w:t>
    </w:r>
    <w:r w:rsidRPr="00877514">
      <w:rPr>
        <w:b/>
        <w:sz w:val="18"/>
      </w:rPr>
      <w:fldChar w:fldCharType="end"/>
    </w:r>
    <w:r>
      <w:rPr>
        <w:b/>
        <w:sz w:val="18"/>
      </w:rPr>
      <w:tab/>
    </w:r>
    <w:r>
      <w:t>GE.24-06554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8DE5" w14:textId="3A41F311" w:rsidR="00877514" w:rsidRPr="00877514" w:rsidRDefault="00877514" w:rsidP="00877514">
    <w:pPr>
      <w:pStyle w:val="a8"/>
      <w:tabs>
        <w:tab w:val="clear" w:pos="9639"/>
        <w:tab w:val="right" w:pos="9638"/>
      </w:tabs>
      <w:rPr>
        <w:b/>
        <w:sz w:val="18"/>
      </w:rPr>
    </w:pPr>
    <w:r>
      <w:t>GE.24-06554</w:t>
    </w:r>
    <w:r>
      <w:tab/>
    </w:r>
    <w:r w:rsidRPr="00877514">
      <w:rPr>
        <w:b/>
        <w:sz w:val="18"/>
      </w:rPr>
      <w:fldChar w:fldCharType="begin"/>
    </w:r>
    <w:r w:rsidRPr="00877514">
      <w:rPr>
        <w:b/>
        <w:sz w:val="18"/>
      </w:rPr>
      <w:instrText xml:space="preserve"> PAGE  \* MERGEFORMAT </w:instrText>
    </w:r>
    <w:r w:rsidRPr="00877514">
      <w:rPr>
        <w:b/>
        <w:sz w:val="18"/>
      </w:rPr>
      <w:fldChar w:fldCharType="separate"/>
    </w:r>
    <w:r w:rsidRPr="00877514">
      <w:rPr>
        <w:b/>
        <w:noProof/>
        <w:sz w:val="18"/>
      </w:rPr>
      <w:t>3</w:t>
    </w:r>
    <w:r w:rsidRPr="0087751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7EAA7" w14:textId="27EE425C" w:rsidR="00042B72" w:rsidRPr="00877514" w:rsidRDefault="00877514" w:rsidP="00877514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739A6FD" wp14:editId="3365311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24-06554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D30680" wp14:editId="536609C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180424  190424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E78D" w14:textId="77777777" w:rsidR="00FF5FB4" w:rsidRPr="001075E9" w:rsidRDefault="00FF5FB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CB12D0F" w14:textId="77777777" w:rsidR="00FF5FB4" w:rsidRDefault="00FF5FB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610B62A" w14:textId="77777777" w:rsidR="00877514" w:rsidRPr="00740867" w:rsidRDefault="00877514" w:rsidP="00877514">
      <w:pPr>
        <w:pStyle w:val="ad"/>
      </w:pPr>
      <w:r>
        <w:tab/>
      </w:r>
      <w:r w:rsidRPr="00877514">
        <w:rPr>
          <w:rStyle w:val="aa"/>
          <w:sz w:val="20"/>
          <w:vertAlign w:val="baseline"/>
        </w:rPr>
        <w:t>*</w:t>
      </w:r>
      <w:r w:rsidRPr="00281451">
        <w:rPr>
          <w:sz w:val="20"/>
        </w:rPr>
        <w:tab/>
      </w:r>
      <w:r w:rsidRPr="00596E1C">
        <w:t>В соответствии с программой работы Комитета по внутреннему транспорту на 202</w:t>
      </w:r>
      <w:r>
        <w:t>4</w:t>
      </w:r>
      <w:r w:rsidRPr="00596E1C">
        <w:t xml:space="preserve"> год, изложенной в предлагаемом бюджете по программам на 202</w:t>
      </w:r>
      <w:r>
        <w:t>4</w:t>
      </w:r>
      <w:r w:rsidRPr="00596E1C">
        <w:t xml:space="preserve"> год (</w:t>
      </w:r>
      <w:r>
        <w:t>A</w:t>
      </w:r>
      <w:r w:rsidRPr="00596E1C">
        <w:t>/7</w:t>
      </w:r>
      <w:r>
        <w:t>8</w:t>
      </w:r>
      <w:r w:rsidRPr="00596E1C">
        <w:t>/6 (разд. 20), таблица</w:t>
      </w:r>
      <w:r>
        <w:rPr>
          <w:lang w:val="en-US"/>
        </w:rPr>
        <w:t> </w:t>
      </w:r>
      <w:r w:rsidRPr="00596E1C">
        <w:t>20.</w:t>
      </w:r>
      <w:r>
        <w:t>5</w:t>
      </w:r>
      <w:r w:rsidRPr="00596E1C">
        <w:t>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596E1C">
        <w:t>ООН в целях улучшения характеристик транспортных средств. Настоящий документ представлен в соответствии с этим мандатом</w:t>
      </w:r>
      <w:r w:rsidRPr="00740867">
        <w:rPr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5183C" w14:textId="4EF59B27" w:rsidR="00877514" w:rsidRPr="00877514" w:rsidRDefault="00877514">
    <w:pPr>
      <w:pStyle w:val="a5"/>
    </w:pPr>
    <w:fldSimple w:instr=" TITLE  \* MERGEFORMAT ">
      <w:r w:rsidR="00351D8C">
        <w:t>ECE/TRANS/WP.29/2024/53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51372" w14:textId="307AC507" w:rsidR="00877514" w:rsidRPr="00877514" w:rsidRDefault="00877514" w:rsidP="00877514">
    <w:pPr>
      <w:pStyle w:val="a5"/>
      <w:jc w:val="right"/>
    </w:pPr>
    <w:fldSimple w:instr=" TITLE  \* MERGEFORMAT ">
      <w:r w:rsidR="00351D8C">
        <w:t>ECE/TRANS/WP.29/2024/53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6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7"/>
  </w:num>
  <w:num w:numId="5" w16cid:durableId="1298685170">
    <w:abstractNumId w:val="13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5"/>
  </w:num>
  <w:num w:numId="17" w16cid:durableId="53941411">
    <w:abstractNumId w:val="12"/>
  </w:num>
  <w:num w:numId="18" w16cid:durableId="961153681">
    <w:abstractNumId w:val="14"/>
  </w:num>
  <w:num w:numId="19" w16cid:durableId="1272468768">
    <w:abstractNumId w:val="15"/>
  </w:num>
  <w:num w:numId="20" w16cid:durableId="807743971">
    <w:abstractNumId w:val="12"/>
  </w:num>
  <w:num w:numId="21" w16cid:durableId="1591162185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FB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51D8C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25C2"/>
    <w:rsid w:val="00757357"/>
    <w:rsid w:val="00792497"/>
    <w:rsid w:val="00806737"/>
    <w:rsid w:val="00825F8D"/>
    <w:rsid w:val="00834B71"/>
    <w:rsid w:val="0086445C"/>
    <w:rsid w:val="00877514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91A4A"/>
    <w:rsid w:val="00EA2C9F"/>
    <w:rsid w:val="00EA420E"/>
    <w:rsid w:val="00ED0BDA"/>
    <w:rsid w:val="00EE142A"/>
    <w:rsid w:val="00EF1360"/>
    <w:rsid w:val="00EF3220"/>
    <w:rsid w:val="00F2523A"/>
    <w:rsid w:val="00F43903"/>
    <w:rsid w:val="00F73C9D"/>
    <w:rsid w:val="00F94155"/>
    <w:rsid w:val="00F9783F"/>
    <w:rsid w:val="00FD2EF7"/>
    <w:rsid w:val="00FE447E"/>
    <w:rsid w:val="00FF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999A3"/>
  <w15:docId w15:val="{EE421E23-E478-4AFA-B3A8-BEA5E3AF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,Footnote call,Voetnootverwijzing,Times 10 Point,Exposant 3 Point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877514"/>
    <w:rPr>
      <w:lang w:val="ru-RU" w:eastAsia="en-US"/>
    </w:rPr>
  </w:style>
  <w:style w:type="character" w:customStyle="1" w:styleId="HChGChar">
    <w:name w:val="_ H _Ch_G Char"/>
    <w:link w:val="HChG"/>
    <w:locked/>
    <w:rsid w:val="00877514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877514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A38A6A-F53E-4A4E-BEFA-3C8B3BEF21EC}"/>
</file>

<file path=customXml/itemProps2.xml><?xml version="1.0" encoding="utf-8"?>
<ds:datastoreItem xmlns:ds="http://schemas.openxmlformats.org/officeDocument/2006/customXml" ds:itemID="{DADB7569-F108-477A-BBE2-304342B97866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</TotalTime>
  <Pages>3</Pages>
  <Words>517</Words>
  <Characters>3561</Characters>
  <Application>Microsoft Office Word</Application>
  <DocSecurity>0</DocSecurity>
  <Lines>91</Lines>
  <Paragraphs>44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ECE/TRANS/WP.29/2024/53</vt:lpstr>
      <vt:lpstr>A/</vt:lpstr>
      <vt:lpstr>A/</vt:lpstr>
    </vt:vector>
  </TitlesOfParts>
  <Company>DCM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ECE/TRANS/WP.29/2024/53</dc:title>
  <dc:subject/>
  <dc:creator>Sharkina</dc:creator>
  <cp:keywords/>
  <cp:lastModifiedBy>Sharkina</cp:lastModifiedBy>
  <cp:revision>3</cp:revision>
  <cp:lastPrinted>2024-04-19T07:30:00Z</cp:lastPrinted>
  <dcterms:created xsi:type="dcterms:W3CDTF">2024-04-19T07:30:00Z</dcterms:created>
  <dcterms:modified xsi:type="dcterms:W3CDTF">2024-04-19T07:33:00Z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