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DD797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8D92A79" w14:textId="77777777" w:rsidR="002D5AAC" w:rsidRDefault="002D5AAC" w:rsidP="00AA40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E3F461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719E6C" w14:textId="48E340E8" w:rsidR="002D5AAC" w:rsidRDefault="00AA40C5" w:rsidP="00AA40C5">
            <w:pPr>
              <w:jc w:val="right"/>
            </w:pPr>
            <w:r w:rsidRPr="00AA40C5">
              <w:rPr>
                <w:sz w:val="40"/>
              </w:rPr>
              <w:t>ECE</w:t>
            </w:r>
            <w:r>
              <w:t>/TRANS/WP.29/2024/47</w:t>
            </w:r>
          </w:p>
        </w:tc>
      </w:tr>
      <w:tr w:rsidR="002D5AAC" w:rsidRPr="00AA40C5" w14:paraId="0B31225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2EB971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E9D55C" wp14:editId="77AB28B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10383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9FE428" w14:textId="77777777" w:rsidR="002D5AAC" w:rsidRDefault="00AA40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D4DCEB" w14:textId="77777777" w:rsidR="00AA40C5" w:rsidRDefault="00AA40C5" w:rsidP="00AA40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1352460A" w14:textId="77777777" w:rsidR="00AA40C5" w:rsidRDefault="00AA40C5" w:rsidP="00AA40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48FD7C" w14:textId="2C71B399" w:rsidR="00AA40C5" w:rsidRPr="008D53B6" w:rsidRDefault="00AA40C5" w:rsidP="00AA40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6FE2D9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3FD2BC" w14:textId="77777777" w:rsidR="009C7C69" w:rsidRPr="00CF1417" w:rsidRDefault="009C7C69" w:rsidP="009C7C69">
      <w:pPr>
        <w:spacing w:before="120"/>
        <w:rPr>
          <w:sz w:val="28"/>
          <w:szCs w:val="28"/>
        </w:rPr>
      </w:pPr>
      <w:r w:rsidRPr="00CF1417">
        <w:rPr>
          <w:sz w:val="28"/>
          <w:szCs w:val="28"/>
        </w:rPr>
        <w:t>Комитет по внутреннему транспорту</w:t>
      </w:r>
    </w:p>
    <w:p w14:paraId="5B8467F6" w14:textId="77777777" w:rsidR="009C7C69" w:rsidRPr="00CF1417" w:rsidRDefault="009C7C69" w:rsidP="009C7C69">
      <w:pPr>
        <w:spacing w:before="120" w:after="120"/>
        <w:rPr>
          <w:b/>
          <w:bCs/>
          <w:sz w:val="24"/>
          <w:szCs w:val="24"/>
        </w:rPr>
      </w:pPr>
      <w:r w:rsidRPr="00CF1417">
        <w:rPr>
          <w:b/>
          <w:bCs/>
          <w:sz w:val="24"/>
          <w:szCs w:val="24"/>
        </w:rPr>
        <w:t>Всемирный форум для согласования правил</w:t>
      </w:r>
      <w:r w:rsidRPr="00CF1417">
        <w:rPr>
          <w:b/>
          <w:bCs/>
          <w:sz w:val="24"/>
          <w:szCs w:val="24"/>
        </w:rPr>
        <w:br/>
        <w:t>в области транспортных средств</w:t>
      </w:r>
    </w:p>
    <w:p w14:paraId="01953757" w14:textId="77777777" w:rsidR="009C7C69" w:rsidRPr="00CF1417" w:rsidRDefault="009C7C69" w:rsidP="009C7C69">
      <w:pPr>
        <w:spacing w:before="120"/>
        <w:rPr>
          <w:b/>
        </w:rPr>
      </w:pPr>
      <w:r w:rsidRPr="00CF1417">
        <w:rPr>
          <w:b/>
        </w:rPr>
        <w:t>Сто девяносто третья сессия</w:t>
      </w:r>
    </w:p>
    <w:p w14:paraId="5478B874" w14:textId="77777777" w:rsidR="009C7C69" w:rsidRPr="00CF1417" w:rsidRDefault="009C7C69" w:rsidP="009C7C69">
      <w:r w:rsidRPr="00CF1417">
        <w:t>Женева, 25–28 июня 2024 года</w:t>
      </w:r>
    </w:p>
    <w:p w14:paraId="36492EA8" w14:textId="77777777" w:rsidR="009C7C69" w:rsidRPr="00CF1417" w:rsidRDefault="009C7C69" w:rsidP="009C7C69">
      <w:r w:rsidRPr="00CF1417">
        <w:t xml:space="preserve">Пункт 4.7.3 </w:t>
      </w:r>
      <w:r w:rsidRPr="00CF1417">
        <w:rPr>
          <w:shd w:val="clear" w:color="auto" w:fill="FFFFFF"/>
        </w:rPr>
        <w:t>предварительной повестки дня</w:t>
      </w:r>
    </w:p>
    <w:p w14:paraId="308FB348" w14:textId="77777777" w:rsidR="009C7C69" w:rsidRPr="00CF1417" w:rsidRDefault="009C7C69" w:rsidP="009C7C69">
      <w:pPr>
        <w:rPr>
          <w:b/>
        </w:rPr>
      </w:pPr>
      <w:r w:rsidRPr="00CF1417">
        <w:rPr>
          <w:b/>
        </w:rPr>
        <w:t>Соглашение 1958 года:</w:t>
      </w:r>
    </w:p>
    <w:p w14:paraId="13DD993E" w14:textId="77777777" w:rsidR="009C7C69" w:rsidRPr="00CF1417" w:rsidRDefault="009C7C69" w:rsidP="009C7C69">
      <w:pPr>
        <w:ind w:right="4819"/>
        <w:rPr>
          <w:b/>
        </w:rPr>
      </w:pPr>
      <w:r w:rsidRPr="00CF1417">
        <w:rPr>
          <w:b/>
        </w:rPr>
        <w:t>Рассмотрение проектов поправок к существующим правилам ООН, представленных GRPE</w:t>
      </w:r>
    </w:p>
    <w:p w14:paraId="374C88F6" w14:textId="660ABDC6" w:rsidR="009C7C69" w:rsidRPr="00CF1417" w:rsidRDefault="009C7C69" w:rsidP="009C7C69">
      <w:pPr>
        <w:pStyle w:val="HChG"/>
        <w:ind w:left="1124" w:right="1138" w:firstLine="0"/>
        <w:rPr>
          <w:szCs w:val="28"/>
        </w:rPr>
      </w:pPr>
      <w:r w:rsidRPr="00CF1417">
        <w:rPr>
          <w:szCs w:val="28"/>
          <w:shd w:val="clear" w:color="auto" w:fill="FFFFFF"/>
        </w:rPr>
        <w:t>Предложение по дополнению 18 к поправкам серии 05 к</w:t>
      </w:r>
      <w:r w:rsidR="00D626B6">
        <w:rPr>
          <w:szCs w:val="28"/>
          <w:shd w:val="clear" w:color="auto" w:fill="FFFFFF"/>
          <w:lang w:val="en-US"/>
        </w:rPr>
        <w:t> </w:t>
      </w:r>
      <w:r w:rsidRPr="00CF1417">
        <w:rPr>
          <w:szCs w:val="28"/>
          <w:shd w:val="clear" w:color="auto" w:fill="FFFFFF"/>
        </w:rPr>
        <w:t>Правилам № 83 ООН (выбросы транспортными средствами категорий M</w:t>
      </w:r>
      <w:r w:rsidRPr="004868E7">
        <w:rPr>
          <w:szCs w:val="28"/>
          <w:shd w:val="clear" w:color="auto" w:fill="FFFFFF"/>
          <w:vertAlign w:val="subscript"/>
        </w:rPr>
        <w:t>1</w:t>
      </w:r>
      <w:r w:rsidRPr="00CF1417">
        <w:rPr>
          <w:szCs w:val="28"/>
          <w:shd w:val="clear" w:color="auto" w:fill="FFFFFF"/>
        </w:rPr>
        <w:t xml:space="preserve"> и N</w:t>
      </w:r>
      <w:r w:rsidRPr="004868E7">
        <w:rPr>
          <w:szCs w:val="28"/>
          <w:shd w:val="clear" w:color="auto" w:fill="FFFFFF"/>
          <w:vertAlign w:val="subscript"/>
        </w:rPr>
        <w:t>1</w:t>
      </w:r>
      <w:r w:rsidRPr="00CF1417">
        <w:rPr>
          <w:szCs w:val="28"/>
          <w:shd w:val="clear" w:color="auto" w:fill="FFFFFF"/>
        </w:rPr>
        <w:t>)</w:t>
      </w:r>
    </w:p>
    <w:p w14:paraId="0E2F0A01" w14:textId="268A8F5D" w:rsidR="009C7C69" w:rsidRPr="00D626B6" w:rsidRDefault="009C7C69" w:rsidP="00D626B6">
      <w:pPr>
        <w:pStyle w:val="H1G"/>
      </w:pPr>
      <w:r w:rsidRPr="00D626B6">
        <w:tab/>
      </w:r>
      <w:r w:rsidRPr="00D626B6">
        <w:tab/>
        <w:t>Представлено Рабочей группой по проблемам энергии и</w:t>
      </w:r>
      <w:r w:rsidR="00D626B6">
        <w:rPr>
          <w:lang w:val="en-US"/>
        </w:rPr>
        <w:t> </w:t>
      </w:r>
      <w:r w:rsidRPr="00D626B6">
        <w:t>загрязнения окружающей среды</w:t>
      </w:r>
      <w:r w:rsidRPr="00D626B6">
        <w:rPr>
          <w:b w:val="0"/>
          <w:bCs/>
          <w:sz w:val="20"/>
        </w:rPr>
        <w:footnoteReference w:customMarkFollows="1" w:id="1"/>
        <w:t>*</w:t>
      </w:r>
    </w:p>
    <w:p w14:paraId="3D9F8A87" w14:textId="7209B874" w:rsidR="009C7C69" w:rsidRDefault="009C7C69" w:rsidP="009C7C69">
      <w:pPr>
        <w:pStyle w:val="SingleTxtG"/>
        <w:ind w:firstLine="567"/>
        <w:rPr>
          <w:shd w:val="clear" w:color="auto" w:fill="FFFFFF"/>
        </w:rPr>
      </w:pPr>
      <w:r w:rsidRPr="00CF1417">
        <w:rPr>
          <w:shd w:val="clear" w:color="auto" w:fill="FFFFFF"/>
        </w:rPr>
        <w:t>Воспроизведенный ниже текст был принят Рабочей группой по проблемам энергии и загрязнения окружающей среды (</w:t>
      </w:r>
      <w:r w:rsidRPr="00CF1417">
        <w:rPr>
          <w:lang w:val="en-US"/>
        </w:rPr>
        <w:t>GRPE</w:t>
      </w:r>
      <w:r w:rsidRPr="00CF1417">
        <w:rPr>
          <w:shd w:val="clear" w:color="auto" w:fill="FFFFFF"/>
        </w:rPr>
        <w:t>) на ее девяностой сессии (</w:t>
      </w:r>
      <w:r w:rsidRPr="00CF1417">
        <w:rPr>
          <w:lang w:val="en-US"/>
        </w:rPr>
        <w:t>ECE</w:t>
      </w:r>
      <w:r w:rsidRPr="00CF1417">
        <w:t>/</w:t>
      </w:r>
      <w:r w:rsidRPr="00CF1417">
        <w:rPr>
          <w:lang w:val="en-US"/>
        </w:rPr>
        <w:t>TRANS</w:t>
      </w:r>
      <w:r w:rsidRPr="00CF1417">
        <w:t>/</w:t>
      </w:r>
      <w:r w:rsidRPr="00CF1417">
        <w:rPr>
          <w:lang w:val="en-US"/>
        </w:rPr>
        <w:t>WP</w:t>
      </w:r>
      <w:r w:rsidRPr="00CF1417">
        <w:t>.29/</w:t>
      </w:r>
      <w:r w:rsidRPr="00CF1417">
        <w:rPr>
          <w:lang w:val="en-US"/>
        </w:rPr>
        <w:t>GRPE</w:t>
      </w:r>
      <w:r w:rsidRPr="00CF1417">
        <w:t>/90</w:t>
      </w:r>
      <w:r w:rsidRPr="00CF1417">
        <w:rPr>
          <w:shd w:val="clear" w:color="auto" w:fill="FFFFFF"/>
        </w:rPr>
        <w:t xml:space="preserve">, пункт 13). В его основу положены документы </w:t>
      </w:r>
      <w:r w:rsidRPr="00CF1417">
        <w:t>ECE/TRANS/WP.29/GRPE/2024/7 и GRPE-</w:t>
      </w:r>
      <w:proofErr w:type="gramStart"/>
      <w:r w:rsidRPr="00CF1417">
        <w:t>90-09</w:t>
      </w:r>
      <w:proofErr w:type="gramEnd"/>
      <w:r w:rsidRPr="00CF1417">
        <w:t>-Rev.1</w:t>
      </w:r>
      <w:r w:rsidRPr="00CF1417">
        <w:rPr>
          <w:shd w:val="clear" w:color="auto" w:fill="FFFFFF"/>
        </w:rPr>
        <w:t xml:space="preserve"> с поправками, содержащимися в приложении </w:t>
      </w:r>
      <w:r w:rsidRPr="00CF1417">
        <w:t>IV</w:t>
      </w:r>
      <w:r w:rsidRPr="00CF1417">
        <w:rPr>
          <w:shd w:val="clear" w:color="auto" w:fill="FFFFFF"/>
        </w:rPr>
        <w:t xml:space="preserve">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</w:t>
      </w:r>
      <w:r w:rsidR="004450C5">
        <w:rPr>
          <w:shd w:val="clear" w:color="auto" w:fill="FFFFFF"/>
          <w:lang w:val="en-US"/>
        </w:rPr>
        <w:t> </w:t>
      </w:r>
      <w:r w:rsidRPr="00CF1417">
        <w:rPr>
          <w:shd w:val="clear" w:color="auto" w:fill="FFFFFF"/>
        </w:rPr>
        <w:t>года.</w:t>
      </w:r>
    </w:p>
    <w:p w14:paraId="2C921F6E" w14:textId="77777777" w:rsidR="009C7C69" w:rsidRPr="00CF1417" w:rsidRDefault="009C7C69" w:rsidP="009C7C69">
      <w:pPr>
        <w:suppressAutoHyphens w:val="0"/>
        <w:spacing w:line="240" w:lineRule="auto"/>
      </w:pPr>
      <w:r w:rsidRPr="00CF1417">
        <w:br w:type="page"/>
      </w:r>
    </w:p>
    <w:p w14:paraId="7CCC9640" w14:textId="77777777" w:rsidR="009C7C69" w:rsidRPr="00CF1417" w:rsidRDefault="009C7C69" w:rsidP="009C7C69">
      <w:pPr>
        <w:autoSpaceDE w:val="0"/>
        <w:autoSpaceDN w:val="0"/>
        <w:adjustRightInd w:val="0"/>
        <w:spacing w:after="120"/>
        <w:ind w:leftChars="567" w:left="1134" w:right="1134"/>
        <w:jc w:val="both"/>
        <w:rPr>
          <w:i/>
          <w:iCs/>
        </w:rPr>
      </w:pPr>
      <w:r w:rsidRPr="00CF1417">
        <w:rPr>
          <w:i/>
          <w:iCs/>
        </w:rPr>
        <w:lastRenderedPageBreak/>
        <w:t>Приложение 4</w:t>
      </w:r>
    </w:p>
    <w:p w14:paraId="4FAD068A" w14:textId="77777777" w:rsidR="009C7C69" w:rsidRPr="00CF1417" w:rsidRDefault="009C7C69" w:rsidP="009C7C69">
      <w:pPr>
        <w:autoSpaceDE w:val="0"/>
        <w:autoSpaceDN w:val="0"/>
        <w:adjustRightInd w:val="0"/>
        <w:spacing w:after="120"/>
        <w:ind w:leftChars="567" w:left="1134" w:right="1134"/>
        <w:jc w:val="both"/>
      </w:pPr>
      <w:r w:rsidRPr="00CF1417">
        <w:rPr>
          <w:i/>
          <w:iCs/>
        </w:rPr>
        <w:t>Пункт 4.1.5.2</w:t>
      </w:r>
      <w:r w:rsidRPr="00CF1417">
        <w:t xml:space="preserve"> изменить следующим образом:</w:t>
      </w:r>
    </w:p>
    <w:p w14:paraId="3BE0CE8D" w14:textId="3DC99F33" w:rsidR="009C7C69" w:rsidRPr="00CF1417" w:rsidRDefault="009C7C69" w:rsidP="009C7C69">
      <w:pPr>
        <w:autoSpaceDE w:val="0"/>
        <w:autoSpaceDN w:val="0"/>
        <w:adjustRightInd w:val="0"/>
        <w:spacing w:after="120"/>
        <w:ind w:leftChars="567" w:left="2268" w:right="1134" w:hangingChars="567" w:hanging="1134"/>
        <w:jc w:val="both"/>
      </w:pPr>
      <w:r w:rsidRPr="00CF1417">
        <w:t>«4.1.5.2</w:t>
      </w:r>
      <w:r w:rsidRPr="00CF1417">
        <w:tab/>
        <w:t>Динамометр с изменяемой кривой нагрузки: имитатор нагрузки регулируют таким образом, чтобы поглощать мощность, передаваемую на ведущие колеса, при постоянных скоростях 120, 100, 80, 60, 40 и</w:t>
      </w:r>
      <w:r w:rsidR="004450C5">
        <w:rPr>
          <w:lang w:val="en-US"/>
        </w:rPr>
        <w:t> </w:t>
      </w:r>
      <w:r w:rsidRPr="00CF1417">
        <w:t>20</w:t>
      </w:r>
      <w:r w:rsidR="004450C5">
        <w:rPr>
          <w:lang w:val="en-US"/>
        </w:rPr>
        <w:t> </w:t>
      </w:r>
      <w:r w:rsidRPr="00CF1417">
        <w:t>км/ч. Методы установки и регулировки этой нагрузки описаны в добавлении 3a к настоящему приложению. В том случае, если дорожная нагрузка на транспортное средство уже была определена в соответствии с процедурами ВПИМ, установленными в ГТП № 15 ООН, в качестве альтернативы может быть использована методология, описанная в добавлении 3b».</w:t>
      </w:r>
    </w:p>
    <w:p w14:paraId="3A60B8B6" w14:textId="77777777" w:rsidR="009C7C69" w:rsidRPr="00CF1417" w:rsidRDefault="009C7C69" w:rsidP="009C7C69">
      <w:pPr>
        <w:spacing w:after="120"/>
        <w:ind w:left="294" w:firstLine="840"/>
        <w:jc w:val="both"/>
        <w:rPr>
          <w:i/>
          <w:iCs/>
        </w:rPr>
      </w:pPr>
      <w:r w:rsidRPr="00CF1417">
        <w:rPr>
          <w:i/>
          <w:iCs/>
        </w:rPr>
        <w:t>Нумерацию добавления 3 изменить на 3a.</w:t>
      </w:r>
    </w:p>
    <w:p w14:paraId="2B9AEE84" w14:textId="77777777" w:rsidR="009C7C69" w:rsidRPr="00CF1417" w:rsidRDefault="009C7C69" w:rsidP="009C7C69">
      <w:pPr>
        <w:spacing w:after="120"/>
        <w:ind w:left="1134" w:right="1134"/>
        <w:jc w:val="both"/>
        <w:rPr>
          <w:i/>
        </w:rPr>
      </w:pPr>
      <w:r w:rsidRPr="00CF1417">
        <w:rPr>
          <w:i/>
          <w:iCs/>
        </w:rPr>
        <w:t xml:space="preserve">Включить новое добавление 3b </w:t>
      </w:r>
      <w:r w:rsidRPr="00CF1417">
        <w:t>следующего содержания:</w:t>
      </w:r>
    </w:p>
    <w:p w14:paraId="71BD13F8" w14:textId="77777777" w:rsidR="009C7C69" w:rsidRPr="00CF1417" w:rsidRDefault="009C7C69" w:rsidP="009C7C69">
      <w:pPr>
        <w:keepNext/>
        <w:keepLines/>
        <w:spacing w:before="360" w:after="240" w:line="300" w:lineRule="exact"/>
        <w:ind w:left="1134" w:right="1134" w:hanging="1134"/>
        <w:jc w:val="both"/>
        <w:rPr>
          <w:b/>
          <w:sz w:val="28"/>
          <w:szCs w:val="28"/>
        </w:rPr>
      </w:pPr>
      <w:r w:rsidRPr="00CF1417">
        <w:tab/>
      </w:r>
      <w:r w:rsidRPr="00CF1417">
        <w:rPr>
          <w:bCs/>
          <w:sz w:val="28"/>
          <w:szCs w:val="28"/>
        </w:rPr>
        <w:t>«</w:t>
      </w:r>
      <w:r w:rsidRPr="00CF1417">
        <w:rPr>
          <w:b/>
          <w:sz w:val="28"/>
          <w:szCs w:val="28"/>
        </w:rPr>
        <w:t>Приложение 4 — Добавление 3b</w:t>
      </w:r>
    </w:p>
    <w:p w14:paraId="7DB3FF03" w14:textId="77777777" w:rsidR="009C7C69" w:rsidRPr="00CF1417" w:rsidRDefault="009C7C69" w:rsidP="009C7C69">
      <w:pPr>
        <w:keepNext/>
        <w:keepLines/>
        <w:spacing w:before="360" w:after="240" w:line="300" w:lineRule="exact"/>
        <w:ind w:left="1134" w:right="1134" w:hanging="1134"/>
        <w:jc w:val="both"/>
        <w:rPr>
          <w:b/>
          <w:sz w:val="28"/>
          <w:szCs w:val="28"/>
        </w:rPr>
      </w:pPr>
      <w:r w:rsidRPr="00CF1417">
        <w:rPr>
          <w:b/>
          <w:sz w:val="28"/>
          <w:szCs w:val="28"/>
        </w:rPr>
        <w:tab/>
        <w:t>Альтернативная процедура определения общей дорожной нагрузки на транспортное средство</w:t>
      </w:r>
    </w:p>
    <w:p w14:paraId="7D4B01E9" w14:textId="77777777" w:rsidR="009C7C69" w:rsidRPr="00CF1417" w:rsidRDefault="009C7C69" w:rsidP="009C7C69">
      <w:pPr>
        <w:numPr>
          <w:ilvl w:val="0"/>
          <w:numId w:val="23"/>
        </w:numPr>
        <w:spacing w:after="120" w:line="240" w:lineRule="auto"/>
        <w:ind w:left="2268" w:right="1134" w:hanging="1134"/>
        <w:jc w:val="both"/>
        <w:rPr>
          <w:szCs w:val="18"/>
        </w:rPr>
      </w:pPr>
      <w:r w:rsidRPr="00CF1417">
        <w:t xml:space="preserve">Введение </w:t>
      </w:r>
    </w:p>
    <w:p w14:paraId="4195302B" w14:textId="77777777" w:rsidR="009C7C69" w:rsidRPr="00CF1417" w:rsidRDefault="009C7C69" w:rsidP="009C7C69">
      <w:pPr>
        <w:tabs>
          <w:tab w:val="left" w:pos="8504"/>
        </w:tabs>
        <w:spacing w:after="120" w:line="240" w:lineRule="auto"/>
        <w:ind w:left="2268" w:right="1133"/>
        <w:jc w:val="both"/>
        <w:rPr>
          <w:szCs w:val="18"/>
        </w:rPr>
      </w:pPr>
      <w:r w:rsidRPr="00CF1417">
        <w:t xml:space="preserve">В настоящем добавлении излагается метод расчета общей дорожной нагрузки, который может использоваться по усмотрению изготовителя в том случае, если дорожная нагрузка на транспортное средство была определена в соответствии с процедурами ВПИМ, установленными в ГТП № 15 ООН. </w:t>
      </w:r>
    </w:p>
    <w:p w14:paraId="1365CA73" w14:textId="77777777" w:rsidR="009C7C69" w:rsidRPr="00CF1417" w:rsidRDefault="009C7C69" w:rsidP="009C7C69">
      <w:pPr>
        <w:numPr>
          <w:ilvl w:val="0"/>
          <w:numId w:val="23"/>
        </w:numPr>
        <w:spacing w:after="120" w:line="240" w:lineRule="auto"/>
        <w:ind w:left="2268" w:right="1134" w:hanging="1134"/>
        <w:jc w:val="both"/>
      </w:pPr>
      <w:r w:rsidRPr="00CF1417">
        <w:t>Метод</w:t>
      </w:r>
    </w:p>
    <w:p w14:paraId="431455AD" w14:textId="77777777" w:rsidR="009C7C69" w:rsidRPr="00CF1417" w:rsidRDefault="009C7C69" w:rsidP="009C7C69">
      <w:pPr>
        <w:spacing w:after="120" w:line="240" w:lineRule="auto"/>
        <w:ind w:left="2268" w:right="1134" w:hanging="1134"/>
        <w:jc w:val="both"/>
      </w:pPr>
      <w:r w:rsidRPr="00CF1417">
        <w:t>2.1</w:t>
      </w:r>
      <w:r w:rsidRPr="00CF1417">
        <w:tab/>
        <w:t>Расчет дорожной нагрузки на транспортное средство согласно ВПИМ</w:t>
      </w:r>
    </w:p>
    <w:p w14:paraId="7E2794A7" w14:textId="77777777" w:rsidR="009C7C69" w:rsidRPr="00CF1417" w:rsidRDefault="009C7C69" w:rsidP="009C7C69">
      <w:pPr>
        <w:spacing w:after="120" w:line="240" w:lineRule="auto"/>
        <w:ind w:left="2268" w:right="1134"/>
        <w:jc w:val="both"/>
      </w:pPr>
      <w:r w:rsidRPr="00CF1417">
        <w:t xml:space="preserve">Дорожную нагрузку </w:t>
      </w:r>
      <w:proofErr w:type="gramStart"/>
      <w:r w:rsidRPr="00CF1417">
        <w:t>на транспортное средство согласно ВПИМ</w:t>
      </w:r>
      <w:proofErr w:type="gramEnd"/>
      <w:r w:rsidRPr="00CF1417">
        <w:t xml:space="preserve"> определяют в соответствии с приложением 4 к ГТП № 15 ООН либо, если транспортное средство принадлежит к интерполяционному семейству, в соответствии с пунктом 3.2.3.2.2 (“Определение общей дорожной нагрузки на транспортное средство”) приложения 7 с учетом входных параметров отдельного транспортного средства: </w:t>
      </w:r>
    </w:p>
    <w:p w14:paraId="4F7EBD75" w14:textId="77777777" w:rsidR="009C7C69" w:rsidRPr="00CF1417" w:rsidRDefault="009C7C69" w:rsidP="009C7C69">
      <w:pPr>
        <w:spacing w:after="120" w:line="240" w:lineRule="auto"/>
        <w:ind w:left="2835" w:right="1134" w:hanging="567"/>
        <w:jc w:val="both"/>
      </w:pPr>
      <w:r w:rsidRPr="00CF1417">
        <w:t>a)</w:t>
      </w:r>
      <w:r w:rsidRPr="00CF1417">
        <w:tab/>
        <w:t>испытательной массы транспортного средства, оснащенного стандартным оборудованием</w:t>
      </w:r>
      <w:r w:rsidRPr="00CF1417">
        <w:rPr>
          <w:rStyle w:val="aa"/>
        </w:rPr>
        <w:footnoteReference w:id="2"/>
      </w:r>
      <w:r w:rsidRPr="00CF1417">
        <w:t xml:space="preserve">; </w:t>
      </w:r>
    </w:p>
    <w:p w14:paraId="4C3715D5" w14:textId="77777777" w:rsidR="009C7C69" w:rsidRPr="00CF1417" w:rsidRDefault="009C7C69" w:rsidP="009C7C69">
      <w:pPr>
        <w:autoSpaceDE w:val="0"/>
        <w:autoSpaceDN w:val="0"/>
        <w:adjustRightInd w:val="0"/>
        <w:spacing w:after="120" w:line="240" w:lineRule="auto"/>
        <w:ind w:left="2835" w:right="1134" w:hanging="567"/>
        <w:jc w:val="both"/>
      </w:pPr>
      <w:r w:rsidRPr="00CF1417">
        <w:t>b)</w:t>
      </w:r>
      <w:r w:rsidRPr="00CF1417">
        <w:tab/>
      </w:r>
      <w:r w:rsidRPr="00CF1417"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в соответствии со средневзвешенным значением, рассчитанным по уравнению, приведенному в пункте 3.2.3.2.2.2.3 приложения 7 к ГТП № 15 ООН; </w:t>
      </w:r>
    </w:p>
    <w:p w14:paraId="784D6E88" w14:textId="77777777" w:rsidR="009C7C69" w:rsidRPr="00CF1417" w:rsidRDefault="009C7C69" w:rsidP="009C7C69">
      <w:pPr>
        <w:spacing w:after="120" w:line="240" w:lineRule="auto"/>
        <w:ind w:left="2838" w:right="1134" w:hanging="570"/>
        <w:jc w:val="both"/>
      </w:pPr>
      <w:r w:rsidRPr="00CF1417">
        <w:t>c)</w:t>
      </w:r>
      <w:r w:rsidRPr="00CF1417">
        <w:tab/>
        <w:t>аэродинамического сопротивления транспортного средства, оснащенного стандартным оборудованием</w:t>
      </w:r>
      <w:r w:rsidRPr="00CF1417">
        <w:rPr>
          <w:rStyle w:val="aa"/>
        </w:rPr>
        <w:footnoteRef/>
      </w:r>
      <w:r w:rsidRPr="00CF1417">
        <w:t>.</w:t>
      </w:r>
    </w:p>
    <w:p w14:paraId="4D9655A9" w14:textId="77777777" w:rsidR="009C7C69" w:rsidRPr="00CF1417" w:rsidRDefault="009C7C69" w:rsidP="009C7C69">
      <w:pPr>
        <w:spacing w:after="120" w:line="240" w:lineRule="auto"/>
        <w:ind w:left="2268" w:right="1134" w:hanging="1134"/>
        <w:jc w:val="both"/>
      </w:pPr>
      <w:r w:rsidRPr="00CF1417">
        <w:t>2.2</w:t>
      </w:r>
      <w:r w:rsidRPr="00CF1417">
        <w:tab/>
        <w:t>Расчет применяемого (для НЕЕЦ) значения дорожной нагрузки на транспортное средство</w:t>
      </w:r>
    </w:p>
    <w:p w14:paraId="1B6110C9" w14:textId="77777777" w:rsidR="009C7C69" w:rsidRPr="00CF1417" w:rsidRDefault="009C7C69" w:rsidP="009C7C69">
      <w:pPr>
        <w:spacing w:after="120" w:line="240" w:lineRule="auto"/>
        <w:ind w:left="2268" w:right="1134" w:hanging="1134"/>
        <w:jc w:val="both"/>
      </w:pPr>
      <w:r w:rsidRPr="00CF1417">
        <w:t>2.2.1</w:t>
      </w:r>
      <w:r w:rsidRPr="00CF1417">
        <w:tab/>
        <w:t>Влияние различных предписаний по давлению в шинах</w:t>
      </w:r>
    </w:p>
    <w:p w14:paraId="75CDA112" w14:textId="77777777" w:rsidR="009C7C69" w:rsidRPr="00CF1417" w:rsidRDefault="009C7C69" w:rsidP="009C7C69">
      <w:pPr>
        <w:spacing w:after="120" w:line="240" w:lineRule="auto"/>
        <w:ind w:left="2268" w:right="1134"/>
        <w:jc w:val="both"/>
      </w:pPr>
      <w:r w:rsidRPr="00CF1417">
        <w:t xml:space="preserve">За давление в шинах, которое следует учитывать для целей расчета дорожной нагрузки НЕЕЦ, принимают среднее арифметическое значение </w:t>
      </w:r>
      <w:r w:rsidRPr="00CF1417">
        <w:lastRenderedPageBreak/>
        <w:t>по двум осям от среднего значения между минимальным и максимальным значениями давления в шинах, разрешенными для выбранных шин на каждой оси в соответствии с контрольной массой транспортного средства для НЕЕЦ. Расчет производят по следующей формуле:</w:t>
      </w:r>
    </w:p>
    <w:p w14:paraId="6CA91643" w14:textId="77777777" w:rsidR="009C7C69" w:rsidRPr="00CF1417" w:rsidRDefault="009C7C69" w:rsidP="009C7C69">
      <w:pPr>
        <w:spacing w:after="120" w:line="240" w:lineRule="auto"/>
        <w:ind w:left="1560" w:right="1134" w:hanging="426"/>
        <w:jc w:val="center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P</m:t>
            </m:r>
          </m:e>
          <m:sub>
            <m:r>
              <w:rPr>
                <w:rFonts w:ascii="Cambria Math" w:hAnsi="Cambria Math"/>
                <w:szCs w:val="21"/>
              </w:rPr>
              <m:t>avg</m:t>
            </m:r>
          </m:sub>
        </m:sSub>
        <m:r>
          <w:rPr>
            <w:rFonts w:ascii="Cambria Math" w:hAnsi="Cambria Math"/>
            <w:szCs w:val="21"/>
          </w:rPr>
          <m:t>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max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min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Cs w:val="21"/>
                  </w:rPr>
                  <m:t>2</m:t>
                </m:r>
              </m:den>
            </m:f>
          </m:e>
        </m:d>
      </m:oMath>
      <w:r w:rsidRPr="00CF1417">
        <w:rPr>
          <w:szCs w:val="21"/>
        </w:rPr>
        <w:t>,</w:t>
      </w:r>
    </w:p>
    <w:p w14:paraId="2DC809BE" w14:textId="77777777" w:rsidR="009C7C69" w:rsidRPr="00CF1417" w:rsidRDefault="009C7C69" w:rsidP="009C7C69">
      <w:pPr>
        <w:spacing w:after="120" w:line="240" w:lineRule="auto"/>
        <w:ind w:left="2268" w:right="1133"/>
      </w:pPr>
      <w:r w:rsidRPr="00CF1417">
        <w:t>где:</w:t>
      </w:r>
    </w:p>
    <w:p w14:paraId="6E2A8C2C" w14:textId="77777777" w:rsidR="009C7C69" w:rsidRPr="00CF1417" w:rsidRDefault="009C7C69" w:rsidP="009C7C69">
      <w:pPr>
        <w:tabs>
          <w:tab w:val="left" w:pos="2694"/>
        </w:tabs>
        <w:spacing w:after="120"/>
        <w:ind w:left="3119" w:right="1133" w:hanging="851"/>
        <w:jc w:val="both"/>
      </w:pPr>
      <w:r w:rsidRPr="00CF1417">
        <w:t>P</w:t>
      </w:r>
      <w:r w:rsidRPr="00CF1417">
        <w:rPr>
          <w:vertAlign w:val="subscript"/>
        </w:rPr>
        <w:t>max</w:t>
      </w:r>
      <w:r w:rsidRPr="00CF1417">
        <w:tab/>
        <w:t>—</w:t>
      </w:r>
      <w:r w:rsidRPr="00CF1417">
        <w:tab/>
        <w:t>среднее арифметическое максимальных значений давления в выбранных шинах по двум осям;</w:t>
      </w:r>
    </w:p>
    <w:p w14:paraId="71505F21" w14:textId="77777777" w:rsidR="009C7C69" w:rsidRPr="00CF1417" w:rsidRDefault="009C7C69" w:rsidP="009C7C69">
      <w:pPr>
        <w:tabs>
          <w:tab w:val="left" w:pos="2694"/>
        </w:tabs>
        <w:spacing w:after="120"/>
        <w:ind w:left="3119" w:right="1133" w:hanging="851"/>
        <w:jc w:val="both"/>
      </w:pPr>
      <w:r w:rsidRPr="00CF1417">
        <w:t>P</w:t>
      </w:r>
      <w:r w:rsidRPr="00CF1417">
        <w:rPr>
          <w:vertAlign w:val="subscript"/>
        </w:rPr>
        <w:t>min</w:t>
      </w:r>
      <w:r w:rsidRPr="00CF1417">
        <w:tab/>
        <w:t>—</w:t>
      </w:r>
      <w:r w:rsidRPr="00CF1417">
        <w:tab/>
        <w:t>среднее арифметическое минимальных значений давления в выбранных шинах по двум осям.</w:t>
      </w:r>
    </w:p>
    <w:p w14:paraId="335E6B9A" w14:textId="77777777" w:rsidR="009C7C69" w:rsidRPr="00CF1417" w:rsidRDefault="009C7C69" w:rsidP="009C7C69">
      <w:pPr>
        <w:spacing w:after="120"/>
        <w:ind w:left="2268" w:right="1133"/>
        <w:jc w:val="both"/>
        <w:rPr>
          <w:szCs w:val="21"/>
        </w:rPr>
      </w:pPr>
      <w:r w:rsidRPr="00CF1417">
        <w:t>Соответствующее влияние в плане сопротивления, воздействующего на транспортное средство, рассчитывают по следующей формуле:</w:t>
      </w:r>
    </w:p>
    <w:p w14:paraId="4852BB1A" w14:textId="77777777" w:rsidR="009C7C69" w:rsidRPr="00CF1417" w:rsidRDefault="009C7C69" w:rsidP="009C7C69">
      <w:pPr>
        <w:spacing w:after="120"/>
        <w:ind w:left="1418" w:right="1134"/>
        <w:jc w:val="center"/>
        <w:rPr>
          <w:szCs w:val="21"/>
        </w:rPr>
      </w:pPr>
      <m:oMathPara>
        <m:oMath>
          <m:r>
            <w:rPr>
              <w:rFonts w:ascii="Cambria Math" w:hAnsi="Cambria Math"/>
              <w:szCs w:val="21"/>
            </w:rPr>
            <m:t>TP=</m:t>
          </m:r>
          <m:sSup>
            <m:sSupPr>
              <m:ctrlPr>
                <w:rPr>
                  <w:rFonts w:ascii="Cambria Math" w:hAnsi="Cambria Math"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avg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1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1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Cs w:val="21"/>
                </w:rPr>
                <m:t>-0,4</m:t>
              </m:r>
            </m:sup>
          </m:sSup>
        </m:oMath>
      </m:oMathPara>
    </w:p>
    <w:p w14:paraId="28E0AB37" w14:textId="77777777" w:rsidR="009C7C69" w:rsidRPr="00CF1417" w:rsidRDefault="009C7C69" w:rsidP="009C7C69">
      <w:pPr>
        <w:spacing w:after="120"/>
        <w:ind w:left="2268" w:right="1134" w:hanging="1134"/>
        <w:jc w:val="both"/>
      </w:pPr>
      <w:r w:rsidRPr="00CF1417">
        <w:t>2.2.2</w:t>
      </w:r>
      <w:r w:rsidRPr="00CF1417">
        <w:tab/>
        <w:t>Влияние глубины протектора шин</w:t>
      </w:r>
    </w:p>
    <w:p w14:paraId="4E151D7E" w14:textId="77777777" w:rsidR="009C7C69" w:rsidRPr="00CF1417" w:rsidRDefault="009C7C69" w:rsidP="009C7C69">
      <w:pPr>
        <w:spacing w:after="120"/>
        <w:ind w:left="2268" w:right="1134"/>
        <w:jc w:val="both"/>
      </w:pPr>
      <w:r w:rsidRPr="00CF1417">
        <w:t>Влияние в плане сопротивления, воздействующего на транспортное средство, определяют по следующей формуле:</w:t>
      </w:r>
    </w:p>
    <w:p w14:paraId="1B1953AD" w14:textId="38F3594B" w:rsidR="009C7C69" w:rsidRPr="00CF1417" w:rsidRDefault="009C7C69" w:rsidP="009C7C69">
      <w:pPr>
        <w:spacing w:after="120"/>
        <w:ind w:left="3402" w:right="1134"/>
        <w:rPr>
          <w:szCs w:val="21"/>
        </w:rPr>
      </w:pPr>
      <w:r w:rsidRPr="00CF1417">
        <w:rPr>
          <w:szCs w:val="21"/>
        </w:rPr>
        <w:tab/>
      </w:r>
      <m:oMath>
        <m:r>
          <w:rPr>
            <w:rFonts w:ascii="Cambria Math" w:hAnsi="Cambria Math"/>
            <w:szCs w:val="21"/>
          </w:rPr>
          <m:t>TTD=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w:rPr>
                <w:rFonts w:ascii="Cambria Math" w:hAns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∙</m:t>
            </m:r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0</m:t>
                </m:r>
                <m:r>
                  <w:rPr>
                    <w:rFonts w:ascii="Cambria Math" w:hAnsi="Cambria Math"/>
                    <w:szCs w:val="21"/>
                  </w:rPr>
                  <m:t>,</m:t>
                </m:r>
                <m:r>
                  <w:rPr>
                    <w:rFonts w:ascii="Cambria Math" w:hAnsi="Cambria Math"/>
                    <w:szCs w:val="21"/>
                  </w:rPr>
                  <m:t>1</m:t>
                </m:r>
                <m:r>
                  <w:rPr>
                    <w:rFonts w:ascii="Cambria Math" w:hAnsi="Cambria Math"/>
                    <w:szCs w:val="21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Cs w:val="21"/>
                  </w:rPr>
                  <m:t>∙</m:t>
                </m:r>
                <m:r>
                  <w:rPr>
                    <w:rFonts w:ascii="Cambria Math" w:hAnsi="Cambria Math"/>
                    <w:szCs w:val="21"/>
                  </w:rPr>
                  <m:t>9</m:t>
                </m:r>
                <m:r>
                  <w:rPr>
                    <w:rFonts w:ascii="Cambria Math" w:hAnsi="Cambria Math"/>
                    <w:szCs w:val="21"/>
                  </w:rPr>
                  <m:t>,</m:t>
                </m:r>
                <m:r>
                  <w:rPr>
                    <w:rFonts w:ascii="Cambria Math" w:hAnsi="Cambria Math"/>
                    <w:szCs w:val="21"/>
                  </w:rPr>
                  <m:t>81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1000</m:t>
                </m:r>
              </m:den>
            </m:f>
          </m:e>
        </m:d>
      </m:oMath>
      <w:r w:rsidRPr="00CF1417">
        <w:rPr>
          <w:szCs w:val="21"/>
        </w:rPr>
        <w:t>,</w:t>
      </w:r>
    </w:p>
    <w:p w14:paraId="35ABD2B7" w14:textId="77777777" w:rsidR="009C7C69" w:rsidRPr="00CF1417" w:rsidRDefault="009C7C69" w:rsidP="009C7C69">
      <w:pPr>
        <w:spacing w:after="120"/>
        <w:ind w:left="2268" w:right="1134"/>
        <w:jc w:val="both"/>
      </w:pPr>
      <w:r w:rsidRPr="00CF1417">
        <w:t>где RM</w:t>
      </w:r>
      <w:r w:rsidRPr="00CF1417">
        <w:rPr>
          <w:vertAlign w:val="subscript"/>
        </w:rPr>
        <w:t>n</w:t>
      </w:r>
      <w:r w:rsidRPr="00CF1417">
        <w:t xml:space="preserve"> — контрольная масса транспортного средства в соответствии с настоящими Правилами.</w:t>
      </w:r>
    </w:p>
    <w:p w14:paraId="1BBF792B" w14:textId="27DEF82C" w:rsidR="009C7C69" w:rsidRPr="00CF1417" w:rsidRDefault="009C7C69" w:rsidP="009C7C69">
      <w:pPr>
        <w:spacing w:after="120"/>
        <w:ind w:left="2268" w:right="1134" w:hanging="1134"/>
        <w:jc w:val="both"/>
      </w:pPr>
      <w:r w:rsidRPr="00CF1417">
        <w:t>2.2.3</w:t>
      </w:r>
      <w:r w:rsidRPr="00CF1417">
        <w:tab/>
        <w:t>Влияние различных подходов к учету массы вращающихся частей</w:t>
      </w:r>
    </w:p>
    <w:p w14:paraId="1B98336D" w14:textId="77777777" w:rsidR="009C7C69" w:rsidRPr="00CF1417" w:rsidRDefault="009C7C69" w:rsidP="009C7C69">
      <w:pPr>
        <w:spacing w:after="120"/>
        <w:ind w:left="2268" w:right="1133"/>
        <w:jc w:val="both"/>
      </w:pPr>
      <w:r w:rsidRPr="00CF1417">
        <w:t>При регулировании параметров выбега для ВПИМ значения времени выбега преобразуют в силу и наоборот, принимая в расчет применимую испытательную массу плюс поправку на вращающуюся массу (3 % от значения MRO + 25 кг). При регулировании параметров выбега для НЕЕЦ значения времени выбега преобразуют в силу и наоборот, не принимая в расчет влияние вращающейся массы.</w:t>
      </w:r>
    </w:p>
    <w:p w14:paraId="38F9970B" w14:textId="77777777" w:rsidR="009C7C69" w:rsidRPr="00CF1417" w:rsidRDefault="009C7C69" w:rsidP="009C7C69">
      <w:pPr>
        <w:spacing w:after="120"/>
        <w:ind w:left="2268" w:right="1134" w:hanging="1134"/>
        <w:jc w:val="both"/>
      </w:pPr>
      <w:r w:rsidRPr="00CF1417">
        <w:t>2.2.4</w:t>
      </w:r>
      <w:r w:rsidRPr="00CF1417">
        <w:tab/>
        <w:t xml:space="preserve">Определение коэффициентов дорожной нагрузки для НЕЕЦ </w:t>
      </w:r>
    </w:p>
    <w:p w14:paraId="5A244E8C" w14:textId="2BDBB23D" w:rsidR="009C7C69" w:rsidRPr="00CF1417" w:rsidRDefault="009C7C69" w:rsidP="009C7C69">
      <w:pPr>
        <w:spacing w:after="120"/>
        <w:ind w:left="2835" w:right="1133" w:hanging="567"/>
        <w:jc w:val="both"/>
      </w:pPr>
      <w:r w:rsidRPr="00CF1417">
        <w:t>a)</w:t>
      </w:r>
      <w:r w:rsidRPr="00CF1417">
        <w:tab/>
        <w:t>Коэффициент дорожной нагрузки F</w:t>
      </w:r>
      <w:r w:rsidRPr="00CF1417">
        <w:rPr>
          <w:vertAlign w:val="subscript"/>
        </w:rPr>
        <w:t>0,n</w:t>
      </w:r>
      <w:r w:rsidRPr="00CF1417">
        <w:t>, выраженный в ньютонах (Н), для транспортного средства определяют следующим образом:</w:t>
      </w:r>
    </w:p>
    <w:p w14:paraId="3DE62AA0" w14:textId="77777777" w:rsidR="009C7C69" w:rsidRPr="00CF1417" w:rsidRDefault="009C7C69" w:rsidP="009C7C69">
      <w:pPr>
        <w:spacing w:after="120"/>
        <w:ind w:left="2835" w:right="1134"/>
        <w:jc w:val="both"/>
      </w:pPr>
      <w:r w:rsidRPr="00CF1417">
        <w:t>i)</w:t>
      </w:r>
      <w:r w:rsidRPr="00CF1417">
        <w:tab/>
        <w:t>влияние различных сил инерции:</w:t>
      </w:r>
    </w:p>
    <w:p w14:paraId="41FE06D4" w14:textId="77777777" w:rsidR="009C7C69" w:rsidRPr="00CF1417" w:rsidRDefault="009C7C69" w:rsidP="009C7C69">
      <w:pPr>
        <w:spacing w:after="120"/>
        <w:ind w:left="1985" w:right="1134" w:hanging="284"/>
        <w:jc w:val="center"/>
        <w:rPr>
          <w:szCs w:val="21"/>
        </w:rPr>
      </w:pPr>
      <m:oMath>
        <m:sSubSup>
          <m:sSubSupPr>
            <m:ctrlPr>
              <w:rPr>
                <w:rFonts w:ascii="Cambria Math" w:hAnsi="Cambria Math"/>
                <w:i/>
                <w:szCs w:val="21"/>
              </w:rPr>
            </m:ctrlPr>
          </m:sSubSup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0n</m:t>
            </m:r>
          </m:sub>
          <m:sup>
            <m:r>
              <w:rPr>
                <w:rFonts w:ascii="Cambria Math" w:hAnsi="Cambria Math"/>
                <w:szCs w:val="21"/>
              </w:rPr>
              <m:t>1</m:t>
            </m:r>
          </m:sup>
        </m:sSubSup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0w</m:t>
            </m:r>
          </m:sub>
        </m:sSub>
        <m:r>
          <w:rPr>
            <w:rFonts w:ascii="Cambria Math" w:hAnsi="Cambria Math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RM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1"/>
                      </w:rPr>
                      <m:t>TM</m:t>
                    </m:r>
                  </m:e>
                  <m:sub>
                    <m:r>
                      <w:rPr>
                        <w:rFonts w:ascii="Cambria Math" w:hAnsi="Cambria Math"/>
                        <w:szCs w:val="21"/>
                      </w:rPr>
                      <m:t>w</m:t>
                    </m:r>
                  </m:sub>
                </m:sSub>
              </m:den>
            </m:f>
          </m:e>
        </m:d>
      </m:oMath>
      <w:r w:rsidRPr="00CF1417">
        <w:rPr>
          <w:szCs w:val="21"/>
        </w:rPr>
        <w:t>,</w:t>
      </w:r>
    </w:p>
    <w:p w14:paraId="4958D087" w14:textId="77777777" w:rsidR="009C7C69" w:rsidRPr="00CF1417" w:rsidRDefault="009C7C69" w:rsidP="009C7C69">
      <w:pPr>
        <w:spacing w:after="120"/>
        <w:ind w:left="2835" w:right="1133"/>
        <w:jc w:val="both"/>
      </w:pPr>
      <w:r w:rsidRPr="00CF1417">
        <w:t>где:</w:t>
      </w:r>
    </w:p>
    <w:p w14:paraId="6F4498E4" w14:textId="77777777" w:rsidR="009C7C69" w:rsidRPr="00CF1417" w:rsidRDefault="009C7C69" w:rsidP="009C7C69">
      <w:pPr>
        <w:tabs>
          <w:tab w:val="left" w:pos="3402"/>
        </w:tabs>
        <w:spacing w:after="120"/>
        <w:ind w:left="3828" w:right="1133" w:hanging="993"/>
        <w:jc w:val="both"/>
      </w:pPr>
      <w:r w:rsidRPr="00CF1417">
        <w:t>RM</w:t>
      </w:r>
      <w:r w:rsidRPr="00CF1417">
        <w:rPr>
          <w:vertAlign w:val="subscript"/>
        </w:rPr>
        <w:t>n</w:t>
      </w:r>
      <w:r w:rsidRPr="00CF1417">
        <w:tab/>
        <w:t>—</w:t>
      </w:r>
      <w:r w:rsidRPr="00CF1417">
        <w:tab/>
        <w:t>контрольная масса транспортного средства в соответствии с настоящими Правилами;</w:t>
      </w:r>
    </w:p>
    <w:p w14:paraId="35AA5877" w14:textId="77777777" w:rsidR="009C7C69" w:rsidRPr="00CF1417" w:rsidRDefault="009C7C69" w:rsidP="009C7C69">
      <w:pPr>
        <w:tabs>
          <w:tab w:val="left" w:pos="3402"/>
        </w:tabs>
        <w:spacing w:after="120"/>
        <w:ind w:left="3828" w:right="1133" w:hanging="993"/>
        <w:jc w:val="both"/>
      </w:pPr>
      <w:r w:rsidRPr="00CF1417">
        <w:rPr>
          <w:i/>
          <w:iCs/>
        </w:rPr>
        <w:t>F</w:t>
      </w:r>
      <w:r w:rsidRPr="00CF1417">
        <w:rPr>
          <w:vertAlign w:val="subscript"/>
        </w:rPr>
        <w:t>0</w:t>
      </w:r>
      <w:r w:rsidRPr="00CF1417">
        <w:rPr>
          <w:i/>
          <w:iCs/>
          <w:vertAlign w:val="subscript"/>
        </w:rPr>
        <w:t>w</w:t>
      </w:r>
      <w:r w:rsidRPr="00CF1417">
        <w:rPr>
          <w:i/>
          <w:iCs/>
        </w:rPr>
        <w:tab/>
      </w:r>
      <w:r w:rsidRPr="00CF1417">
        <w:t>—</w:t>
      </w:r>
      <w:r w:rsidRPr="00CF1417">
        <w:tab/>
        <w:t>коэффициент дорожной нагрузки F</w:t>
      </w:r>
      <w:r w:rsidRPr="00CF1417">
        <w:rPr>
          <w:vertAlign w:val="subscript"/>
        </w:rPr>
        <w:t>0</w:t>
      </w:r>
      <w:r w:rsidRPr="00CF1417">
        <w:t xml:space="preserve">, определенный для испытания транспортного средства по процедуре ВПИМ; </w:t>
      </w:r>
    </w:p>
    <w:p w14:paraId="6310ADF6" w14:textId="77777777" w:rsidR="009C7C69" w:rsidRPr="00CF1417" w:rsidRDefault="009C7C69" w:rsidP="009C7C69">
      <w:pPr>
        <w:tabs>
          <w:tab w:val="left" w:pos="3402"/>
        </w:tabs>
        <w:spacing w:after="120"/>
        <w:ind w:left="3828" w:right="1133" w:hanging="993"/>
        <w:jc w:val="both"/>
      </w:pPr>
      <w:r w:rsidRPr="00CF1417">
        <w:t>TM</w:t>
      </w:r>
      <w:r w:rsidRPr="00CF1417">
        <w:rPr>
          <w:vertAlign w:val="subscript"/>
        </w:rPr>
        <w:t>w</w:t>
      </w:r>
      <w:r w:rsidRPr="00CF1417">
        <w:tab/>
        <w:t>—</w:t>
      </w:r>
      <w:r w:rsidRPr="00CF1417">
        <w:tab/>
        <w:t>испытательная масса транспортного средства, оснащенного стандартным оборудованием, по процедуре ВПИМ;</w:t>
      </w:r>
    </w:p>
    <w:p w14:paraId="11EEA351" w14:textId="77777777" w:rsidR="009C7C69" w:rsidRPr="00CF1417" w:rsidRDefault="009C7C69" w:rsidP="00441FEE">
      <w:pPr>
        <w:pageBreakBefore/>
        <w:spacing w:after="120"/>
        <w:ind w:left="2835" w:right="1134"/>
        <w:jc w:val="both"/>
      </w:pPr>
      <w:r w:rsidRPr="00CF1417">
        <w:lastRenderedPageBreak/>
        <w:t>ii)</w:t>
      </w:r>
      <w:r w:rsidRPr="00CF1417">
        <w:tab/>
        <w:t>влияние различного давления в шинах:</w:t>
      </w:r>
    </w:p>
    <w:p w14:paraId="0AFC11F4" w14:textId="77777777" w:rsidR="009C7C69" w:rsidRPr="00CF1417" w:rsidRDefault="009C7C69" w:rsidP="009C7C69">
      <w:pPr>
        <w:spacing w:after="120"/>
        <w:ind w:left="1985" w:right="1134" w:hanging="284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0n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0n</m:t>
            </m:r>
          </m:sub>
          <m:sup>
            <m:r>
              <w:rPr>
                <w:rFonts w:ascii="Cambria Math" w:hAnsi="Cambria Math"/>
              </w:rPr>
              <m:t>1</m:t>
            </m:r>
          </m:sup>
        </m:sSubSup>
        <m:r>
          <w:rPr>
            <w:rFonts w:ascii="Cambria Math" w:hAnsi="Cambria Math"/>
          </w:rPr>
          <m:t>∙TP</m:t>
        </m:r>
      </m:oMath>
      <w:r w:rsidRPr="00CF1417">
        <w:t>,</w:t>
      </w:r>
    </w:p>
    <w:p w14:paraId="0349619C" w14:textId="77777777" w:rsidR="009C7C69" w:rsidRPr="00CF1417" w:rsidRDefault="009C7C69" w:rsidP="009C7C69">
      <w:pPr>
        <w:spacing w:after="120"/>
        <w:ind w:left="2835" w:right="1133"/>
      </w:pPr>
      <w:r w:rsidRPr="00CF1417">
        <w:t>где используемый в формуле коэффициент</w:t>
      </w:r>
      <w:r w:rsidRPr="00CF1417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TP</m:t>
        </m:r>
      </m:oMath>
      <w:r w:rsidRPr="00CF1417">
        <w:t xml:space="preserve"> рассчитан в соответствии с пунктом 2.2.1;</w:t>
      </w:r>
    </w:p>
    <w:p w14:paraId="31325858" w14:textId="77777777" w:rsidR="009C7C69" w:rsidRPr="00CF1417" w:rsidRDefault="009C7C69" w:rsidP="009C7C69">
      <w:pPr>
        <w:spacing w:after="120"/>
        <w:ind w:left="2835" w:right="1134"/>
        <w:jc w:val="both"/>
      </w:pPr>
      <w:r w:rsidRPr="00CF1417">
        <w:t>iii)</w:t>
      </w:r>
      <w:r w:rsidRPr="00CF1417">
        <w:tab/>
        <w:t>влияние инерции вращающихся частей:</w:t>
      </w:r>
    </w:p>
    <w:p w14:paraId="7373E410" w14:textId="77777777" w:rsidR="009C7C69" w:rsidRPr="00CF1417" w:rsidRDefault="009C7C69" w:rsidP="009C7C69">
      <w:pPr>
        <w:spacing w:after="120"/>
        <w:ind w:left="2268" w:right="1134" w:firstLine="567"/>
        <w:rPr>
          <w:szCs w:val="21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F</m:t>
              </m:r>
            </m:e>
            <m:sub>
              <m:r>
                <w:rPr>
                  <w:rFonts w:ascii="Cambria Math" w:hAnsi="Cambria Math"/>
                  <w:szCs w:val="21"/>
                </w:rPr>
                <m:t>0n</m:t>
              </m:r>
            </m:sub>
            <m:sup>
              <m:r>
                <w:rPr>
                  <w:rFonts w:ascii="Cambria Math" w:hAnsi="Cambria Math"/>
                  <w:szCs w:val="21"/>
                </w:rPr>
                <m:t>3</m:t>
              </m:r>
            </m:sup>
          </m:sSubSup>
          <m:r>
            <w:rPr>
              <w:rFonts w:ascii="Cambria Math" w:hAnsi="Cambria Math"/>
              <w:szCs w:val="21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Cs w:val="21"/>
                </w:rPr>
              </m:ctrlPr>
            </m:sSubSupPr>
            <m:e>
              <m:r>
                <w:rPr>
                  <w:rFonts w:ascii="Cambria Math" w:hAnsi="Cambria Math"/>
                  <w:szCs w:val="21"/>
                </w:rPr>
                <m:t>F</m:t>
              </m:r>
            </m:e>
            <m:sub>
              <m:r>
                <w:rPr>
                  <w:rFonts w:ascii="Cambria Math" w:hAnsi="Cambria Math"/>
                  <w:szCs w:val="21"/>
                </w:rPr>
                <m:t>0n</m:t>
              </m:r>
            </m:sub>
            <m:sup>
              <m:r>
                <w:rPr>
                  <w:rFonts w:ascii="Cambria Math" w:hAnsi="Cambria Math"/>
                  <w:szCs w:val="21"/>
                </w:rPr>
                <m:t>2</m:t>
              </m:r>
            </m:sup>
          </m:sSubSup>
          <m:r>
            <w:rPr>
              <w:rFonts w:ascii="Cambria Math" w:hAnsi="Cambria Math"/>
              <w:szCs w:val="21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1,03</m:t>
                  </m:r>
                </m:den>
              </m:f>
            </m:e>
          </m:d>
        </m:oMath>
      </m:oMathPara>
    </w:p>
    <w:p w14:paraId="40011E37" w14:textId="77777777" w:rsidR="009C7C69" w:rsidRPr="00CF1417" w:rsidRDefault="009C7C69" w:rsidP="009C7C69">
      <w:pPr>
        <w:spacing w:after="120"/>
        <w:ind w:left="2835" w:right="1134"/>
      </w:pPr>
      <w:r w:rsidRPr="00CF1417">
        <w:t>iv)</w:t>
      </w:r>
      <w:r w:rsidRPr="00CF1417">
        <w:tab/>
        <w:t>влияние различной глубины протектора шин:</w:t>
      </w:r>
    </w:p>
    <w:p w14:paraId="05F10D1C" w14:textId="77777777" w:rsidR="009C7C69" w:rsidRPr="00CF1417" w:rsidRDefault="009C7C69" w:rsidP="009C7C69">
      <w:pPr>
        <w:spacing w:after="120"/>
        <w:ind w:left="1985" w:right="1134" w:hanging="284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0n</m:t>
            </m:r>
          </m:sub>
        </m:sSub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0n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  <m:r>
          <w:rPr>
            <w:rFonts w:ascii="Cambria Math" w:hAnsi="Cambria Math"/>
          </w:rPr>
          <m:t>-TTD</m:t>
        </m:r>
      </m:oMath>
      <w:r w:rsidRPr="00CF1417">
        <w:t>,</w:t>
      </w:r>
    </w:p>
    <w:p w14:paraId="0B909895" w14:textId="77777777" w:rsidR="009C7C69" w:rsidRPr="00CF1417" w:rsidRDefault="009C7C69" w:rsidP="009C7C69">
      <w:pPr>
        <w:spacing w:after="120"/>
        <w:ind w:left="2835" w:right="1133"/>
      </w:pPr>
      <w:r w:rsidRPr="00CF1417">
        <w:t>где используемый в формуле коэффициент</w:t>
      </w:r>
      <w:r w:rsidRPr="00CF1417">
        <w:rPr>
          <w:rFonts w:ascii="Cambria Math" w:hAnsi="Cambria Math"/>
          <w:i/>
        </w:rPr>
        <w:t xml:space="preserve"> </w:t>
      </w:r>
      <m:oMath>
        <m:r>
          <w:rPr>
            <w:rFonts w:ascii="Cambria Math" w:hAnsi="Cambria Math"/>
          </w:rPr>
          <m:t>TTD</m:t>
        </m:r>
      </m:oMath>
      <w:r w:rsidRPr="00CF1417">
        <w:t xml:space="preserve"> рассчитан в соответствии с пунктом 2.2.2.</w:t>
      </w:r>
    </w:p>
    <w:p w14:paraId="453A4274" w14:textId="7D945C4F" w:rsidR="009C7C69" w:rsidRPr="00CF1417" w:rsidRDefault="009C7C69" w:rsidP="009C7C69">
      <w:pPr>
        <w:spacing w:after="120"/>
        <w:ind w:left="2835" w:right="1133" w:hanging="567"/>
        <w:rPr>
          <w:szCs w:val="21"/>
        </w:rPr>
      </w:pPr>
      <w:r w:rsidRPr="00CF1417">
        <w:t>b)</w:t>
      </w:r>
      <w:r w:rsidRPr="00CF1417">
        <w:tab/>
        <w:t>Коэффициент дорожной нагрузки F</w:t>
      </w:r>
      <w:r w:rsidRPr="00CF1417">
        <w:rPr>
          <w:vertAlign w:val="subscript"/>
        </w:rPr>
        <w:t>1n</w:t>
      </w:r>
      <w:r w:rsidRPr="00CF1417">
        <w:t xml:space="preserve"> для транспортного средства определяют следующим образом: </w:t>
      </w:r>
    </w:p>
    <w:p w14:paraId="67142A10" w14:textId="77777777" w:rsidR="009C7C69" w:rsidRPr="00CF1417" w:rsidRDefault="009C7C69" w:rsidP="009C7C69">
      <w:pPr>
        <w:spacing w:after="120"/>
        <w:ind w:left="1985" w:right="1134" w:hanging="284"/>
        <w:jc w:val="center"/>
        <w:rPr>
          <w:szCs w:val="21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F</m:t>
              </m:r>
            </m:e>
            <m:sub>
              <m:r>
                <w:rPr>
                  <w:rFonts w:ascii="Cambria Math" w:hAnsi="Cambria Math"/>
                  <w:szCs w:val="21"/>
                </w:rPr>
                <m:t>1n</m:t>
              </m:r>
            </m:sub>
          </m:sSub>
          <m:r>
            <w:rPr>
              <w:rFonts w:ascii="Cambria Math" w:hAnsi="Cambria Math"/>
              <w:szCs w:val="21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1"/>
                </w:rPr>
              </m:ctrlPr>
            </m:sSubPr>
            <m:e>
              <m:r>
                <w:rPr>
                  <w:rFonts w:ascii="Cambria Math" w:hAnsi="Cambria Math"/>
                  <w:szCs w:val="21"/>
                </w:rPr>
                <m:t>F</m:t>
              </m:r>
            </m:e>
            <m:sub>
              <m:r>
                <w:rPr>
                  <w:rFonts w:ascii="Cambria Math" w:hAnsi="Cambria Math"/>
                  <w:szCs w:val="21"/>
                </w:rPr>
                <m:t>1w</m:t>
              </m:r>
            </m:sub>
          </m:sSub>
          <m:r>
            <w:rPr>
              <w:rFonts w:ascii="Cambria Math" w:hAnsi="Cambria Math"/>
              <w:szCs w:val="21"/>
            </w:rPr>
            <m:t>∙</m:t>
          </m:r>
          <m:d>
            <m:dPr>
              <m:ctrlPr>
                <w:rPr>
                  <w:rFonts w:ascii="Cambria Math" w:hAnsi="Cambria Math"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1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1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1"/>
                    </w:rPr>
                    <m:t>1,03</m:t>
                  </m:r>
                </m:den>
              </m:f>
            </m:e>
          </m:d>
        </m:oMath>
      </m:oMathPara>
    </w:p>
    <w:p w14:paraId="0B9EA46C" w14:textId="3FA63EB5" w:rsidR="009C7C69" w:rsidRPr="00CF1417" w:rsidRDefault="009C7C69" w:rsidP="009C7C69">
      <w:pPr>
        <w:spacing w:after="120"/>
        <w:ind w:left="2835" w:right="1133" w:hanging="567"/>
      </w:pPr>
      <w:r w:rsidRPr="00CF1417">
        <w:t>c)</w:t>
      </w:r>
      <w:r w:rsidRPr="00CF1417">
        <w:tab/>
        <w:t>Коэффициент дорожной нагрузки F</w:t>
      </w:r>
      <w:r w:rsidRPr="00CF1417">
        <w:rPr>
          <w:vertAlign w:val="subscript"/>
        </w:rPr>
        <w:t>2n</w:t>
      </w:r>
      <w:r w:rsidRPr="00CF1417">
        <w:t xml:space="preserve"> для транспортного средства определяют следующим образом: </w:t>
      </w:r>
    </w:p>
    <w:p w14:paraId="60167955" w14:textId="77777777" w:rsidR="009C7C69" w:rsidRPr="00CF1417" w:rsidRDefault="009C7C69" w:rsidP="009C7C69">
      <w:pPr>
        <w:spacing w:after="120"/>
        <w:ind w:left="993" w:right="-1"/>
        <w:jc w:val="center"/>
        <w:rPr>
          <w:szCs w:val="21"/>
        </w:rPr>
      </w:pPr>
      <m:oMath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n</m:t>
            </m:r>
          </m:sub>
        </m:sSub>
        <m:r>
          <w:rPr>
            <w:rFonts w:ascii="Cambria Math" w:hAnsi="Cambria Math"/>
            <w:szCs w:val="21"/>
          </w:rPr>
          <m:t>=</m:t>
        </m:r>
        <m:sSub>
          <m:sSubPr>
            <m:ctrlPr>
              <w:rPr>
                <w:rFonts w:ascii="Cambria Math" w:hAnsi="Cambria Math"/>
                <w:i/>
                <w:szCs w:val="21"/>
              </w:rPr>
            </m:ctrlPr>
          </m:sSubPr>
          <m:e>
            <m:r>
              <w:rPr>
                <w:rFonts w:ascii="Cambria Math" w:hAnsi="Cambria Math"/>
                <w:szCs w:val="21"/>
              </w:rPr>
              <m:t>F</m:t>
            </m:r>
          </m:e>
          <m:sub>
            <m:r>
              <w:rPr>
                <w:rFonts w:ascii="Cambria Math" w:hAns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w</m:t>
            </m:r>
          </m:sub>
        </m:sSub>
        <m:r>
          <w:rPr>
            <w:rFonts w:ascii="Cambria Math" w:hAnsi="Cambria Math"/>
            <w:szCs w:val="21"/>
          </w:rPr>
          <m:t>∙</m:t>
        </m:r>
        <m:d>
          <m:dPr>
            <m:ctrlPr>
              <w:rPr>
                <w:rFonts w:ascii="Cambria Math" w:hAnsi="Cambria Math"/>
                <w:i/>
                <w:szCs w:val="21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Cs w:val="21"/>
                  </w:rPr>
                </m:ctrlPr>
              </m:fPr>
              <m:num>
                <m: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Cs w:val="21"/>
                  </w:rPr>
                  <m:t>1</m:t>
                </m:r>
                <m:r>
                  <w:rPr>
                    <w:rFonts w:ascii="Cambria Math" w:hAnsi="Cambria Math"/>
                    <w:szCs w:val="21"/>
                  </w:rPr>
                  <m:t>,</m:t>
                </m:r>
                <m:r>
                  <w:rPr>
                    <w:rFonts w:ascii="Cambria Math" w:hAnsi="Cambria Math"/>
                    <w:szCs w:val="21"/>
                  </w:rPr>
                  <m:t>03</m:t>
                </m:r>
              </m:den>
            </m:f>
          </m:e>
        </m:d>
      </m:oMath>
      <w:r w:rsidRPr="00CF1417">
        <w:rPr>
          <w:szCs w:val="21"/>
        </w:rPr>
        <w:t>,</w:t>
      </w:r>
    </w:p>
    <w:p w14:paraId="59399143" w14:textId="77777777" w:rsidR="009C7C69" w:rsidRPr="00CF1417" w:rsidRDefault="009C7C69" w:rsidP="009C7C69">
      <w:pPr>
        <w:spacing w:after="120"/>
        <w:ind w:left="2835" w:right="1133"/>
        <w:rPr>
          <w:szCs w:val="21"/>
        </w:rPr>
      </w:pPr>
      <w:r w:rsidRPr="00CF1417">
        <w:t xml:space="preserve">где коэффициент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w</m:t>
            </m:r>
          </m:sub>
        </m:sSub>
      </m:oMath>
      <w:r w:rsidRPr="00CF1417">
        <w:t xml:space="preserve"> — коэффициент дорожной нагрузки F</w:t>
      </w:r>
      <w:r w:rsidRPr="00CF1417">
        <w:rPr>
          <w:vertAlign w:val="subscript"/>
        </w:rPr>
        <w:t>2</w:t>
      </w:r>
      <w:r w:rsidRPr="00CF1417">
        <w:t xml:space="preserve"> согласно ВПИМ, определенный для транспортного средства, оснащенного стандартным оборудованием».</w:t>
      </w:r>
    </w:p>
    <w:p w14:paraId="108699F3" w14:textId="77777777" w:rsidR="009C7C69" w:rsidRPr="00CF1417" w:rsidRDefault="009C7C69" w:rsidP="009C7C69">
      <w:pPr>
        <w:adjustRightInd w:val="0"/>
        <w:spacing w:after="120"/>
        <w:ind w:left="1134" w:right="1134"/>
        <w:jc w:val="both"/>
        <w:rPr>
          <w:i/>
        </w:rPr>
      </w:pPr>
      <w:r w:rsidRPr="00CF1417">
        <w:rPr>
          <w:i/>
          <w:iCs/>
        </w:rPr>
        <w:t xml:space="preserve">Приложение 4a </w:t>
      </w:r>
      <w:r w:rsidRPr="00CF1417">
        <w:t>исключить.</w:t>
      </w:r>
    </w:p>
    <w:p w14:paraId="16CCB441" w14:textId="77777777" w:rsidR="009C7C69" w:rsidRPr="00CF1417" w:rsidRDefault="009C7C69" w:rsidP="009C7C69">
      <w:pPr>
        <w:adjustRightInd w:val="0"/>
        <w:spacing w:after="120"/>
        <w:ind w:left="1134" w:right="1134"/>
        <w:rPr>
          <w:i/>
          <w:iCs/>
        </w:rPr>
      </w:pPr>
      <w:r w:rsidRPr="00CF1417">
        <w:rPr>
          <w:i/>
          <w:iCs/>
        </w:rPr>
        <w:t>Приложение 7</w:t>
      </w:r>
    </w:p>
    <w:p w14:paraId="462BE533" w14:textId="77777777" w:rsidR="009C7C69" w:rsidRPr="00CF1417" w:rsidRDefault="009C7C69" w:rsidP="009C7C69">
      <w:pPr>
        <w:adjustRightInd w:val="0"/>
        <w:spacing w:after="120"/>
        <w:ind w:left="1134" w:right="1134"/>
      </w:pPr>
      <w:r w:rsidRPr="00CF1417">
        <w:rPr>
          <w:i/>
          <w:iCs/>
        </w:rPr>
        <w:t xml:space="preserve">Пункт 7.1 </w:t>
      </w:r>
      <w:r w:rsidRPr="00CF1417">
        <w:t>изменить следующим образом:</w:t>
      </w:r>
    </w:p>
    <w:p w14:paraId="1D04A93A" w14:textId="67C070E8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t>«7.1</w:t>
      </w:r>
      <w:r w:rsidRPr="00CF1417">
        <w:tab/>
      </w:r>
      <w:r w:rsidRPr="00CF1417">
        <w:rPr>
          <w:shd w:val="clear" w:color="auto" w:fill="FFFFFF"/>
        </w:rPr>
        <w:t>В случае обычного контроля, производимого в конце производственного процесса, в качестве альтернативы испытанию типа 4, предусмотренному в настоящем приложении, держатель официального утверждения может продемонстрировать соответствие производства путем отбора образцов транспортных средств, которые должны отвечать нижеследующим требованиям».</w:t>
      </w:r>
    </w:p>
    <w:p w14:paraId="56DCC56D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rPr>
          <w:i/>
          <w:iCs/>
        </w:rPr>
        <w:t>Добавить пункты 7.1.1 и 7.1.2</w:t>
      </w:r>
      <w:r w:rsidRPr="00CF1417">
        <w:t xml:space="preserve"> следующего содержания:</w:t>
      </w:r>
    </w:p>
    <w:p w14:paraId="6E8EB8A4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t xml:space="preserve">«7.1.1 </w:t>
      </w:r>
      <w:r w:rsidRPr="00CF1417">
        <w:tab/>
      </w:r>
      <w:r w:rsidRPr="00CF1417">
        <w:rPr>
          <w:shd w:val="clear" w:color="auto" w:fill="FFFFFF"/>
        </w:rPr>
        <w:t>В случае транспортных средств с системой герметичного топливного бака по просьбе изготовителя и по согласованию с компетентным органом могут применяться процедуры, альтернативные пунктам 7.2–7.4 настоящего приложения.</w:t>
      </w:r>
    </w:p>
    <w:p w14:paraId="744E67CE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t>7.1.2</w:t>
      </w:r>
      <w:r w:rsidRPr="00CF1417">
        <w:tab/>
      </w:r>
      <w:r w:rsidRPr="00CF1417">
        <w:rPr>
          <w:shd w:val="clear" w:color="auto" w:fill="FFFFFF"/>
        </w:rPr>
        <w:t>Если изготовитель решает использовать любую альтернативную процедуру, то все детали процедуры испытания на соответствие регистрируют в документации об официальном утверждении типа».</w:t>
      </w:r>
    </w:p>
    <w:p w14:paraId="7EF15054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rPr>
          <w:i/>
          <w:iCs/>
        </w:rPr>
        <w:t>Пункт 7.2.2</w:t>
      </w:r>
      <w:r w:rsidRPr="00CF1417">
        <w:t xml:space="preserve"> изменить следующим образом:</w:t>
      </w:r>
    </w:p>
    <w:p w14:paraId="0AA3A885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  <w:rPr>
          <w:shd w:val="clear" w:color="auto" w:fill="FFFFFF"/>
        </w:rPr>
      </w:pPr>
      <w:r w:rsidRPr="00CF1417">
        <w:t>«7.2.2</w:t>
      </w:r>
      <w:r w:rsidRPr="00CF1417">
        <w:tab/>
      </w:r>
      <w:r w:rsidRPr="00CF1417">
        <w:rPr>
          <w:shd w:val="clear" w:color="auto" w:fill="FFFFFF"/>
        </w:rPr>
        <w:t>Давление в топливной системе должно поддерживаться на уровне 3,70 кПа ±0,10 кПа. По просьбе изготовителя и с одобрения компетентного органа можно также использовать альтернативное значение давление с учетом диапазона давления в топливной системе».</w:t>
      </w:r>
    </w:p>
    <w:p w14:paraId="4384AF7D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rPr>
          <w:i/>
          <w:iCs/>
        </w:rPr>
        <w:t>Пункт 7.2.4</w:t>
      </w:r>
      <w:r w:rsidRPr="00CF1417">
        <w:t xml:space="preserve"> изменить следующим образом:</w:t>
      </w:r>
    </w:p>
    <w:p w14:paraId="544D1897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t>«7.2.4</w:t>
      </w:r>
      <w:r w:rsidRPr="00CF1417">
        <w:tab/>
      </w:r>
      <w:r w:rsidRPr="00CF1417">
        <w:rPr>
          <w:shd w:val="clear" w:color="auto" w:fill="FFFFFF"/>
        </w:rPr>
        <w:t>После изоляции топливной системы давление не должно падать более чем на 0,50 кПа за пять минут».</w:t>
      </w:r>
    </w:p>
    <w:p w14:paraId="2CB52BF4" w14:textId="77777777" w:rsidR="009C7C69" w:rsidRPr="00CF1417" w:rsidRDefault="009C7C69" w:rsidP="009C7C69">
      <w:pPr>
        <w:keepNext/>
        <w:keepLines/>
        <w:adjustRightInd w:val="0"/>
        <w:spacing w:after="120"/>
        <w:ind w:left="2268" w:right="1134" w:hanging="1134"/>
        <w:jc w:val="both"/>
      </w:pPr>
      <w:r w:rsidRPr="00CF1417">
        <w:rPr>
          <w:i/>
          <w:iCs/>
        </w:rPr>
        <w:lastRenderedPageBreak/>
        <w:t>Добавить пункт 7.2.5</w:t>
      </w:r>
      <w:r w:rsidRPr="00CF1417">
        <w:t xml:space="preserve"> следующего содержания:</w:t>
      </w:r>
    </w:p>
    <w:p w14:paraId="3D63F3FA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t>«7.2.5</w:t>
      </w:r>
      <w:r w:rsidRPr="00CF1417">
        <w:tab/>
      </w:r>
      <w:r w:rsidRPr="00CF1417">
        <w:rPr>
          <w:shd w:val="clear" w:color="auto" w:fill="FFFFFF"/>
        </w:rPr>
        <w:t>По просьбе изготовителя и по согласованию с компетентным органом функция предотвращения утечки может быть продемонстрирована с помощью эквивалентной альтернативной процедуры».</w:t>
      </w:r>
    </w:p>
    <w:p w14:paraId="3E938A79" w14:textId="77777777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rPr>
          <w:i/>
          <w:iCs/>
        </w:rPr>
        <w:t>Пункт 7.3.2</w:t>
      </w:r>
      <w:r w:rsidRPr="00CF1417">
        <w:t xml:space="preserve"> изменить следующим образом:</w:t>
      </w:r>
    </w:p>
    <w:p w14:paraId="3D3416D4" w14:textId="3CBAA4D8" w:rsidR="009C7C69" w:rsidRPr="00CF1417" w:rsidRDefault="009C7C69" w:rsidP="009C7C69">
      <w:pPr>
        <w:suppressAutoHyphens w:val="0"/>
        <w:spacing w:after="120" w:line="240" w:lineRule="auto"/>
        <w:ind w:left="2268" w:right="1134" w:hanging="1134"/>
      </w:pPr>
      <w:r w:rsidRPr="00CF1417">
        <w:t>«7.3.2</w:t>
      </w:r>
      <w:r w:rsidRPr="00CF1417">
        <w:tab/>
      </w:r>
      <w:r w:rsidRPr="00CF1417">
        <w:rPr>
          <w:shd w:val="clear" w:color="auto" w:fill="FFFFFF"/>
        </w:rPr>
        <w:t>Давление в топливной системе должно поддерживаться на уровне 3,70 кПа ±0,10 кПа. По просьбе изготовителя и с одобрения компетентного органа можно также использовать альтернативное значение давлени</w:t>
      </w:r>
      <w:r w:rsidR="003C586D">
        <w:rPr>
          <w:shd w:val="clear" w:color="auto" w:fill="FFFFFF"/>
        </w:rPr>
        <w:t>я</w:t>
      </w:r>
      <w:r w:rsidRPr="00CF1417">
        <w:rPr>
          <w:shd w:val="clear" w:color="auto" w:fill="FFFFFF"/>
        </w:rPr>
        <w:t xml:space="preserve"> с учетом диапазона давления в топливной системе».</w:t>
      </w:r>
    </w:p>
    <w:p w14:paraId="125C98D0" w14:textId="77777777" w:rsidR="009C7C69" w:rsidRPr="00CF1417" w:rsidRDefault="009C7C69" w:rsidP="009C7C69">
      <w:pPr>
        <w:adjustRightInd w:val="0"/>
        <w:spacing w:after="120"/>
        <w:ind w:left="1134" w:right="1134"/>
        <w:jc w:val="both"/>
      </w:pPr>
      <w:r w:rsidRPr="00CF1417">
        <w:rPr>
          <w:i/>
          <w:iCs/>
        </w:rPr>
        <w:t>Пункт 7.3.5</w:t>
      </w:r>
      <w:r w:rsidRPr="00CF1417">
        <w:t xml:space="preserve"> изменить следующим образом:</w:t>
      </w:r>
    </w:p>
    <w:p w14:paraId="055F1638" w14:textId="127C0D6F" w:rsidR="009C7C69" w:rsidRPr="00CF1417" w:rsidRDefault="009C7C69" w:rsidP="009C7C69">
      <w:pPr>
        <w:adjustRightInd w:val="0"/>
        <w:spacing w:after="120"/>
        <w:ind w:left="2268" w:right="1134" w:hanging="1134"/>
        <w:jc w:val="both"/>
      </w:pPr>
      <w:r w:rsidRPr="00CF1417">
        <w:t>«7.3.5</w:t>
      </w:r>
      <w:r w:rsidRPr="00CF1417">
        <w:tab/>
      </w:r>
      <w:r w:rsidRPr="00CF1417">
        <w:rPr>
          <w:shd w:val="clear" w:color="auto" w:fill="FFFFFF"/>
        </w:rPr>
        <w:t>Через одну минуту давление в топливной системе должно опуститься до значения, превышающего давление окружающей среды менее чем на 2,5 кПа».</w:t>
      </w:r>
    </w:p>
    <w:p w14:paraId="2BE40DBB" w14:textId="77777777" w:rsidR="009C7C69" w:rsidRPr="00CF1417" w:rsidRDefault="009C7C69" w:rsidP="009C7C69">
      <w:pPr>
        <w:adjustRightInd w:val="0"/>
        <w:spacing w:after="120"/>
        <w:ind w:left="1134" w:right="1134"/>
        <w:jc w:val="both"/>
      </w:pPr>
      <w:r w:rsidRPr="00CF1417">
        <w:rPr>
          <w:i/>
          <w:iCs/>
        </w:rPr>
        <w:t>Пункт 7.3.6</w:t>
      </w:r>
      <w:r w:rsidRPr="00CF1417">
        <w:t xml:space="preserve"> изменить следующим образом:</w:t>
      </w:r>
    </w:p>
    <w:p w14:paraId="66EF78ED" w14:textId="77777777" w:rsidR="009C7C69" w:rsidRPr="00CF1417" w:rsidRDefault="009C7C69" w:rsidP="009C7C69">
      <w:pPr>
        <w:pStyle w:val="Default"/>
        <w:spacing w:after="120"/>
        <w:ind w:left="2268" w:right="1134" w:hanging="1134"/>
        <w:rPr>
          <w:color w:val="auto"/>
          <w:sz w:val="20"/>
          <w:szCs w:val="20"/>
          <w:lang w:val="ru-RU"/>
        </w:rPr>
      </w:pPr>
      <w:r w:rsidRPr="00CF1417">
        <w:rPr>
          <w:color w:val="auto"/>
          <w:sz w:val="20"/>
          <w:szCs w:val="20"/>
          <w:lang w:val="ru-RU"/>
        </w:rPr>
        <w:t>«7.3.6</w:t>
      </w:r>
      <w:r w:rsidRPr="00CF1417">
        <w:rPr>
          <w:color w:val="auto"/>
          <w:sz w:val="20"/>
          <w:szCs w:val="20"/>
          <w:lang w:val="ru-RU"/>
        </w:rPr>
        <w:tab/>
      </w:r>
      <w:r w:rsidRPr="00CF1417">
        <w:rPr>
          <w:color w:val="auto"/>
          <w:sz w:val="20"/>
          <w:szCs w:val="20"/>
          <w:shd w:val="clear" w:color="auto" w:fill="FFFFFF"/>
          <w:lang w:val="ru-RU"/>
        </w:rPr>
        <w:t>По просьбе изготовителя и по согласованию с компетентным органом функциональные возможности сапунов могут быть подтверждены при помощи эквивалентной альтернативной процедуры».</w:t>
      </w:r>
    </w:p>
    <w:p w14:paraId="0BFF0C92" w14:textId="77777777" w:rsidR="009C7C69" w:rsidRPr="00CF1417" w:rsidRDefault="009C7C69" w:rsidP="009C7C69">
      <w:pPr>
        <w:adjustRightInd w:val="0"/>
        <w:spacing w:after="120"/>
        <w:ind w:left="1134" w:right="1134"/>
        <w:jc w:val="both"/>
      </w:pPr>
      <w:r w:rsidRPr="00CF1417">
        <w:rPr>
          <w:i/>
          <w:iCs/>
        </w:rPr>
        <w:t>Пункт 7.4.4.3</w:t>
      </w:r>
      <w:r w:rsidRPr="00CF1417">
        <w:t xml:space="preserve"> изменить следующим образом:</w:t>
      </w:r>
    </w:p>
    <w:p w14:paraId="5291E2CD" w14:textId="77777777" w:rsidR="009C7C69" w:rsidRPr="00CF1417" w:rsidRDefault="009C7C69" w:rsidP="009C7C69">
      <w:pPr>
        <w:pStyle w:val="Default"/>
        <w:spacing w:after="120"/>
        <w:ind w:left="2268" w:right="1134" w:hanging="1134"/>
        <w:rPr>
          <w:color w:val="auto"/>
          <w:sz w:val="20"/>
          <w:szCs w:val="20"/>
          <w:lang w:val="ru-RU"/>
        </w:rPr>
      </w:pPr>
      <w:r w:rsidRPr="00CF1417">
        <w:rPr>
          <w:color w:val="auto"/>
          <w:sz w:val="20"/>
          <w:szCs w:val="20"/>
          <w:lang w:val="ru-RU"/>
        </w:rPr>
        <w:t xml:space="preserve">«7.4.4.3 </w:t>
      </w:r>
      <w:r w:rsidRPr="00CF1417">
        <w:rPr>
          <w:color w:val="auto"/>
          <w:sz w:val="20"/>
          <w:szCs w:val="20"/>
          <w:lang w:val="ru-RU"/>
        </w:rPr>
        <w:tab/>
      </w:r>
      <w:r w:rsidRPr="00CF1417">
        <w:rPr>
          <w:color w:val="auto"/>
          <w:sz w:val="20"/>
          <w:szCs w:val="20"/>
          <w:shd w:val="clear" w:color="auto" w:fill="FFFFFF"/>
          <w:lang w:val="ru-RU"/>
        </w:rPr>
        <w:t>По просьбе изготовителя и по согласованию с компетентным органом можно использовать альтернативную процедуру испытания методом продувки».</w:t>
      </w:r>
    </w:p>
    <w:p w14:paraId="41B6C14B" w14:textId="77777777" w:rsidR="009C7C69" w:rsidRPr="00CF1417" w:rsidRDefault="009C7C69" w:rsidP="009C7C69">
      <w:pPr>
        <w:adjustRightInd w:val="0"/>
        <w:spacing w:after="120"/>
        <w:ind w:left="1134" w:right="1134"/>
        <w:jc w:val="both"/>
        <w:rPr>
          <w:lang w:val="en-US"/>
        </w:rPr>
      </w:pPr>
      <w:r w:rsidRPr="00CF1417">
        <w:rPr>
          <w:i/>
          <w:iCs/>
        </w:rPr>
        <w:t>Исключить пункты</w:t>
      </w:r>
      <w:r w:rsidRPr="00CF1417">
        <w:rPr>
          <w:i/>
          <w:iCs/>
          <w:lang w:val="en-US"/>
        </w:rPr>
        <w:t xml:space="preserve"> 7.5, 7.5.1, 7.5.2 </w:t>
      </w:r>
      <w:r w:rsidRPr="00CF1417">
        <w:rPr>
          <w:i/>
          <w:iCs/>
        </w:rPr>
        <w:t>и</w:t>
      </w:r>
      <w:r w:rsidRPr="00CF1417">
        <w:rPr>
          <w:i/>
          <w:iCs/>
          <w:lang w:val="en-US"/>
        </w:rPr>
        <w:t xml:space="preserve"> 7.6</w:t>
      </w:r>
      <w:r w:rsidRPr="00CF1417">
        <w:rPr>
          <w:lang w:val="en-US"/>
        </w:rPr>
        <w:t>.</w:t>
      </w:r>
    </w:p>
    <w:p w14:paraId="3378C59C" w14:textId="1102A9BA" w:rsidR="00E12C5F" w:rsidRPr="006F1411" w:rsidRDefault="009C7C69" w:rsidP="006F1411">
      <w:pPr>
        <w:spacing w:before="240"/>
        <w:jc w:val="center"/>
        <w:rPr>
          <w:u w:val="single"/>
        </w:rPr>
      </w:pPr>
      <w:r w:rsidRPr="00CF1417">
        <w:rPr>
          <w:u w:val="single"/>
        </w:rPr>
        <w:tab/>
      </w:r>
      <w:r w:rsidRPr="00CF1417">
        <w:rPr>
          <w:u w:val="single"/>
        </w:rPr>
        <w:tab/>
      </w:r>
      <w:r w:rsidRPr="00CF1417">
        <w:rPr>
          <w:u w:val="single"/>
        </w:rPr>
        <w:tab/>
      </w:r>
    </w:p>
    <w:sectPr w:rsidR="00E12C5F" w:rsidRPr="006F1411" w:rsidSect="00AA40C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CB4C" w14:textId="77777777" w:rsidR="00712291" w:rsidRPr="00A312BC" w:rsidRDefault="00712291" w:rsidP="00A312BC"/>
  </w:endnote>
  <w:endnote w:type="continuationSeparator" w:id="0">
    <w:p w14:paraId="5DCAC409" w14:textId="77777777" w:rsidR="00712291" w:rsidRPr="00A312BC" w:rsidRDefault="007122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C49C" w14:textId="4C672574" w:rsidR="00AA40C5" w:rsidRPr="00AA40C5" w:rsidRDefault="00AA40C5">
    <w:pPr>
      <w:pStyle w:val="a8"/>
    </w:pPr>
    <w:r w:rsidRPr="00AA40C5">
      <w:rPr>
        <w:b/>
        <w:sz w:val="18"/>
      </w:rPr>
      <w:fldChar w:fldCharType="begin"/>
    </w:r>
    <w:r w:rsidRPr="00AA40C5">
      <w:rPr>
        <w:b/>
        <w:sz w:val="18"/>
      </w:rPr>
      <w:instrText xml:space="preserve"> PAGE  \* MERGEFORMAT </w:instrText>
    </w:r>
    <w:r w:rsidRPr="00AA40C5">
      <w:rPr>
        <w:b/>
        <w:sz w:val="18"/>
      </w:rPr>
      <w:fldChar w:fldCharType="separate"/>
    </w:r>
    <w:r w:rsidRPr="00AA40C5">
      <w:rPr>
        <w:b/>
        <w:noProof/>
        <w:sz w:val="18"/>
      </w:rPr>
      <w:t>2</w:t>
    </w:r>
    <w:r w:rsidRPr="00AA40C5">
      <w:rPr>
        <w:b/>
        <w:sz w:val="18"/>
      </w:rPr>
      <w:fldChar w:fldCharType="end"/>
    </w:r>
    <w:r>
      <w:rPr>
        <w:b/>
        <w:sz w:val="18"/>
      </w:rPr>
      <w:tab/>
    </w:r>
    <w:r>
      <w:t>GE.24-06550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085B" w14:textId="144B3CD7" w:rsidR="00AA40C5" w:rsidRPr="00AA40C5" w:rsidRDefault="00AA40C5" w:rsidP="00AA40C5">
    <w:pPr>
      <w:pStyle w:val="a8"/>
      <w:tabs>
        <w:tab w:val="clear" w:pos="9639"/>
        <w:tab w:val="right" w:pos="9638"/>
      </w:tabs>
      <w:rPr>
        <w:b/>
        <w:sz w:val="18"/>
      </w:rPr>
    </w:pPr>
    <w:r>
      <w:t>GE.24-06550</w:t>
    </w:r>
    <w:r>
      <w:tab/>
    </w:r>
    <w:r w:rsidRPr="00AA40C5">
      <w:rPr>
        <w:b/>
        <w:sz w:val="18"/>
      </w:rPr>
      <w:fldChar w:fldCharType="begin"/>
    </w:r>
    <w:r w:rsidRPr="00AA40C5">
      <w:rPr>
        <w:b/>
        <w:sz w:val="18"/>
      </w:rPr>
      <w:instrText xml:space="preserve"> PAGE  \* MERGEFORMAT </w:instrText>
    </w:r>
    <w:r w:rsidRPr="00AA40C5">
      <w:rPr>
        <w:b/>
        <w:sz w:val="18"/>
      </w:rPr>
      <w:fldChar w:fldCharType="separate"/>
    </w:r>
    <w:r w:rsidRPr="00AA40C5">
      <w:rPr>
        <w:b/>
        <w:noProof/>
        <w:sz w:val="18"/>
      </w:rPr>
      <w:t>3</w:t>
    </w:r>
    <w:r w:rsidRPr="00AA40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6597" w14:textId="460CE977" w:rsidR="00042B72" w:rsidRPr="00D626B6" w:rsidRDefault="00AA40C5" w:rsidP="00AA40C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6101F58" wp14:editId="53055F1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24-06550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2D52533" wp14:editId="1B76A15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6B6">
      <w:rPr>
        <w:lang w:val="en-US"/>
      </w:rPr>
      <w:t xml:space="preserve">  220424  230424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312D" w14:textId="77777777" w:rsidR="00712291" w:rsidRPr="001075E9" w:rsidRDefault="007122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1CDEF63" w14:textId="77777777" w:rsidR="00712291" w:rsidRDefault="007122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6C4D1F0" w14:textId="77777777" w:rsidR="009C7C69" w:rsidRPr="00BE5EA0" w:rsidRDefault="009C7C69" w:rsidP="004450C5">
      <w:pPr>
        <w:pStyle w:val="ad"/>
      </w:pPr>
      <w:r>
        <w:tab/>
      </w:r>
      <w:r w:rsidRPr="004450C5">
        <w:rPr>
          <w:rStyle w:val="aa"/>
          <w:sz w:val="20"/>
          <w:vertAlign w:val="baseline"/>
        </w:rPr>
        <w:t>*</w:t>
      </w:r>
      <w:r w:rsidRPr="007136C4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 w:rsidRPr="00BE5EA0">
        <w:rPr>
          <w:szCs w:val="18"/>
        </w:rPr>
        <w:t>.</w:t>
      </w:r>
    </w:p>
  </w:footnote>
  <w:footnote w:id="2">
    <w:p w14:paraId="37B6BB54" w14:textId="77777777" w:rsidR="009C7C69" w:rsidRPr="005A7DA0" w:rsidRDefault="009C7C69" w:rsidP="009C7C69">
      <w:pPr>
        <w:pStyle w:val="ad"/>
        <w:ind w:hanging="567"/>
      </w:pPr>
      <w:r w:rsidRPr="00683298">
        <w:tab/>
      </w:r>
      <w:r w:rsidRPr="005A7DA0">
        <w:rPr>
          <w:rStyle w:val="aa"/>
        </w:rPr>
        <w:footnoteRef/>
      </w:r>
      <w:r w:rsidRPr="005A7DA0">
        <w:tab/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1913" w14:textId="70A4ED5A" w:rsidR="00AA40C5" w:rsidRPr="00AA40C5" w:rsidRDefault="00AA40C5">
    <w:pPr>
      <w:pStyle w:val="a5"/>
    </w:pPr>
    <w:fldSimple w:instr=" TITLE  \* MERGEFORMAT ">
      <w:r w:rsidR="00C56108">
        <w:t>ECE/TRANS/WP.29/2024/47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EE6" w14:textId="69D8886F" w:rsidR="00AA40C5" w:rsidRPr="00AA40C5" w:rsidRDefault="00AA40C5" w:rsidP="00AA40C5">
    <w:pPr>
      <w:pStyle w:val="a5"/>
      <w:jc w:val="right"/>
    </w:pPr>
    <w:fldSimple w:instr=" TITLE  \* MERGEFORMAT ">
      <w:r w:rsidR="00C56108">
        <w:t>ECE/TRANS/WP.29/2024/47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8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9"/>
  </w:num>
  <w:num w:numId="5" w16cid:durableId="1298685170">
    <w:abstractNumId w:val="15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7"/>
  </w:num>
  <w:num w:numId="17" w16cid:durableId="53941411">
    <w:abstractNumId w:val="14"/>
  </w:num>
  <w:num w:numId="18" w16cid:durableId="961153681">
    <w:abstractNumId w:val="16"/>
  </w:num>
  <w:num w:numId="19" w16cid:durableId="1272468768">
    <w:abstractNumId w:val="17"/>
  </w:num>
  <w:num w:numId="20" w16cid:durableId="807743971">
    <w:abstractNumId w:val="14"/>
  </w:num>
  <w:num w:numId="21" w16cid:durableId="1591162185">
    <w:abstractNumId w:val="16"/>
  </w:num>
  <w:num w:numId="22" w16cid:durableId="862590414">
    <w:abstractNumId w:val="12"/>
  </w:num>
  <w:num w:numId="23" w16cid:durableId="101542675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5720A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586D"/>
    <w:rsid w:val="003E0B46"/>
    <w:rsid w:val="00407B78"/>
    <w:rsid w:val="00424203"/>
    <w:rsid w:val="00441FEE"/>
    <w:rsid w:val="004450C5"/>
    <w:rsid w:val="00452493"/>
    <w:rsid w:val="00453318"/>
    <w:rsid w:val="00454AF2"/>
    <w:rsid w:val="00454E07"/>
    <w:rsid w:val="00472C5C"/>
    <w:rsid w:val="00485F8A"/>
    <w:rsid w:val="004868E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1411"/>
    <w:rsid w:val="006F35EE"/>
    <w:rsid w:val="007021FF"/>
    <w:rsid w:val="00712291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C7C69"/>
    <w:rsid w:val="009D7E7D"/>
    <w:rsid w:val="00A14DA8"/>
    <w:rsid w:val="00A312BC"/>
    <w:rsid w:val="00A84021"/>
    <w:rsid w:val="00A84D35"/>
    <w:rsid w:val="00A917B3"/>
    <w:rsid w:val="00AA40C5"/>
    <w:rsid w:val="00AB0B78"/>
    <w:rsid w:val="00AB4B51"/>
    <w:rsid w:val="00B10CC7"/>
    <w:rsid w:val="00B34015"/>
    <w:rsid w:val="00B36DF7"/>
    <w:rsid w:val="00B539E7"/>
    <w:rsid w:val="00B62458"/>
    <w:rsid w:val="00BC18B2"/>
    <w:rsid w:val="00BD33EE"/>
    <w:rsid w:val="00BE1CC7"/>
    <w:rsid w:val="00C106D6"/>
    <w:rsid w:val="00C119AE"/>
    <w:rsid w:val="00C37659"/>
    <w:rsid w:val="00C56108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26B6"/>
    <w:rsid w:val="00D873A8"/>
    <w:rsid w:val="00D90028"/>
    <w:rsid w:val="00D90138"/>
    <w:rsid w:val="00D9145B"/>
    <w:rsid w:val="00DD78D1"/>
    <w:rsid w:val="00DE32CD"/>
    <w:rsid w:val="00DF5767"/>
    <w:rsid w:val="00DF71B9"/>
    <w:rsid w:val="00E07EAA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C5538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A1160"/>
  <w15:docId w15:val="{F243897C-044C-416C-8787-97E4A5A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,Footnote call,Voetnootverwijzing,Times 10 Point,Exposant 3 Point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C7C69"/>
    <w:rPr>
      <w:lang w:val="ru-RU" w:eastAsia="en-US"/>
    </w:rPr>
  </w:style>
  <w:style w:type="character" w:customStyle="1" w:styleId="HChGChar">
    <w:name w:val="_ H _Ch_G Char"/>
    <w:link w:val="HChG"/>
    <w:locked/>
    <w:rsid w:val="009C7C69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C7C69"/>
    <w:rPr>
      <w:b/>
      <w:sz w:val="24"/>
      <w:lang w:val="ru-RU" w:eastAsia="ru-RU"/>
    </w:rPr>
  </w:style>
  <w:style w:type="paragraph" w:customStyle="1" w:styleId="ParaNo">
    <w:name w:val="ParaNo."/>
    <w:basedOn w:val="a"/>
    <w:rsid w:val="009C7C69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Default">
    <w:name w:val="Default"/>
    <w:rsid w:val="009C7C6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C3F68-E8A9-47EF-8FC3-4F77E62C8C41}"/>
</file>

<file path=customXml/itemProps2.xml><?xml version="1.0" encoding="utf-8"?>
<ds:datastoreItem xmlns:ds="http://schemas.openxmlformats.org/officeDocument/2006/customXml" ds:itemID="{AFC065D7-254B-4787-A1BF-B6AF2CC9DA25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1094</Words>
  <Characters>7500</Characters>
  <Application>Microsoft Office Word</Application>
  <DocSecurity>0</DocSecurity>
  <Lines>189</Lines>
  <Paragraphs>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ECE/TRANS/WP.29/2024/47</dc:title>
  <dc:subject/>
  <dc:creator>Uliana ANTIPOVA</dc:creator>
  <cp:keywords/>
  <cp:lastModifiedBy>Uliana Antipova</cp:lastModifiedBy>
  <cp:revision>3</cp:revision>
  <cp:lastPrinted>2024-04-23T06:24:00Z</cp:lastPrinted>
  <dcterms:created xsi:type="dcterms:W3CDTF">2024-04-23T06:23:00Z</dcterms:created>
  <dcterms:modified xsi:type="dcterms:W3CDTF">2024-04-23T06:24:00Z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