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3CE5EFE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DC23DB7" w14:textId="77777777" w:rsidR="00F35BAF" w:rsidRPr="00DB58B5" w:rsidRDefault="00F35BAF" w:rsidP="00E3060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FC65791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71A3776" w14:textId="5B0B1AD6" w:rsidR="00F35BAF" w:rsidRPr="00DB58B5" w:rsidRDefault="00E3060E" w:rsidP="00E3060E">
            <w:pPr>
              <w:jc w:val="right"/>
            </w:pPr>
            <w:r w:rsidRPr="00E3060E">
              <w:rPr>
                <w:sz w:val="40"/>
              </w:rPr>
              <w:t>ECE</w:t>
            </w:r>
            <w:r>
              <w:t>/TRANS/WP.29/2023/27/Corr.1</w:t>
            </w:r>
          </w:p>
        </w:tc>
      </w:tr>
      <w:tr w:rsidR="00F35BAF" w:rsidRPr="00DB58B5" w14:paraId="1C2F6DA9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F1F07CC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5297852" wp14:editId="32F9BB1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7AE890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A8D406F" w14:textId="77777777" w:rsidR="00F35BAF" w:rsidRDefault="00E3060E" w:rsidP="00C97039">
            <w:pPr>
              <w:spacing w:before="240"/>
            </w:pPr>
            <w:r>
              <w:t>Distr. générale</w:t>
            </w:r>
          </w:p>
          <w:p w14:paraId="7F884297" w14:textId="77777777" w:rsidR="00E3060E" w:rsidRDefault="00E3060E" w:rsidP="00E3060E">
            <w:pPr>
              <w:spacing w:line="240" w:lineRule="exact"/>
            </w:pPr>
            <w:r>
              <w:t>16 avril 2024</w:t>
            </w:r>
          </w:p>
          <w:p w14:paraId="1617A35A" w14:textId="77777777" w:rsidR="00E3060E" w:rsidRDefault="00E3060E" w:rsidP="00E3060E">
            <w:pPr>
              <w:spacing w:line="240" w:lineRule="exact"/>
            </w:pPr>
            <w:r>
              <w:t>Français</w:t>
            </w:r>
          </w:p>
          <w:p w14:paraId="6A38B2C7" w14:textId="3FC512D9" w:rsidR="00E3060E" w:rsidRPr="00DB58B5" w:rsidRDefault="00E3060E" w:rsidP="00E3060E">
            <w:pPr>
              <w:spacing w:line="240" w:lineRule="exact"/>
            </w:pPr>
            <w:r>
              <w:t>Original : anglais</w:t>
            </w:r>
          </w:p>
        </w:tc>
      </w:tr>
    </w:tbl>
    <w:p w14:paraId="628EBF6A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952293D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0312D8D" w14:textId="77777777" w:rsidR="00E3060E" w:rsidRDefault="00E3060E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6773C2B8" w14:textId="6FDADEE9" w:rsidR="00E3060E" w:rsidRPr="008F09E4" w:rsidRDefault="00E3060E" w:rsidP="00E3060E">
      <w:pPr>
        <w:spacing w:before="120"/>
        <w:rPr>
          <w:b/>
        </w:rPr>
      </w:pPr>
      <w:r>
        <w:rPr>
          <w:b/>
          <w:bCs/>
          <w:lang w:val="fr-FR"/>
        </w:rPr>
        <w:t>193</w:t>
      </w:r>
      <w:r w:rsidRPr="00E3060E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session</w:t>
      </w:r>
    </w:p>
    <w:p w14:paraId="5F020DB8" w14:textId="77777777" w:rsidR="00E3060E" w:rsidRPr="008F09E4" w:rsidRDefault="00E3060E" w:rsidP="00E3060E">
      <w:r>
        <w:rPr>
          <w:lang w:val="fr-FR"/>
        </w:rPr>
        <w:t>Genève, 25-28 juin 2024</w:t>
      </w:r>
    </w:p>
    <w:p w14:paraId="6CD535DD" w14:textId="77777777" w:rsidR="00E3060E" w:rsidRPr="008F09E4" w:rsidRDefault="00E3060E" w:rsidP="00E3060E">
      <w:r>
        <w:rPr>
          <w:lang w:val="fr-FR"/>
        </w:rPr>
        <w:t>Point 4.11.1 de l’ordre du jour provisoire</w:t>
      </w:r>
    </w:p>
    <w:p w14:paraId="4A806050" w14:textId="2251EF1E" w:rsidR="00E3060E" w:rsidRPr="008F09E4" w:rsidRDefault="00E3060E" w:rsidP="00E3060E">
      <w:pPr>
        <w:rPr>
          <w:b/>
        </w:rPr>
      </w:pPr>
      <w:r>
        <w:rPr>
          <w:b/>
          <w:bCs/>
          <w:lang w:val="fr-FR"/>
        </w:rPr>
        <w:t>Accord de 1958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:</w:t>
      </w:r>
    </w:p>
    <w:p w14:paraId="39FBAECF" w14:textId="400C5459" w:rsidR="00E3060E" w:rsidRPr="008F09E4" w:rsidRDefault="00E3060E" w:rsidP="00E3060E">
      <w:pPr>
        <w:rPr>
          <w:b/>
        </w:rPr>
      </w:pPr>
      <w:r>
        <w:rPr>
          <w:b/>
          <w:bCs/>
          <w:lang w:val="fr-FR"/>
        </w:rPr>
        <w:t xml:space="preserve">Examen, s’il y a lieu, de projets de rectificatifs à des Règlements ONU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existants, soumis par le secrétariat</w:t>
      </w:r>
    </w:p>
    <w:p w14:paraId="076E1B90" w14:textId="1D2FF2CE" w:rsidR="00E3060E" w:rsidRPr="008F09E4" w:rsidRDefault="00E3060E" w:rsidP="00E3060E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 xml:space="preserve">Proposition de complément 2 à la série 01 d’amendements </w:t>
      </w:r>
      <w:r>
        <w:rPr>
          <w:lang w:val="fr-FR"/>
        </w:rPr>
        <w:br/>
      </w:r>
      <w:r>
        <w:rPr>
          <w:lang w:val="fr-FR"/>
        </w:rPr>
        <w:t xml:space="preserve">au Règlement ONU </w:t>
      </w:r>
      <w:r w:rsidRPr="00E3060E">
        <w:rPr>
          <w:rFonts w:eastAsia="MS Mincho"/>
          <w:lang w:val="fr-FR"/>
        </w:rPr>
        <w:t>n</w:t>
      </w:r>
      <w:r w:rsidRPr="00E3060E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 xml:space="preserve"> </w:t>
      </w:r>
      <w:r>
        <w:rPr>
          <w:lang w:val="fr-FR"/>
        </w:rPr>
        <w:t xml:space="preserve">150 (Dispositifs </w:t>
      </w:r>
      <w:proofErr w:type="spellStart"/>
      <w:r>
        <w:rPr>
          <w:lang w:val="fr-FR"/>
        </w:rPr>
        <w:t>rétroréfléchissants</w:t>
      </w:r>
      <w:proofErr w:type="spellEnd"/>
      <w:r>
        <w:rPr>
          <w:lang w:val="fr-FR"/>
        </w:rPr>
        <w:t xml:space="preserve">) </w:t>
      </w:r>
    </w:p>
    <w:p w14:paraId="2624070E" w14:textId="522C809C" w:rsidR="00E3060E" w:rsidRPr="008F09E4" w:rsidRDefault="00E3060E" w:rsidP="00E3060E">
      <w:pPr>
        <w:pStyle w:val="H23G"/>
        <w:rPr>
          <w:sz w:val="24"/>
          <w:szCs w:val="24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Rectificatif</w:t>
      </w:r>
    </w:p>
    <w:p w14:paraId="4F2F7036" w14:textId="77777777" w:rsidR="00E3060E" w:rsidRPr="008F09E4" w:rsidRDefault="00E3060E" w:rsidP="00E3060E">
      <w:pPr>
        <w:pStyle w:val="H1G"/>
        <w:rPr>
          <w:szCs w:val="24"/>
        </w:rPr>
      </w:pPr>
      <w:r>
        <w:rPr>
          <w:lang w:val="fr-FR"/>
        </w:rPr>
        <w:tab/>
      </w:r>
      <w:r>
        <w:rPr>
          <w:lang w:val="fr-FR"/>
        </w:rPr>
        <w:tab/>
        <w:t>Communication du secrétariat</w:t>
      </w:r>
      <w:r w:rsidRPr="00E3060E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14:paraId="69F0B66F" w14:textId="22D60D96" w:rsidR="00E3060E" w:rsidRPr="008F09E4" w:rsidRDefault="00E3060E" w:rsidP="00E3060E">
      <w:pPr>
        <w:pStyle w:val="SingleTxtG"/>
        <w:rPr>
          <w:rFonts w:eastAsia="Calibri"/>
        </w:rPr>
      </w:pPr>
      <w:r w:rsidRPr="00E3060E">
        <w:rPr>
          <w:i/>
          <w:iCs/>
          <w:lang w:val="fr-FR"/>
        </w:rPr>
        <w:t>Page 1, titre</w:t>
      </w:r>
      <w:r>
        <w:rPr>
          <w:lang w:val="fr-FR"/>
        </w:rPr>
        <w:t>, lire</w:t>
      </w:r>
      <w:r>
        <w:rPr>
          <w:lang w:val="fr-FR"/>
        </w:rPr>
        <w:t> </w:t>
      </w:r>
      <w:r>
        <w:rPr>
          <w:lang w:val="fr-FR"/>
        </w:rPr>
        <w:t>:</w:t>
      </w:r>
    </w:p>
    <w:p w14:paraId="5293B2F7" w14:textId="7FA10772" w:rsidR="00E3060E" w:rsidRPr="008F09E4" w:rsidRDefault="00E3060E" w:rsidP="00E3060E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E3060E">
        <w:rPr>
          <w:b w:val="0"/>
          <w:bCs/>
          <w:sz w:val="20"/>
          <w:lang w:val="fr-FR"/>
        </w:rPr>
        <w:t>« </w:t>
      </w:r>
      <w:r>
        <w:rPr>
          <w:lang w:val="fr-FR"/>
        </w:rPr>
        <w:t xml:space="preserve">Proposition de rectificatif 1 au complément 2 à la série 01 d’amendements au Règlement ONU </w:t>
      </w:r>
      <w:r w:rsidRPr="00E3060E">
        <w:rPr>
          <w:rFonts w:eastAsia="MS Mincho"/>
          <w:lang w:val="fr-FR"/>
        </w:rPr>
        <w:t>n</w:t>
      </w:r>
      <w:r w:rsidRPr="00E3060E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 xml:space="preserve"> </w:t>
      </w:r>
      <w:r>
        <w:rPr>
          <w:lang w:val="fr-FR"/>
        </w:rPr>
        <w:t xml:space="preserve">150 (Dispositifs </w:t>
      </w:r>
      <w:proofErr w:type="spellStart"/>
      <w:r>
        <w:rPr>
          <w:lang w:val="fr-FR"/>
        </w:rPr>
        <w:t>rétroréfléchissants</w:t>
      </w:r>
      <w:proofErr w:type="spellEnd"/>
      <w:r>
        <w:rPr>
          <w:lang w:val="fr-FR"/>
        </w:rPr>
        <w:t>)</w:t>
      </w:r>
      <w:r>
        <w:rPr>
          <w:lang w:val="fr-FR"/>
        </w:rPr>
        <w:t> </w:t>
      </w:r>
      <w:r w:rsidRPr="00E3060E">
        <w:rPr>
          <w:b w:val="0"/>
          <w:bCs/>
          <w:sz w:val="20"/>
          <w:lang w:val="fr-FR"/>
        </w:rPr>
        <w:t>»</w:t>
      </w:r>
    </w:p>
    <w:p w14:paraId="07458420" w14:textId="0AB5DA6B" w:rsidR="00E3060E" w:rsidRPr="008F09E4" w:rsidRDefault="00E3060E" w:rsidP="00E3060E">
      <w:pPr>
        <w:pStyle w:val="SingleTxtG"/>
        <w:rPr>
          <w:rFonts w:eastAsia="Calibri"/>
          <w:i/>
        </w:rPr>
      </w:pPr>
      <w:r>
        <w:rPr>
          <w:i/>
          <w:iCs/>
          <w:lang w:val="fr-FR"/>
        </w:rPr>
        <w:t>Page 2, avant le tableau 6</w:t>
      </w:r>
      <w:r>
        <w:rPr>
          <w:lang w:val="fr-FR"/>
        </w:rPr>
        <w:t>, ajouter</w:t>
      </w:r>
      <w:r>
        <w:rPr>
          <w:lang w:val="fr-FR"/>
        </w:rPr>
        <w:t> </w:t>
      </w:r>
      <w:r>
        <w:rPr>
          <w:lang w:val="fr-FR"/>
        </w:rPr>
        <w:t xml:space="preserve">: </w:t>
      </w:r>
    </w:p>
    <w:p w14:paraId="10EA83AA" w14:textId="0873C2B9" w:rsidR="00E3060E" w:rsidRPr="008F09E4" w:rsidRDefault="00E3060E" w:rsidP="00E3060E">
      <w:pPr>
        <w:pStyle w:val="SingleTxtG"/>
        <w:rPr>
          <w:rFonts w:eastAsia="Calibri"/>
          <w:u w:val="single"/>
        </w:rPr>
      </w:pPr>
      <w:r>
        <w:rPr>
          <w:lang w:val="fr-FR"/>
        </w:rPr>
        <w:t>« </w:t>
      </w:r>
      <w:r>
        <w:rPr>
          <w:i/>
          <w:iCs/>
          <w:lang w:val="fr-FR"/>
        </w:rPr>
        <w:t>Paragraphe 4.2.1.2</w:t>
      </w:r>
      <w:r>
        <w:rPr>
          <w:lang w:val="fr-FR"/>
        </w:rPr>
        <w:t>, lire</w:t>
      </w:r>
      <w:r>
        <w:rPr>
          <w:lang w:val="fr-FR"/>
        </w:rPr>
        <w:t> </w:t>
      </w:r>
      <w:r>
        <w:rPr>
          <w:lang w:val="fr-FR"/>
        </w:rPr>
        <w:t>:</w:t>
      </w:r>
    </w:p>
    <w:p w14:paraId="0FC9C18A" w14:textId="171E5A41" w:rsidR="00E3060E" w:rsidRPr="008F09E4" w:rsidRDefault="00E3060E" w:rsidP="00E3060E">
      <w:pPr>
        <w:pStyle w:val="SingleTxtG"/>
        <w:ind w:left="2268" w:hanging="1134"/>
        <w:rPr>
          <w:b/>
          <w:bCs/>
        </w:rPr>
      </w:pPr>
      <w:r>
        <w:rPr>
          <w:lang w:val="fr-FR"/>
        </w:rPr>
        <w:t>4.2.1.2</w:t>
      </w:r>
      <w:r>
        <w:rPr>
          <w:lang w:val="fr-FR"/>
        </w:rPr>
        <w:tab/>
        <w:t xml:space="preserve">Le dispositif </w:t>
      </w:r>
      <w:proofErr w:type="spellStart"/>
      <w:r>
        <w:rPr>
          <w:lang w:val="fr-FR"/>
        </w:rPr>
        <w:t>rétroréfléchissant</w:t>
      </w:r>
      <w:proofErr w:type="spellEnd"/>
      <w:r>
        <w:rPr>
          <w:lang w:val="fr-FR"/>
        </w:rPr>
        <w:t xml:space="preserve"> étant doit être éclairé par l’illuminant normalisé A de la CIE selon un angle de divergence de 1/3° et un angle d’éclairage de β</w:t>
      </w:r>
      <w:r w:rsidRPr="00E3060E">
        <w:rPr>
          <w:vertAlign w:val="subscript"/>
          <w:lang w:val="fr-FR"/>
        </w:rPr>
        <w:t>1</w:t>
      </w:r>
      <w:r>
        <w:rPr>
          <w:lang w:val="fr-FR"/>
        </w:rPr>
        <w:t> </w:t>
      </w:r>
      <w:r>
        <w:rPr>
          <w:lang w:val="fr-FR"/>
        </w:rPr>
        <w:t>= β</w:t>
      </w:r>
      <w:r w:rsidRPr="00E3060E">
        <w:rPr>
          <w:vertAlign w:val="subscript"/>
          <w:lang w:val="fr-FR"/>
        </w:rPr>
        <w:t>2</w:t>
      </w:r>
      <w:r>
        <w:rPr>
          <w:lang w:val="fr-FR"/>
        </w:rPr>
        <w:t xml:space="preserve"> = 0° ou, s’il se produit une réflexion non colorée sur la surface d’entrée, un angle tel que spécifié au paragraphe 1.1 de la partie 1 de l’annexe</w:t>
      </w:r>
      <w:r>
        <w:rPr>
          <w:lang w:val="fr-FR"/>
        </w:rPr>
        <w:t> </w:t>
      </w:r>
      <w:r>
        <w:rPr>
          <w:lang w:val="fr-FR"/>
        </w:rPr>
        <w:t xml:space="preserve">4. Les coordonnées trichromatiques de l’intensité lumineuse réfléchie doivent être situées à l’intérieur des limites pour la couleur nocturne de la lumière réfléchie par ce dispositif, telle que définie dans le Règlement ONU </w:t>
      </w:r>
      <w:r w:rsidRPr="00E3060E">
        <w:rPr>
          <w:rFonts w:eastAsia="MS Mincho"/>
          <w:lang w:val="fr-FR"/>
        </w:rPr>
        <w:t>n</w:t>
      </w:r>
      <w:r w:rsidRPr="00E3060E">
        <w:rPr>
          <w:rFonts w:eastAsia="MS Mincho"/>
          <w:vertAlign w:val="superscript"/>
          <w:lang w:val="fr-FR"/>
        </w:rPr>
        <w:t>o</w:t>
      </w:r>
      <w:r>
        <w:rPr>
          <w:rFonts w:eastAsia="MS Mincho"/>
          <w:vertAlign w:val="superscript"/>
          <w:lang w:val="fr-FR"/>
        </w:rPr>
        <w:t> </w:t>
      </w:r>
      <w:r>
        <w:rPr>
          <w:lang w:val="fr-FR"/>
        </w:rPr>
        <w:t>48.</w:t>
      </w:r>
      <w:r>
        <w:rPr>
          <w:lang w:val="fr-FR"/>
        </w:rPr>
        <w:t> »</w:t>
      </w:r>
      <w:r>
        <w:rPr>
          <w:lang w:val="fr-FR"/>
        </w:rPr>
        <w:t>.</w:t>
      </w:r>
    </w:p>
    <w:p w14:paraId="4A128820" w14:textId="5AC209EE" w:rsidR="00E3060E" w:rsidRPr="008F09E4" w:rsidRDefault="00E3060E" w:rsidP="00E3060E">
      <w:pPr>
        <w:pStyle w:val="SingleTxtG"/>
        <w:keepNext/>
      </w:pPr>
      <w:r>
        <w:rPr>
          <w:i/>
          <w:iCs/>
          <w:lang w:val="fr-FR"/>
        </w:rPr>
        <w:lastRenderedPageBreak/>
        <w:t>Page 2, après le point 9 de l’annexe 1</w:t>
      </w:r>
      <w:r>
        <w:rPr>
          <w:lang w:val="fr-FR"/>
        </w:rPr>
        <w:t>, ajouter</w:t>
      </w:r>
      <w:r>
        <w:rPr>
          <w:lang w:val="fr-FR"/>
        </w:rPr>
        <w:t> </w:t>
      </w:r>
      <w:r>
        <w:rPr>
          <w:lang w:val="fr-FR"/>
        </w:rPr>
        <w:t>:</w:t>
      </w:r>
    </w:p>
    <w:p w14:paraId="43FD07EB" w14:textId="68073679" w:rsidR="00E3060E" w:rsidRPr="008F09E4" w:rsidRDefault="00E3060E" w:rsidP="00E3060E">
      <w:pPr>
        <w:pStyle w:val="SingleTxtG"/>
        <w:keepNext/>
        <w:rPr>
          <w:bCs/>
          <w:i/>
        </w:rPr>
      </w:pPr>
      <w:r>
        <w:rPr>
          <w:lang w:val="fr-FR"/>
        </w:rPr>
        <w:t>« </w:t>
      </w:r>
      <w:r>
        <w:rPr>
          <w:i/>
          <w:iCs/>
          <w:lang w:val="fr-FR"/>
        </w:rPr>
        <w:t>Annexe 4, partie 1, paragraphe 1.1</w:t>
      </w:r>
      <w:r>
        <w:rPr>
          <w:lang w:val="fr-FR"/>
        </w:rPr>
        <w:t>, lire</w:t>
      </w:r>
      <w:r>
        <w:rPr>
          <w:lang w:val="fr-FR"/>
        </w:rPr>
        <w:t> </w:t>
      </w:r>
      <w:r>
        <w:rPr>
          <w:lang w:val="fr-FR"/>
        </w:rPr>
        <w:t>:</w:t>
      </w:r>
    </w:p>
    <w:p w14:paraId="5D25A979" w14:textId="423EB5EC" w:rsidR="00E3060E" w:rsidRDefault="00E3060E" w:rsidP="00E3060E">
      <w:pPr>
        <w:pStyle w:val="SingleTxtG"/>
        <w:ind w:left="2268" w:hanging="1134"/>
        <w:rPr>
          <w:sz w:val="24"/>
          <w:szCs w:val="24"/>
        </w:rPr>
      </w:pPr>
      <w:r>
        <w:rPr>
          <w:lang w:val="fr-FR"/>
        </w:rPr>
        <w:t>1.1</w:t>
      </w:r>
      <w:r>
        <w:rPr>
          <w:lang w:val="fr-FR"/>
        </w:rPr>
        <w:tab/>
        <w:t>Lorsqu’on mesure le R</w:t>
      </w:r>
      <w:r w:rsidRPr="00E3060E">
        <w:rPr>
          <w:vertAlign w:val="subscript"/>
          <w:lang w:val="fr-FR"/>
        </w:rPr>
        <w:t>I</w:t>
      </w:r>
      <w:r>
        <w:rPr>
          <w:lang w:val="fr-FR"/>
        </w:rPr>
        <w:t xml:space="preserve"> d’un dispositif </w:t>
      </w:r>
      <w:proofErr w:type="spellStart"/>
      <w:r>
        <w:rPr>
          <w:lang w:val="fr-FR"/>
        </w:rPr>
        <w:t>rétroréfléchissant</w:t>
      </w:r>
      <w:proofErr w:type="spellEnd"/>
      <w:r>
        <w:rPr>
          <w:lang w:val="fr-FR"/>
        </w:rPr>
        <w:t xml:space="preserve"> pour β égal à β</w:t>
      </w:r>
      <w:r w:rsidRPr="00E3060E">
        <w:rPr>
          <w:vertAlign w:val="subscript"/>
          <w:lang w:val="fr-FR"/>
        </w:rPr>
        <w:t>1</w:t>
      </w:r>
      <w:r>
        <w:rPr>
          <w:lang w:val="fr-FR"/>
        </w:rPr>
        <w:t> = β</w:t>
      </w:r>
      <w:r w:rsidRPr="00E3060E">
        <w:rPr>
          <w:vertAlign w:val="subscript"/>
          <w:lang w:val="fr-FR"/>
        </w:rPr>
        <w:t>2</w:t>
      </w:r>
      <w:r>
        <w:rPr>
          <w:lang w:val="fr-FR"/>
        </w:rPr>
        <w:t> = 0°, on vérifie s’il ne se produit pas un effet de miroir en tournant légèrement le dispositif. Si ce phénomène a lieu, on fait la mesure pour β égal à β</w:t>
      </w:r>
      <w:r w:rsidRPr="00E3060E">
        <w:rPr>
          <w:vertAlign w:val="subscript"/>
          <w:lang w:val="fr-FR"/>
        </w:rPr>
        <w:t>1</w:t>
      </w:r>
      <w:r>
        <w:rPr>
          <w:lang w:val="fr-FR"/>
        </w:rPr>
        <w:t xml:space="preserve"> = -5°, β</w:t>
      </w:r>
      <w:r w:rsidRPr="00E3060E">
        <w:rPr>
          <w:vertAlign w:val="subscript"/>
          <w:lang w:val="fr-FR"/>
        </w:rPr>
        <w:t>2</w:t>
      </w:r>
      <w:r>
        <w:rPr>
          <w:lang w:val="fr-FR"/>
        </w:rPr>
        <w:t xml:space="preserve"> = 0°.</w:t>
      </w:r>
      <w:r>
        <w:rPr>
          <w:lang w:val="fr-FR"/>
        </w:rPr>
        <w:t> »</w:t>
      </w:r>
      <w:r>
        <w:rPr>
          <w:lang w:val="fr-FR"/>
        </w:rPr>
        <w:t>.</w:t>
      </w:r>
    </w:p>
    <w:p w14:paraId="7859DC70" w14:textId="363E2CD5" w:rsidR="00F9573C" w:rsidRPr="00E3060E" w:rsidRDefault="00E3060E" w:rsidP="00E3060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E3060E" w:rsidSect="00E3060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462BA" w14:textId="77777777" w:rsidR="00E0349C" w:rsidRDefault="00E0349C" w:rsidP="00F95C08">
      <w:pPr>
        <w:spacing w:line="240" w:lineRule="auto"/>
      </w:pPr>
    </w:p>
  </w:endnote>
  <w:endnote w:type="continuationSeparator" w:id="0">
    <w:p w14:paraId="1B410390" w14:textId="77777777" w:rsidR="00E0349C" w:rsidRPr="00AC3823" w:rsidRDefault="00E0349C" w:rsidP="00AC3823">
      <w:pPr>
        <w:pStyle w:val="Pieddepage"/>
      </w:pPr>
    </w:p>
  </w:endnote>
  <w:endnote w:type="continuationNotice" w:id="1">
    <w:p w14:paraId="30C4390A" w14:textId="77777777" w:rsidR="00E0349C" w:rsidRDefault="00E0349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BEFE" w14:textId="01EBACD7" w:rsidR="00E3060E" w:rsidRPr="00E3060E" w:rsidRDefault="00E3060E" w:rsidP="00E3060E">
    <w:pPr>
      <w:pStyle w:val="Pieddepage"/>
      <w:tabs>
        <w:tab w:val="right" w:pos="9638"/>
      </w:tabs>
    </w:pPr>
    <w:r w:rsidRPr="00E3060E">
      <w:rPr>
        <w:b/>
        <w:sz w:val="18"/>
      </w:rPr>
      <w:fldChar w:fldCharType="begin"/>
    </w:r>
    <w:r w:rsidRPr="00E3060E">
      <w:rPr>
        <w:b/>
        <w:sz w:val="18"/>
      </w:rPr>
      <w:instrText xml:space="preserve"> PAGE  \* MERGEFORMAT </w:instrText>
    </w:r>
    <w:r w:rsidRPr="00E3060E">
      <w:rPr>
        <w:b/>
        <w:sz w:val="18"/>
      </w:rPr>
      <w:fldChar w:fldCharType="separate"/>
    </w:r>
    <w:r w:rsidRPr="00E3060E">
      <w:rPr>
        <w:b/>
        <w:noProof/>
        <w:sz w:val="18"/>
      </w:rPr>
      <w:t>2</w:t>
    </w:r>
    <w:r w:rsidRPr="00E3060E">
      <w:rPr>
        <w:b/>
        <w:sz w:val="18"/>
      </w:rPr>
      <w:fldChar w:fldCharType="end"/>
    </w:r>
    <w:r>
      <w:rPr>
        <w:b/>
        <w:sz w:val="18"/>
      </w:rPr>
      <w:tab/>
    </w:r>
    <w:r>
      <w:t>GE.24-06838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F56F" w14:textId="0E390178" w:rsidR="00E3060E" w:rsidRPr="00E3060E" w:rsidRDefault="00E3060E" w:rsidP="00E3060E">
    <w:pPr>
      <w:pStyle w:val="Pieddepage"/>
      <w:tabs>
        <w:tab w:val="right" w:pos="9638"/>
      </w:tabs>
      <w:rPr>
        <w:b/>
        <w:sz w:val="18"/>
      </w:rPr>
    </w:pPr>
    <w:r>
      <w:t>GE.24-06838</w:t>
    </w:r>
    <w:r>
      <w:tab/>
    </w:r>
    <w:r w:rsidRPr="00E3060E">
      <w:rPr>
        <w:b/>
        <w:sz w:val="18"/>
      </w:rPr>
      <w:fldChar w:fldCharType="begin"/>
    </w:r>
    <w:r w:rsidRPr="00E3060E">
      <w:rPr>
        <w:b/>
        <w:sz w:val="18"/>
      </w:rPr>
      <w:instrText xml:space="preserve"> PAGE  \* MERGEFORMAT </w:instrText>
    </w:r>
    <w:r w:rsidRPr="00E3060E">
      <w:rPr>
        <w:b/>
        <w:sz w:val="18"/>
      </w:rPr>
      <w:fldChar w:fldCharType="separate"/>
    </w:r>
    <w:r w:rsidRPr="00E3060E">
      <w:rPr>
        <w:b/>
        <w:noProof/>
        <w:sz w:val="18"/>
      </w:rPr>
      <w:t>3</w:t>
    </w:r>
    <w:r w:rsidRPr="00E3060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FC18" w14:textId="1DA9E92E" w:rsidR="007F20FA" w:rsidRPr="00E3060E" w:rsidRDefault="00E3060E" w:rsidP="00E3060E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EE2CF98" wp14:editId="565BB63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24-06838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7F3AEE6" wp14:editId="0A107A1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030524    030524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BCFEE" w14:textId="77777777" w:rsidR="00E0349C" w:rsidRPr="00AC3823" w:rsidRDefault="00E0349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B230219" w14:textId="77777777" w:rsidR="00E0349C" w:rsidRPr="00AC3823" w:rsidRDefault="00E0349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C36B3FA" w14:textId="77777777" w:rsidR="00E0349C" w:rsidRPr="00AC3823" w:rsidRDefault="00E0349C">
      <w:pPr>
        <w:spacing w:line="240" w:lineRule="auto"/>
        <w:rPr>
          <w:sz w:val="2"/>
          <w:szCs w:val="2"/>
        </w:rPr>
      </w:pPr>
    </w:p>
  </w:footnote>
  <w:footnote w:id="2">
    <w:p w14:paraId="08E35E67" w14:textId="77777777" w:rsidR="00E3060E" w:rsidRPr="008F09E4" w:rsidRDefault="00E3060E" w:rsidP="00E3060E">
      <w:pPr>
        <w:pStyle w:val="Notedebasdepage"/>
      </w:pPr>
      <w:r>
        <w:rPr>
          <w:lang w:val="fr-FR"/>
        </w:rPr>
        <w:tab/>
      </w:r>
      <w:r w:rsidRPr="00E3060E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2024 tel qu’il figure dans le projet de budget-programme pour 2024 (A/78/6 (Sect. 20), tableau 20.5),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9172" w14:textId="1DB1DFCB" w:rsidR="00E3060E" w:rsidRPr="00E3060E" w:rsidRDefault="00E3060E">
    <w:pPr>
      <w:pStyle w:val="En-tte"/>
    </w:pPr>
    <w:fldSimple w:instr=" TITLE  \* MERGEFORMAT ">
      <w:r>
        <w:t>ECE/TRANS/WP.29/2023/27/Corr.1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EFB5" w14:textId="2A88BAE0" w:rsidR="00E3060E" w:rsidRPr="00E3060E" w:rsidRDefault="00E3060E" w:rsidP="00E3060E">
    <w:pPr>
      <w:pStyle w:val="En-tte"/>
      <w:jc w:val="right"/>
    </w:pPr>
    <w:fldSimple w:instr=" TITLE  \* MERGEFORMAT ">
      <w:r>
        <w:t>ECE/TRANS/WP.29/2023/27/Corr.1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719359763">
    <w:abstractNumId w:val="12"/>
  </w:num>
  <w:num w:numId="2" w16cid:durableId="1844278097">
    <w:abstractNumId w:val="11"/>
  </w:num>
  <w:num w:numId="3" w16cid:durableId="1321883712">
    <w:abstractNumId w:val="10"/>
  </w:num>
  <w:num w:numId="4" w16cid:durableId="1778714986">
    <w:abstractNumId w:val="8"/>
  </w:num>
  <w:num w:numId="5" w16cid:durableId="2075623211">
    <w:abstractNumId w:val="3"/>
  </w:num>
  <w:num w:numId="6" w16cid:durableId="486290462">
    <w:abstractNumId w:val="2"/>
  </w:num>
  <w:num w:numId="7" w16cid:durableId="1842500697">
    <w:abstractNumId w:val="1"/>
  </w:num>
  <w:num w:numId="8" w16cid:durableId="1674527122">
    <w:abstractNumId w:val="0"/>
  </w:num>
  <w:num w:numId="9" w16cid:durableId="1560171960">
    <w:abstractNumId w:val="9"/>
  </w:num>
  <w:num w:numId="10" w16cid:durableId="1907914850">
    <w:abstractNumId w:val="7"/>
  </w:num>
  <w:num w:numId="11" w16cid:durableId="1981111656">
    <w:abstractNumId w:val="6"/>
  </w:num>
  <w:num w:numId="12" w16cid:durableId="1507865579">
    <w:abstractNumId w:val="5"/>
  </w:num>
  <w:num w:numId="13" w16cid:durableId="1196776083">
    <w:abstractNumId w:val="4"/>
  </w:num>
  <w:num w:numId="14" w16cid:durableId="1009064696">
    <w:abstractNumId w:val="12"/>
  </w:num>
  <w:num w:numId="15" w16cid:durableId="893126526">
    <w:abstractNumId w:val="11"/>
  </w:num>
  <w:num w:numId="16" w16cid:durableId="2480000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revisionView w:inkAnnotation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9C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CE0411"/>
    <w:rsid w:val="00D3439C"/>
    <w:rsid w:val="00D7622E"/>
    <w:rsid w:val="00DB1831"/>
    <w:rsid w:val="00DD3BFD"/>
    <w:rsid w:val="00DF6678"/>
    <w:rsid w:val="00E0299A"/>
    <w:rsid w:val="00E0349C"/>
    <w:rsid w:val="00E3060E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B51C7"/>
  <w15:docId w15:val="{6DAC8482-11FC-4E3C-B76E-C2380F79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4_GR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,-E Fußnotentext Car,footnote text Car,Fußnotentext Ursprung Car,Footnote Text Char Char Char Char Car,Footnote Text1 Car,Footnote Text Char Char Char Car,Fußnotentext Char1 Car,Fußn Car"/>
    <w:basedOn w:val="Policepardfaut"/>
    <w:link w:val="Notedebasdepage"/>
    <w:qFormat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E3060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E3060E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E3060E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paragraph" w:customStyle="1" w:styleId="Annex1">
    <w:name w:val="Annex1"/>
    <w:basedOn w:val="Normal"/>
    <w:qFormat/>
    <w:rsid w:val="00E3060E"/>
    <w:pPr>
      <w:tabs>
        <w:tab w:val="left" w:pos="1700"/>
        <w:tab w:val="right" w:leader="dot" w:pos="8505"/>
      </w:tabs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rFonts w:eastAsia="MS Minch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A895D0-2131-4D3B-9DD8-C193D1A56135}"/>
</file>

<file path=customXml/itemProps2.xml><?xml version="1.0" encoding="utf-8"?>
<ds:datastoreItem xmlns:ds="http://schemas.openxmlformats.org/officeDocument/2006/customXml" ds:itemID="{399B6ADC-F577-4FED-ADA6-3345E708CC0B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224</Words>
  <Characters>1572</Characters>
  <Application>Microsoft Office Word</Application>
  <DocSecurity>0</DocSecurity>
  <Lines>131</Lines>
  <Paragraphs>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ECE/TRANS/WP.29/2023/27/Corr.1</dc:title>
  <dc:subject/>
  <dc:creator>Sandrine CLERE</dc:creator>
  <cp:keywords/>
  <cp:lastModifiedBy>Sandrine Clere</cp:lastModifiedBy>
  <cp:revision>2</cp:revision>
  <cp:lastPrinted>2014-05-14T10:59:00Z</cp:lastPrinted>
  <dcterms:created xsi:type="dcterms:W3CDTF">2024-05-03T09:02:00Z</dcterms:created>
  <dcterms:modified xsi:type="dcterms:W3CDTF">2024-05-03T09:02:00Z</dcterms:modified>
</cp:coreProperties>
</file>