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14:paraId="2AAF75D3" w14:textId="77777777" w:rsidTr="00227437">
        <w:trPr>
          <w:trHeight w:hRule="exact" w:val="851"/>
        </w:trPr>
        <w:tc>
          <w:tcPr>
            <w:tcW w:w="9639" w:type="dxa"/>
            <w:gridSpan w:val="2"/>
            <w:tcBorders>
              <w:bottom w:val="single" w:sz="4" w:space="0" w:color="auto"/>
            </w:tcBorders>
            <w:shd w:val="clear" w:color="auto" w:fill="auto"/>
            <w:vAlign w:val="bottom"/>
          </w:tcPr>
          <w:p w14:paraId="1B5BC55E" w14:textId="77777777" w:rsidR="00421A10" w:rsidRPr="00DB58B5" w:rsidRDefault="00E07249" w:rsidP="00E07249">
            <w:pPr>
              <w:jc w:val="right"/>
            </w:pPr>
            <w:r w:rsidRPr="00E07249">
              <w:rPr>
                <w:sz w:val="40"/>
              </w:rPr>
              <w:t>E</w:t>
            </w:r>
            <w:r>
              <w:t>/ECE/TRANS/505/Rev.3/Add.155</w:t>
            </w:r>
          </w:p>
        </w:tc>
      </w:tr>
      <w:tr w:rsidR="00421A10" w:rsidRPr="00DB58B5" w14:paraId="097CBA55" w14:textId="77777777" w:rsidTr="00227437">
        <w:trPr>
          <w:trHeight w:hRule="exact" w:val="2835"/>
        </w:trPr>
        <w:tc>
          <w:tcPr>
            <w:tcW w:w="6804" w:type="dxa"/>
            <w:tcBorders>
              <w:top w:val="single" w:sz="4" w:space="0" w:color="auto"/>
              <w:bottom w:val="single" w:sz="12" w:space="0" w:color="auto"/>
            </w:tcBorders>
            <w:shd w:val="clear" w:color="auto" w:fill="auto"/>
          </w:tcPr>
          <w:p w14:paraId="2847EEDA" w14:textId="77777777" w:rsidR="00421A10" w:rsidRPr="00A574B7" w:rsidRDefault="00421A10" w:rsidP="00227437">
            <w:pPr>
              <w:spacing w:before="120" w:line="380" w:lineRule="exact"/>
            </w:pPr>
          </w:p>
        </w:tc>
        <w:tc>
          <w:tcPr>
            <w:tcW w:w="2835" w:type="dxa"/>
            <w:tcBorders>
              <w:top w:val="single" w:sz="4" w:space="0" w:color="auto"/>
              <w:bottom w:val="single" w:sz="12" w:space="0" w:color="auto"/>
            </w:tcBorders>
            <w:shd w:val="clear" w:color="auto" w:fill="auto"/>
          </w:tcPr>
          <w:p w14:paraId="6AA2FACF" w14:textId="77777777" w:rsidR="00421A10" w:rsidRPr="00DB58B5" w:rsidRDefault="00E07249" w:rsidP="00227437">
            <w:pPr>
              <w:spacing w:before="480" w:line="240" w:lineRule="exact"/>
            </w:pPr>
            <w:r>
              <w:t>4 mars 2021</w:t>
            </w:r>
          </w:p>
        </w:tc>
      </w:tr>
    </w:tbl>
    <w:p w14:paraId="11050E45" w14:textId="77777777" w:rsidR="00421A10" w:rsidRPr="006549FF" w:rsidRDefault="0029791D" w:rsidP="0029791D">
      <w:pPr>
        <w:pStyle w:val="HChG"/>
      </w:pPr>
      <w:r>
        <w:tab/>
      </w:r>
      <w:r>
        <w:tab/>
      </w:r>
      <w:r w:rsidR="00267CF8">
        <w:t>Registre mondial</w:t>
      </w:r>
    </w:p>
    <w:p w14:paraId="3882049A" w14:textId="402CFDB5" w:rsidR="00E07249" w:rsidRPr="0058521E" w:rsidRDefault="00E07249" w:rsidP="00E07249">
      <w:pPr>
        <w:keepNext/>
        <w:keepLines/>
        <w:kinsoku/>
        <w:overflowPunct/>
        <w:autoSpaceDE/>
        <w:autoSpaceDN/>
        <w:adjustRightInd/>
        <w:snapToGrid/>
        <w:spacing w:before="240" w:after="240" w:line="270" w:lineRule="exact"/>
        <w:ind w:left="1134" w:right="1134" w:hanging="1134"/>
        <w:rPr>
          <w:rFonts w:eastAsia="Times New Roman"/>
          <w:b/>
          <w:sz w:val="24"/>
          <w:lang w:val="fr-FR"/>
        </w:rPr>
      </w:pPr>
      <w:r w:rsidRPr="0058521E">
        <w:rPr>
          <w:rFonts w:eastAsia="Times New Roman"/>
          <w:b/>
          <w:sz w:val="24"/>
          <w:lang w:val="fr-FR"/>
        </w:rPr>
        <w:tab/>
      </w:r>
      <w:r w:rsidRPr="0058521E">
        <w:rPr>
          <w:rFonts w:eastAsia="Times New Roman"/>
          <w:b/>
          <w:sz w:val="24"/>
          <w:lang w:val="fr-FR"/>
        </w:rPr>
        <w:tab/>
      </w:r>
      <w:r w:rsidRPr="008D1042">
        <w:rPr>
          <w:rFonts w:eastAsia="Times New Roman"/>
          <w:b/>
          <w:sz w:val="24"/>
          <w:lang w:val="fr-FR"/>
        </w:rPr>
        <w:t>Concernant l</w:t>
      </w:r>
      <w:r>
        <w:rPr>
          <w:rFonts w:eastAsia="Times New Roman"/>
          <w:b/>
          <w:sz w:val="24"/>
          <w:lang w:val="fr-FR"/>
        </w:rPr>
        <w:t>’</w:t>
      </w:r>
      <w:r w:rsidRPr="008D1042">
        <w:rPr>
          <w:rFonts w:eastAsia="Times New Roman"/>
          <w:b/>
          <w:sz w:val="24"/>
          <w:lang w:val="fr-FR"/>
        </w:rPr>
        <w:t>adoption de Règlements techniques harmonisés de l</w:t>
      </w:r>
      <w:r>
        <w:rPr>
          <w:rFonts w:eastAsia="Times New Roman"/>
          <w:b/>
          <w:sz w:val="24"/>
          <w:lang w:val="fr-FR"/>
        </w:rPr>
        <w:t>’</w:t>
      </w:r>
      <w:r w:rsidRPr="008D1042">
        <w:rPr>
          <w:rFonts w:eastAsia="Times New Roman"/>
          <w:b/>
          <w:sz w:val="24"/>
          <w:lang w:val="fr-FR"/>
        </w:rPr>
        <w:t>ONU applicables aux véhicules à roues et aux équipements et pièces susceptibles d</w:t>
      </w:r>
      <w:r>
        <w:rPr>
          <w:rFonts w:eastAsia="Times New Roman"/>
          <w:b/>
          <w:sz w:val="24"/>
          <w:lang w:val="fr-FR"/>
        </w:rPr>
        <w:t>’</w:t>
      </w:r>
      <w:r w:rsidRPr="008D1042">
        <w:rPr>
          <w:rFonts w:eastAsia="Times New Roman"/>
          <w:b/>
          <w:sz w:val="24"/>
          <w:lang w:val="fr-FR"/>
        </w:rPr>
        <w:t>être montés ou utilisés sur les véhicules à roues et</w:t>
      </w:r>
      <w:r>
        <w:rPr>
          <w:rFonts w:eastAsia="Times New Roman"/>
          <w:b/>
          <w:sz w:val="24"/>
          <w:lang w:val="fr-FR"/>
        </w:rPr>
        <w:t> </w:t>
      </w:r>
      <w:r w:rsidRPr="008D1042">
        <w:rPr>
          <w:rFonts w:eastAsia="Times New Roman"/>
          <w:b/>
          <w:sz w:val="24"/>
          <w:lang w:val="fr-FR"/>
        </w:rPr>
        <w:t>les</w:t>
      </w:r>
      <w:r>
        <w:rPr>
          <w:rFonts w:eastAsia="Times New Roman"/>
          <w:b/>
          <w:sz w:val="24"/>
          <w:lang w:val="fr-FR"/>
        </w:rPr>
        <w:t> </w:t>
      </w:r>
      <w:r w:rsidRPr="008D1042">
        <w:rPr>
          <w:rFonts w:eastAsia="Times New Roman"/>
          <w:b/>
          <w:sz w:val="24"/>
          <w:lang w:val="fr-FR"/>
        </w:rPr>
        <w:t>conditions de reconnaissance réciproque des homologations délivrées conformément à ces Règlements</w:t>
      </w:r>
      <w:r w:rsidRPr="00E07249">
        <w:rPr>
          <w:rFonts w:eastAsia="Times New Roman"/>
          <w:bCs/>
          <w:lang w:val="fr-FR"/>
        </w:rPr>
        <w:footnoteReference w:customMarkFollows="1" w:id="2"/>
        <w:t>*</w:t>
      </w:r>
    </w:p>
    <w:p w14:paraId="6EF756D8" w14:textId="447E559B" w:rsidR="00E07249" w:rsidRPr="0058521E" w:rsidRDefault="00E07249" w:rsidP="00E07249">
      <w:pPr>
        <w:keepNext/>
        <w:keepLines/>
        <w:tabs>
          <w:tab w:val="right" w:pos="851"/>
        </w:tabs>
        <w:kinsoku/>
        <w:overflowPunct/>
        <w:autoSpaceDE/>
        <w:autoSpaceDN/>
        <w:adjustRightInd/>
        <w:snapToGrid/>
        <w:spacing w:before="360" w:after="240" w:line="270" w:lineRule="exact"/>
        <w:ind w:left="1134" w:right="1134" w:hanging="1134"/>
        <w:rPr>
          <w:rFonts w:eastAsia="Times New Roman"/>
          <w:lang w:val="fr-FR"/>
        </w:rPr>
      </w:pPr>
      <w:r w:rsidRPr="0058521E">
        <w:rPr>
          <w:rFonts w:eastAsia="Times New Roman"/>
          <w:lang w:val="fr-FR"/>
        </w:rPr>
        <w:tab/>
      </w:r>
      <w:r w:rsidRPr="0058521E">
        <w:rPr>
          <w:rFonts w:eastAsia="Times New Roman"/>
          <w:lang w:val="fr-FR"/>
        </w:rPr>
        <w:tab/>
        <w:t>(</w:t>
      </w:r>
      <w:r w:rsidRPr="00D742A5">
        <w:rPr>
          <w:rFonts w:eastAsia="Times New Roman"/>
          <w:lang w:val="fr-FR"/>
        </w:rPr>
        <w:t>Révision 3, comprenant les amendements entrés en vigueur le 14</w:t>
      </w:r>
      <w:r>
        <w:rPr>
          <w:rFonts w:eastAsia="Times New Roman"/>
          <w:lang w:val="fr-FR"/>
        </w:rPr>
        <w:t> </w:t>
      </w:r>
      <w:r w:rsidRPr="00D742A5">
        <w:rPr>
          <w:rFonts w:eastAsia="Times New Roman"/>
          <w:lang w:val="fr-FR"/>
        </w:rPr>
        <w:t>septembre 2017</w:t>
      </w:r>
      <w:r w:rsidRPr="0058521E">
        <w:rPr>
          <w:rFonts w:eastAsia="Times New Roman"/>
          <w:lang w:val="fr-FR"/>
        </w:rPr>
        <w:t>)</w:t>
      </w:r>
    </w:p>
    <w:p w14:paraId="21CB8093" w14:textId="77777777" w:rsidR="00E07249" w:rsidRPr="0058521E" w:rsidRDefault="00E07249" w:rsidP="00E07249">
      <w:pPr>
        <w:keepNext/>
        <w:keepLines/>
        <w:tabs>
          <w:tab w:val="right" w:pos="851"/>
        </w:tabs>
        <w:kinsoku/>
        <w:overflowPunct/>
        <w:autoSpaceDE/>
        <w:autoSpaceDN/>
        <w:adjustRightInd/>
        <w:snapToGrid/>
        <w:spacing w:before="120" w:after="240" w:line="270" w:lineRule="exact"/>
        <w:jc w:val="center"/>
        <w:rPr>
          <w:rFonts w:eastAsia="Times New Roman"/>
          <w:b/>
          <w:sz w:val="24"/>
          <w:lang w:val="fr-FR"/>
        </w:rPr>
      </w:pPr>
      <w:r w:rsidRPr="0058521E">
        <w:rPr>
          <w:rFonts w:eastAsia="Times New Roman"/>
          <w:b/>
          <w:sz w:val="24"/>
          <w:lang w:val="fr-FR"/>
        </w:rPr>
        <w:t>_________</w:t>
      </w:r>
    </w:p>
    <w:p w14:paraId="171054A8" w14:textId="20992B64" w:rsidR="00E07249" w:rsidRPr="0058521E" w:rsidRDefault="00E07249" w:rsidP="00394B5C">
      <w:pPr>
        <w:pStyle w:val="H1G"/>
        <w:rPr>
          <w:lang w:val="fr-FR"/>
        </w:rPr>
      </w:pPr>
      <w:r w:rsidRPr="0058521E">
        <w:rPr>
          <w:lang w:val="fr-FR"/>
        </w:rPr>
        <w:tab/>
      </w:r>
      <w:r w:rsidRPr="0058521E">
        <w:rPr>
          <w:lang w:val="fr-FR"/>
        </w:rPr>
        <w:tab/>
        <w:t>Add</w:t>
      </w:r>
      <w:r>
        <w:rPr>
          <w:lang w:val="fr-FR"/>
        </w:rPr>
        <w:t>itif</w:t>
      </w:r>
      <w:r w:rsidRPr="0058521E">
        <w:rPr>
          <w:lang w:val="fr-FR"/>
        </w:rPr>
        <w:t xml:space="preserve"> 155</w:t>
      </w:r>
      <w:r w:rsidR="006A6E78">
        <w:rPr>
          <w:lang w:val="fr-FR"/>
        </w:rPr>
        <w:t xml:space="preserve"> − </w:t>
      </w:r>
      <w:r w:rsidRPr="000D6B15">
        <w:rPr>
          <w:lang w:val="fr-FR"/>
        </w:rPr>
        <w:t>Règlement ONU n</w:t>
      </w:r>
      <w:r w:rsidRPr="000D6B15">
        <w:rPr>
          <w:vertAlign w:val="superscript"/>
          <w:lang w:val="fr-FR"/>
        </w:rPr>
        <w:t>o</w:t>
      </w:r>
      <w:r>
        <w:rPr>
          <w:lang w:val="fr-FR"/>
        </w:rPr>
        <w:t> </w:t>
      </w:r>
      <w:r w:rsidRPr="0058521E">
        <w:rPr>
          <w:lang w:val="fr-FR"/>
        </w:rPr>
        <w:t>156</w:t>
      </w:r>
    </w:p>
    <w:p w14:paraId="688C6EEB" w14:textId="3BC01254" w:rsidR="00E07249" w:rsidRPr="0058521E" w:rsidRDefault="00E07249" w:rsidP="00394B5C">
      <w:pPr>
        <w:pStyle w:val="SingleTxtG"/>
        <w:rPr>
          <w:spacing w:val="-2"/>
          <w:lang w:val="fr-FR"/>
        </w:rPr>
      </w:pPr>
      <w:r w:rsidRPr="008D1042">
        <w:rPr>
          <w:lang w:val="fr-FR" w:eastAsia="en-GB"/>
        </w:rPr>
        <w:t>Date d</w:t>
      </w:r>
      <w:r>
        <w:rPr>
          <w:lang w:val="fr-FR" w:eastAsia="en-GB"/>
        </w:rPr>
        <w:t>’</w:t>
      </w:r>
      <w:r w:rsidRPr="008D1042">
        <w:rPr>
          <w:lang w:val="fr-FR" w:eastAsia="en-GB"/>
        </w:rPr>
        <w:t>entrée en vigueur en tant qu</w:t>
      </w:r>
      <w:r>
        <w:rPr>
          <w:lang w:val="fr-FR" w:eastAsia="en-GB"/>
        </w:rPr>
        <w:t>’</w:t>
      </w:r>
      <w:r w:rsidR="00CD7431">
        <w:rPr>
          <w:lang w:val="fr-FR" w:eastAsia="en-GB"/>
        </w:rPr>
        <w:t xml:space="preserve">annexe </w:t>
      </w:r>
      <w:r w:rsidRPr="008D1042">
        <w:rPr>
          <w:lang w:val="fr-FR" w:eastAsia="en-GB"/>
        </w:rPr>
        <w:t>à l</w:t>
      </w:r>
      <w:r>
        <w:rPr>
          <w:lang w:val="fr-FR" w:eastAsia="en-GB"/>
        </w:rPr>
        <w:t>’</w:t>
      </w:r>
      <w:r w:rsidRPr="008D1042">
        <w:rPr>
          <w:lang w:val="fr-FR" w:eastAsia="en-GB"/>
        </w:rPr>
        <w:t>Accord de 1958</w:t>
      </w:r>
      <w:r w:rsidR="006A6E78">
        <w:rPr>
          <w:lang w:val="fr-FR" w:eastAsia="en-GB"/>
        </w:rPr>
        <w:t> :</w:t>
      </w:r>
      <w:r w:rsidRPr="008D1042">
        <w:rPr>
          <w:lang w:val="fr-FR" w:eastAsia="en-GB"/>
        </w:rPr>
        <w:t xml:space="preserve"> 22 janvier 2021</w:t>
      </w:r>
    </w:p>
    <w:p w14:paraId="6E882EEB" w14:textId="14469921" w:rsidR="00E07249" w:rsidRPr="0058521E" w:rsidRDefault="00E07249" w:rsidP="00394B5C">
      <w:pPr>
        <w:pStyle w:val="H1G"/>
        <w:rPr>
          <w:sz w:val="28"/>
          <w:lang w:val="fr-FR"/>
        </w:rPr>
      </w:pPr>
      <w:r w:rsidRPr="0058521E">
        <w:rPr>
          <w:sz w:val="28"/>
          <w:lang w:val="fr-FR"/>
        </w:rPr>
        <w:tab/>
      </w:r>
      <w:r w:rsidRPr="0058521E">
        <w:rPr>
          <w:sz w:val="28"/>
          <w:lang w:val="fr-FR"/>
        </w:rPr>
        <w:tab/>
      </w:r>
      <w:r w:rsidRPr="00655DDB">
        <w:rPr>
          <w:lang w:val="fr-FR"/>
        </w:rPr>
        <w:t>Prescriptions uniformes relatives à l</w:t>
      </w:r>
      <w:r>
        <w:rPr>
          <w:lang w:val="fr-FR"/>
        </w:rPr>
        <w:t>’</w:t>
      </w:r>
      <w:r w:rsidRPr="00655DDB">
        <w:rPr>
          <w:lang w:val="fr-FR"/>
        </w:rPr>
        <w:t>homologation des véhicules en</w:t>
      </w:r>
      <w:r w:rsidR="006A6E78">
        <w:rPr>
          <w:lang w:val="fr-FR"/>
        </w:rPr>
        <w:t> </w:t>
      </w:r>
      <w:r w:rsidRPr="00655DDB">
        <w:rPr>
          <w:lang w:val="fr-FR"/>
        </w:rPr>
        <w:t>ce</w:t>
      </w:r>
      <w:r w:rsidR="006A6E78">
        <w:rPr>
          <w:lang w:val="fr-FR"/>
        </w:rPr>
        <w:t> </w:t>
      </w:r>
      <w:r w:rsidRPr="00655DDB">
        <w:rPr>
          <w:lang w:val="fr-FR"/>
        </w:rPr>
        <w:t>qui concerne les mises à jour logicielles et le système de gestion des mises à jour logicielles</w:t>
      </w:r>
    </w:p>
    <w:p w14:paraId="28239BBD" w14:textId="797CEFBE" w:rsidR="00421A10" w:rsidRPr="00394B5C" w:rsidRDefault="00E07249" w:rsidP="00394B5C">
      <w:pPr>
        <w:pStyle w:val="SingleTxtG"/>
        <w:ind w:firstLine="567"/>
        <w:rPr>
          <w:spacing w:val="-1"/>
        </w:rPr>
      </w:pPr>
      <w:r w:rsidRPr="00394B5C">
        <w:rPr>
          <w:spacing w:val="-1"/>
          <w:lang w:val="fr-FR" w:eastAsia="en-GB"/>
        </w:rPr>
        <w:t>Le présent document est communiqué uniquement à titre d’information. Le texte authentique, juridiquement contraignant, est celui du document ECE/TRANS/WP.29/2020/79 (tel que modifié par les documents ECE/TRANS/WP.29/2020/80.</w:t>
      </w:r>
    </w:p>
    <w:p w14:paraId="791A653E" w14:textId="77777777" w:rsidR="00E07249" w:rsidRDefault="00834EB0" w:rsidP="005F0207">
      <w:r>
        <w:rPr>
          <w:noProof/>
          <w:lang w:eastAsia="fr-CH"/>
        </w:rPr>
        <mc:AlternateContent>
          <mc:Choice Requires="wps">
            <w:drawing>
              <wp:anchor distT="0" distB="0" distL="114300" distR="114300" simplePos="0" relativeHeight="251659264" behindDoc="0" locked="0" layoutInCell="1" allowOverlap="1" wp14:anchorId="5B2778BF" wp14:editId="6B8D95EB">
                <wp:simplePos x="0" y="0"/>
                <wp:positionH relativeFrom="margin">
                  <wp:posOffset>7315</wp:posOffset>
                </wp:positionH>
                <wp:positionV relativeFrom="margin">
                  <wp:posOffset>6485611</wp:posOffset>
                </wp:positionV>
                <wp:extent cx="6120130" cy="1151890"/>
                <wp:effectExtent l="0" t="2540" r="0" b="0"/>
                <wp:wrapNone/>
                <wp:docPr id="1"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96E491" w14:textId="77777777" w:rsidR="00C65B1B" w:rsidRPr="0029791D" w:rsidRDefault="00C65B1B" w:rsidP="00C65B1B">
                            <w:pPr>
                              <w:ind w:left="1134" w:right="1134"/>
                              <w:jc w:val="center"/>
                            </w:pPr>
                            <w:r>
                              <w:t>_______________</w:t>
                            </w:r>
                          </w:p>
                          <w:p w14:paraId="42CB3C3B" w14:textId="77777777" w:rsidR="00C65B1B" w:rsidRDefault="00834EB0" w:rsidP="00C65B1B">
                            <w:pPr>
                              <w:jc w:val="center"/>
                              <w:rPr>
                                <w:b/>
                                <w:bCs/>
                                <w:sz w:val="22"/>
                              </w:rPr>
                            </w:pPr>
                            <w:r>
                              <w:rPr>
                                <w:noProof/>
                                <w:lang w:eastAsia="fr-CH"/>
                              </w:rPr>
                              <w:drawing>
                                <wp:inline distT="0" distB="0" distL="0" distR="0" wp14:anchorId="64A08B76" wp14:editId="7E13115E">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09D28E0F" w14:textId="77777777" w:rsidR="00C65B1B" w:rsidRDefault="00C65B1B" w:rsidP="00C65B1B">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778BF" id="_x0000_t202" coordsize="21600,21600" o:spt="202" path="m,l,21600r21600,l21600,xe">
                <v:stroke joinstyle="miter"/>
                <v:path gradientshapeok="t" o:connecttype="rect"/>
              </v:shapetype>
              <v:shape id="Zone de texte 4" o:spid="_x0000_s1026" type="#_x0000_t202" style="position:absolute;margin-left:.6pt;margin-top:510.7pt;width:481.9pt;height:9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" stroked="f">
                <v:textbox inset="0,0,0,0">
                  <w:txbxContent>
                    <w:p w14:paraId="0796E491" w14:textId="77777777" w:rsidR="00C65B1B" w:rsidRPr="0029791D" w:rsidRDefault="00C65B1B" w:rsidP="00C65B1B">
                      <w:pPr>
                        <w:ind w:left="1134" w:right="1134"/>
                        <w:jc w:val="center"/>
                      </w:pPr>
                      <w:r>
                        <w:t>_______________</w:t>
                      </w:r>
                    </w:p>
                    <w:p w14:paraId="42CB3C3B" w14:textId="77777777" w:rsidR="00C65B1B" w:rsidRDefault="00834EB0" w:rsidP="00C65B1B">
                      <w:pPr>
                        <w:jc w:val="center"/>
                        <w:rPr>
                          <w:b/>
                          <w:bCs/>
                          <w:sz w:val="22"/>
                        </w:rPr>
                      </w:pPr>
                      <w:r>
                        <w:rPr>
                          <w:noProof/>
                          <w:lang w:eastAsia="fr-CH"/>
                        </w:rPr>
                        <w:drawing>
                          <wp:inline distT="0" distB="0" distL="0" distR="0" wp14:anchorId="64A08B76" wp14:editId="7E13115E">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09D28E0F" w14:textId="77777777" w:rsidR="00C65B1B" w:rsidRDefault="00C65B1B" w:rsidP="00C65B1B">
                      <w:pPr>
                        <w:jc w:val="center"/>
                      </w:pPr>
                      <w:r w:rsidRPr="0029791D">
                        <w:rPr>
                          <w:b/>
                          <w:bCs/>
                          <w:sz w:val="24"/>
                          <w:szCs w:val="24"/>
                        </w:rPr>
                        <w:t>Nations Unies</w:t>
                      </w:r>
                    </w:p>
                  </w:txbxContent>
                </v:textbox>
                <w10:wrap anchorx="margin" anchory="margin"/>
              </v:shape>
            </w:pict>
          </mc:Fallback>
        </mc:AlternateContent>
      </w:r>
    </w:p>
    <w:p w14:paraId="04AAF596" w14:textId="77777777" w:rsidR="00E07249" w:rsidRDefault="00E07249" w:rsidP="005F0207">
      <w:pPr>
        <w:sectPr w:rsidR="00E07249" w:rsidSect="00E0724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14:paraId="1736CE67" w14:textId="4D6DE3A0" w:rsidR="00E07249" w:rsidRDefault="00E07249" w:rsidP="006A6E78">
      <w:pPr>
        <w:pStyle w:val="HChG"/>
      </w:pPr>
      <w:r w:rsidRPr="00874264">
        <w:lastRenderedPageBreak/>
        <w:t>Règlement ONU</w:t>
      </w:r>
      <w:r>
        <w:t xml:space="preserve"> n</w:t>
      </w:r>
      <w:r w:rsidRPr="00706E6D">
        <w:rPr>
          <w:vertAlign w:val="superscript"/>
        </w:rPr>
        <w:t>o</w:t>
      </w:r>
      <w:r w:rsidR="006A6E78">
        <w:t> </w:t>
      </w:r>
      <w:r>
        <w:t>156</w:t>
      </w:r>
    </w:p>
    <w:p w14:paraId="2C98FE97" w14:textId="5E91CD5B" w:rsidR="00E07249" w:rsidRDefault="00E07249" w:rsidP="00BF418A">
      <w:pPr>
        <w:pStyle w:val="HChG"/>
      </w:pPr>
      <w:r>
        <w:tab/>
      </w:r>
      <w:r>
        <w:tab/>
        <w:t>P</w:t>
      </w:r>
      <w:r w:rsidRPr="00874264">
        <w:rPr>
          <w:spacing w:val="4"/>
        </w:rPr>
        <w:t>rescriptions uniformes</w:t>
      </w:r>
      <w:r w:rsidRPr="00353DAB">
        <w:t xml:space="preserve"> </w:t>
      </w:r>
      <w:r w:rsidRPr="00874264">
        <w:t>relatives à l</w:t>
      </w:r>
      <w:r>
        <w:t>’</w:t>
      </w:r>
      <w:r w:rsidRPr="00874264">
        <w:t>homologation des</w:t>
      </w:r>
      <w:r w:rsidR="006A6E78">
        <w:t> </w:t>
      </w:r>
      <w:r w:rsidRPr="00874264">
        <w:t>véhicules en ce qui concerne les mises à jour logicielles et</w:t>
      </w:r>
      <w:r w:rsidR="006A6E78">
        <w:t> </w:t>
      </w:r>
      <w:r w:rsidRPr="00874264">
        <w:t>le système de gestion des mises</w:t>
      </w:r>
      <w:r w:rsidRPr="00BB39D4">
        <w:t xml:space="preserve"> à</w:t>
      </w:r>
      <w:r>
        <w:t> </w:t>
      </w:r>
      <w:r w:rsidRPr="00BB39D4">
        <w:t>jour logicielles</w:t>
      </w:r>
    </w:p>
    <w:p w14:paraId="03668160" w14:textId="77777777" w:rsidR="006A6E78" w:rsidRPr="006A6E78" w:rsidRDefault="006A6E78" w:rsidP="006A6E78">
      <w:pPr>
        <w:spacing w:after="120"/>
        <w:rPr>
          <w:sz w:val="28"/>
        </w:rPr>
      </w:pPr>
      <w:r w:rsidRPr="006A6E78">
        <w:rPr>
          <w:sz w:val="28"/>
        </w:rPr>
        <w:t>Table des matières</w:t>
      </w:r>
    </w:p>
    <w:p w14:paraId="3273795E" w14:textId="77777777" w:rsidR="00E07249" w:rsidRPr="00C213A3" w:rsidRDefault="00E07249" w:rsidP="00E07249">
      <w:pPr>
        <w:tabs>
          <w:tab w:val="right" w:pos="9638"/>
        </w:tabs>
        <w:spacing w:after="120"/>
        <w:ind w:left="283"/>
        <w:rPr>
          <w:i/>
          <w:sz w:val="18"/>
        </w:rPr>
      </w:pPr>
      <w:r w:rsidRPr="00C213A3">
        <w:rPr>
          <w:i/>
          <w:sz w:val="18"/>
        </w:rPr>
        <w:tab/>
        <w:t>Page</w:t>
      </w:r>
    </w:p>
    <w:p w14:paraId="1303CF7C" w14:textId="77777777" w:rsidR="00E07249" w:rsidRPr="006A6E78" w:rsidRDefault="00E07249" w:rsidP="00E07249">
      <w:pPr>
        <w:tabs>
          <w:tab w:val="right" w:pos="850"/>
          <w:tab w:val="right" w:leader="dot" w:pos="8787"/>
          <w:tab w:val="right" w:pos="9638"/>
        </w:tabs>
        <w:spacing w:after="120"/>
        <w:ind w:left="1134" w:hanging="1134"/>
        <w:rPr>
          <w:iCs/>
        </w:rPr>
      </w:pPr>
      <w:r w:rsidRPr="006A6E78">
        <w:rPr>
          <w:iCs/>
        </w:rPr>
        <w:tab/>
        <w:t>1.</w:t>
      </w:r>
      <w:r w:rsidRPr="006A6E78">
        <w:rPr>
          <w:iCs/>
        </w:rPr>
        <w:tab/>
        <w:t>Champ d’application</w:t>
      </w:r>
      <w:r w:rsidRPr="006A6E78">
        <w:rPr>
          <w:iCs/>
        </w:rPr>
        <w:tab/>
      </w:r>
      <w:r w:rsidRPr="006A6E78">
        <w:rPr>
          <w:iCs/>
        </w:rPr>
        <w:tab/>
        <w:t>4</w:t>
      </w:r>
    </w:p>
    <w:p w14:paraId="143B94B4" w14:textId="77777777" w:rsidR="00E07249" w:rsidRPr="006A6E78" w:rsidRDefault="00E07249" w:rsidP="00E07249">
      <w:pPr>
        <w:tabs>
          <w:tab w:val="right" w:pos="850"/>
          <w:tab w:val="right" w:leader="dot" w:pos="8787"/>
          <w:tab w:val="right" w:pos="9638"/>
        </w:tabs>
        <w:spacing w:after="120"/>
        <w:ind w:left="1134" w:hanging="1134"/>
        <w:rPr>
          <w:iCs/>
        </w:rPr>
      </w:pPr>
      <w:r w:rsidRPr="006A6E78">
        <w:rPr>
          <w:iCs/>
        </w:rPr>
        <w:tab/>
        <w:t>2.</w:t>
      </w:r>
      <w:r w:rsidRPr="006A6E78">
        <w:rPr>
          <w:iCs/>
        </w:rPr>
        <w:tab/>
        <w:t>Définitions</w:t>
      </w:r>
      <w:r w:rsidRPr="006A6E78">
        <w:rPr>
          <w:iCs/>
        </w:rPr>
        <w:tab/>
      </w:r>
      <w:r w:rsidRPr="006A6E78">
        <w:rPr>
          <w:iCs/>
        </w:rPr>
        <w:tab/>
        <w:t>4</w:t>
      </w:r>
    </w:p>
    <w:p w14:paraId="4CC469E6" w14:textId="77777777" w:rsidR="00E07249" w:rsidRPr="006A6E78" w:rsidRDefault="00E07249" w:rsidP="00E07249">
      <w:pPr>
        <w:tabs>
          <w:tab w:val="right" w:pos="850"/>
          <w:tab w:val="right" w:leader="dot" w:pos="8787"/>
          <w:tab w:val="right" w:pos="9638"/>
        </w:tabs>
        <w:spacing w:after="120"/>
        <w:ind w:left="1134" w:hanging="1134"/>
        <w:rPr>
          <w:iCs/>
        </w:rPr>
      </w:pPr>
      <w:r w:rsidRPr="006A6E78">
        <w:rPr>
          <w:iCs/>
        </w:rPr>
        <w:tab/>
        <w:t>3.</w:t>
      </w:r>
      <w:r w:rsidRPr="006A6E78">
        <w:rPr>
          <w:iCs/>
        </w:rPr>
        <w:tab/>
        <w:t>Demande d’homologation</w:t>
      </w:r>
      <w:r w:rsidRPr="006A6E78">
        <w:rPr>
          <w:iCs/>
        </w:rPr>
        <w:tab/>
      </w:r>
      <w:r w:rsidRPr="006A6E78">
        <w:rPr>
          <w:iCs/>
        </w:rPr>
        <w:tab/>
        <w:t>5</w:t>
      </w:r>
    </w:p>
    <w:p w14:paraId="261F7259" w14:textId="77777777" w:rsidR="00E07249" w:rsidRPr="006A6E78" w:rsidRDefault="00E07249" w:rsidP="00E07249">
      <w:pPr>
        <w:tabs>
          <w:tab w:val="right" w:pos="850"/>
          <w:tab w:val="right" w:leader="dot" w:pos="8787"/>
          <w:tab w:val="right" w:pos="9638"/>
        </w:tabs>
        <w:spacing w:after="120"/>
        <w:ind w:left="1134" w:hanging="1134"/>
        <w:rPr>
          <w:iCs/>
        </w:rPr>
      </w:pPr>
      <w:r w:rsidRPr="006A6E78">
        <w:rPr>
          <w:iCs/>
        </w:rPr>
        <w:tab/>
        <w:t>4.</w:t>
      </w:r>
      <w:r w:rsidRPr="006A6E78">
        <w:rPr>
          <w:iCs/>
        </w:rPr>
        <w:tab/>
        <w:t>Marquage</w:t>
      </w:r>
      <w:r w:rsidRPr="006A6E78">
        <w:rPr>
          <w:iCs/>
        </w:rPr>
        <w:tab/>
      </w:r>
      <w:r w:rsidRPr="006A6E78">
        <w:rPr>
          <w:iCs/>
        </w:rPr>
        <w:tab/>
        <w:t>5</w:t>
      </w:r>
    </w:p>
    <w:p w14:paraId="1F729959" w14:textId="77777777" w:rsidR="00E07249" w:rsidRPr="006A6E78" w:rsidRDefault="00E07249" w:rsidP="00E07249">
      <w:pPr>
        <w:tabs>
          <w:tab w:val="right" w:pos="850"/>
          <w:tab w:val="right" w:leader="dot" w:pos="8787"/>
          <w:tab w:val="right" w:pos="9638"/>
        </w:tabs>
        <w:spacing w:after="120"/>
        <w:ind w:left="1134" w:hanging="1134"/>
        <w:rPr>
          <w:iCs/>
        </w:rPr>
      </w:pPr>
      <w:r w:rsidRPr="006A6E78">
        <w:rPr>
          <w:iCs/>
        </w:rPr>
        <w:tab/>
        <w:t>5.</w:t>
      </w:r>
      <w:r w:rsidRPr="006A6E78">
        <w:rPr>
          <w:iCs/>
        </w:rPr>
        <w:tab/>
        <w:t>Homologation</w:t>
      </w:r>
      <w:r w:rsidRPr="006A6E78">
        <w:rPr>
          <w:iCs/>
        </w:rPr>
        <w:tab/>
      </w:r>
      <w:r w:rsidRPr="006A6E78">
        <w:rPr>
          <w:iCs/>
        </w:rPr>
        <w:tab/>
        <w:t>6</w:t>
      </w:r>
    </w:p>
    <w:p w14:paraId="0A71BD15" w14:textId="77777777" w:rsidR="00E07249" w:rsidRPr="006A6E78" w:rsidRDefault="00E07249" w:rsidP="00E07249">
      <w:pPr>
        <w:tabs>
          <w:tab w:val="right" w:pos="850"/>
          <w:tab w:val="right" w:leader="dot" w:pos="8787"/>
          <w:tab w:val="right" w:pos="9638"/>
        </w:tabs>
        <w:spacing w:after="120"/>
        <w:ind w:left="1134" w:hanging="1134"/>
        <w:rPr>
          <w:iCs/>
        </w:rPr>
      </w:pPr>
      <w:r w:rsidRPr="006A6E78">
        <w:rPr>
          <w:iCs/>
        </w:rPr>
        <w:tab/>
        <w:t>6.</w:t>
      </w:r>
      <w:r w:rsidRPr="006A6E78">
        <w:rPr>
          <w:iCs/>
        </w:rPr>
        <w:tab/>
        <w:t>Certificat de conformité du système de gestion des mises à jour logicielles</w:t>
      </w:r>
      <w:r w:rsidRPr="006A6E78">
        <w:rPr>
          <w:iCs/>
        </w:rPr>
        <w:tab/>
      </w:r>
      <w:r w:rsidRPr="006A6E78">
        <w:rPr>
          <w:iCs/>
        </w:rPr>
        <w:tab/>
        <w:t>6</w:t>
      </w:r>
    </w:p>
    <w:p w14:paraId="486F88A0" w14:textId="77777777" w:rsidR="00E07249" w:rsidRPr="006A6E78" w:rsidRDefault="00E07249" w:rsidP="00E07249">
      <w:pPr>
        <w:tabs>
          <w:tab w:val="right" w:pos="850"/>
          <w:tab w:val="right" w:leader="dot" w:pos="8787"/>
          <w:tab w:val="right" w:pos="9638"/>
        </w:tabs>
        <w:spacing w:after="120"/>
        <w:ind w:left="1134" w:hanging="1134"/>
        <w:rPr>
          <w:iCs/>
        </w:rPr>
      </w:pPr>
      <w:r w:rsidRPr="006A6E78">
        <w:rPr>
          <w:iCs/>
        </w:rPr>
        <w:tab/>
        <w:t>7.</w:t>
      </w:r>
      <w:r w:rsidRPr="006A6E78">
        <w:rPr>
          <w:iCs/>
        </w:rPr>
        <w:tab/>
        <w:t>Spécifications générales</w:t>
      </w:r>
      <w:r w:rsidRPr="006A6E78">
        <w:rPr>
          <w:iCs/>
        </w:rPr>
        <w:tab/>
      </w:r>
      <w:r w:rsidRPr="006A6E78">
        <w:rPr>
          <w:iCs/>
        </w:rPr>
        <w:tab/>
        <w:t>7</w:t>
      </w:r>
    </w:p>
    <w:p w14:paraId="79D92C3A" w14:textId="77777777" w:rsidR="00E07249" w:rsidRPr="006A6E78" w:rsidRDefault="00E07249" w:rsidP="00E07249">
      <w:pPr>
        <w:tabs>
          <w:tab w:val="right" w:pos="850"/>
          <w:tab w:val="right" w:leader="dot" w:pos="8787"/>
          <w:tab w:val="right" w:pos="9638"/>
        </w:tabs>
        <w:spacing w:after="120"/>
        <w:ind w:left="1134" w:hanging="1134"/>
        <w:rPr>
          <w:iCs/>
        </w:rPr>
      </w:pPr>
      <w:r w:rsidRPr="006A6E78">
        <w:rPr>
          <w:iCs/>
        </w:rPr>
        <w:tab/>
        <w:t>8.</w:t>
      </w:r>
      <w:r w:rsidRPr="006A6E78">
        <w:rPr>
          <w:iCs/>
        </w:rPr>
        <w:tab/>
        <w:t>Modification du type de véhicule et extension de l’homologation de type</w:t>
      </w:r>
      <w:r w:rsidRPr="006A6E78">
        <w:rPr>
          <w:iCs/>
        </w:rPr>
        <w:tab/>
      </w:r>
      <w:r w:rsidRPr="006A6E78">
        <w:rPr>
          <w:iCs/>
        </w:rPr>
        <w:tab/>
        <w:t>11</w:t>
      </w:r>
    </w:p>
    <w:p w14:paraId="1B829F90" w14:textId="23CEA121" w:rsidR="00E07249" w:rsidRPr="006A6E78" w:rsidRDefault="00E07249" w:rsidP="00E07249">
      <w:pPr>
        <w:tabs>
          <w:tab w:val="right" w:pos="850"/>
          <w:tab w:val="right" w:leader="dot" w:pos="8787"/>
          <w:tab w:val="right" w:pos="9638"/>
        </w:tabs>
        <w:spacing w:after="120"/>
        <w:ind w:left="1134" w:hanging="1134"/>
        <w:rPr>
          <w:iCs/>
        </w:rPr>
      </w:pPr>
      <w:r w:rsidRPr="006A6E78">
        <w:rPr>
          <w:iCs/>
        </w:rPr>
        <w:tab/>
        <w:t>9.</w:t>
      </w:r>
      <w:r w:rsidRPr="006A6E78">
        <w:rPr>
          <w:iCs/>
        </w:rPr>
        <w:tab/>
        <w:t>Conformité de la production</w:t>
      </w:r>
      <w:r w:rsidRPr="006A6E78">
        <w:rPr>
          <w:iCs/>
        </w:rPr>
        <w:tab/>
      </w:r>
      <w:r w:rsidRPr="006A6E78">
        <w:rPr>
          <w:iCs/>
        </w:rPr>
        <w:tab/>
        <w:t>1</w:t>
      </w:r>
      <w:r w:rsidR="00394B5C">
        <w:rPr>
          <w:iCs/>
        </w:rPr>
        <w:t>2</w:t>
      </w:r>
    </w:p>
    <w:p w14:paraId="7D301FC4" w14:textId="77777777" w:rsidR="00E07249" w:rsidRPr="006A6E78" w:rsidRDefault="00E07249" w:rsidP="00E07249">
      <w:pPr>
        <w:tabs>
          <w:tab w:val="right" w:pos="850"/>
          <w:tab w:val="right" w:leader="dot" w:pos="8787"/>
          <w:tab w:val="right" w:pos="9638"/>
        </w:tabs>
        <w:spacing w:after="120"/>
        <w:ind w:left="1134" w:hanging="1134"/>
        <w:rPr>
          <w:iCs/>
        </w:rPr>
      </w:pPr>
      <w:r w:rsidRPr="006A6E78">
        <w:rPr>
          <w:iCs/>
        </w:rPr>
        <w:tab/>
        <w:t>10.</w:t>
      </w:r>
      <w:r w:rsidRPr="006A6E78">
        <w:rPr>
          <w:iCs/>
        </w:rPr>
        <w:tab/>
        <w:t>Sanctions pour non-conformité de la production</w:t>
      </w:r>
      <w:r w:rsidRPr="006A6E78">
        <w:rPr>
          <w:iCs/>
        </w:rPr>
        <w:tab/>
      </w:r>
      <w:r w:rsidRPr="006A6E78">
        <w:rPr>
          <w:iCs/>
        </w:rPr>
        <w:tab/>
        <w:t>12</w:t>
      </w:r>
    </w:p>
    <w:p w14:paraId="3A3F94D8" w14:textId="77777777" w:rsidR="00E07249" w:rsidRPr="006A6E78" w:rsidRDefault="00E07249" w:rsidP="00E07249">
      <w:pPr>
        <w:tabs>
          <w:tab w:val="right" w:pos="850"/>
          <w:tab w:val="right" w:leader="dot" w:pos="8787"/>
          <w:tab w:val="right" w:pos="9638"/>
        </w:tabs>
        <w:spacing w:after="120"/>
        <w:ind w:left="1134" w:hanging="1134"/>
        <w:rPr>
          <w:iCs/>
        </w:rPr>
      </w:pPr>
      <w:r w:rsidRPr="006A6E78">
        <w:rPr>
          <w:iCs/>
        </w:rPr>
        <w:tab/>
        <w:t>11.</w:t>
      </w:r>
      <w:r w:rsidRPr="006A6E78">
        <w:rPr>
          <w:iCs/>
        </w:rPr>
        <w:tab/>
        <w:t>Arrêt définitif de la production</w:t>
      </w:r>
      <w:r w:rsidRPr="006A6E78">
        <w:rPr>
          <w:iCs/>
        </w:rPr>
        <w:tab/>
      </w:r>
      <w:r w:rsidRPr="006A6E78">
        <w:rPr>
          <w:iCs/>
        </w:rPr>
        <w:tab/>
        <w:t>12</w:t>
      </w:r>
    </w:p>
    <w:p w14:paraId="343DF903" w14:textId="77777777" w:rsidR="00E07249" w:rsidRPr="006A6E78" w:rsidRDefault="00E07249" w:rsidP="00E07249">
      <w:pPr>
        <w:tabs>
          <w:tab w:val="right" w:pos="850"/>
          <w:tab w:val="right" w:leader="dot" w:pos="8787"/>
          <w:tab w:val="right" w:pos="9638"/>
        </w:tabs>
        <w:spacing w:after="120"/>
        <w:ind w:left="1134" w:hanging="1134"/>
        <w:rPr>
          <w:iCs/>
        </w:rPr>
      </w:pPr>
      <w:r w:rsidRPr="006A6E78">
        <w:rPr>
          <w:iCs/>
        </w:rPr>
        <w:tab/>
        <w:t>12.</w:t>
      </w:r>
      <w:r w:rsidRPr="006A6E78">
        <w:rPr>
          <w:iCs/>
        </w:rPr>
        <w:tab/>
        <w:t xml:space="preserve">Noms et adresses des services techniques chargés des essais d’homologation </w:t>
      </w:r>
      <w:r w:rsidRPr="006A6E78">
        <w:rPr>
          <w:iCs/>
        </w:rPr>
        <w:br/>
        <w:t>et des autorités d’homologation de type</w:t>
      </w:r>
      <w:r w:rsidRPr="006A6E78">
        <w:rPr>
          <w:iCs/>
        </w:rPr>
        <w:tab/>
      </w:r>
      <w:r w:rsidRPr="006A6E78">
        <w:rPr>
          <w:iCs/>
        </w:rPr>
        <w:tab/>
        <w:t>12</w:t>
      </w:r>
    </w:p>
    <w:p w14:paraId="4886BA10" w14:textId="77777777" w:rsidR="00E07249" w:rsidRPr="00C213A3" w:rsidRDefault="00E07249" w:rsidP="00E07249">
      <w:pPr>
        <w:tabs>
          <w:tab w:val="right" w:pos="850"/>
        </w:tabs>
        <w:spacing w:after="120"/>
      </w:pPr>
      <w:r>
        <w:tab/>
        <w:t>Annexes</w:t>
      </w:r>
    </w:p>
    <w:p w14:paraId="739CC6B6" w14:textId="77777777" w:rsidR="00E07249" w:rsidRDefault="00E07249" w:rsidP="00E07249">
      <w:pPr>
        <w:tabs>
          <w:tab w:val="right" w:pos="850"/>
          <w:tab w:val="right" w:leader="dot" w:pos="8787"/>
          <w:tab w:val="right" w:pos="9638"/>
        </w:tabs>
        <w:spacing w:after="120"/>
        <w:ind w:left="1134" w:hanging="1134"/>
      </w:pPr>
      <w:r>
        <w:tab/>
        <w:t>1.</w:t>
      </w:r>
      <w:r>
        <w:tab/>
      </w:r>
      <w:r w:rsidRPr="00353DAB">
        <w:t>Fiche de renseignements</w:t>
      </w:r>
      <w:r>
        <w:tab/>
      </w:r>
      <w:r>
        <w:tab/>
        <w:t>13</w:t>
      </w:r>
    </w:p>
    <w:p w14:paraId="60801838" w14:textId="315423D2" w:rsidR="00E07249" w:rsidRDefault="00CD7431" w:rsidP="006A6E78">
      <w:pPr>
        <w:tabs>
          <w:tab w:val="right" w:leader="dot" w:pos="8787"/>
          <w:tab w:val="right" w:pos="9638"/>
        </w:tabs>
        <w:spacing w:after="120"/>
        <w:ind w:left="1134"/>
      </w:pPr>
      <w:r>
        <w:t xml:space="preserve">Appendice </w:t>
      </w:r>
      <w:r w:rsidR="00E07249">
        <w:t>1</w:t>
      </w:r>
      <w:r w:rsidR="006A6E78">
        <w:t xml:space="preserve"> − </w:t>
      </w:r>
      <w:r w:rsidR="00E07249" w:rsidRPr="00353DAB">
        <w:t xml:space="preserve">Modèle de déclaration de conformité du système de gestion </w:t>
      </w:r>
      <w:r w:rsidR="00E07249">
        <w:br/>
      </w:r>
      <w:r w:rsidR="00E07249" w:rsidRPr="00353DAB">
        <w:t>des mises à jour logicielles</w:t>
      </w:r>
      <w:r w:rsidR="00E07249">
        <w:tab/>
      </w:r>
      <w:r w:rsidR="00E07249">
        <w:tab/>
        <w:t>14</w:t>
      </w:r>
    </w:p>
    <w:p w14:paraId="2D2E0FF6" w14:textId="77777777" w:rsidR="00E07249" w:rsidRDefault="00E07249" w:rsidP="00E07249">
      <w:pPr>
        <w:tabs>
          <w:tab w:val="right" w:pos="850"/>
          <w:tab w:val="right" w:leader="dot" w:pos="8787"/>
          <w:tab w:val="right" w:pos="9638"/>
        </w:tabs>
        <w:spacing w:after="120"/>
        <w:ind w:left="1134" w:hanging="1134"/>
      </w:pPr>
      <w:r>
        <w:tab/>
        <w:t>2.</w:t>
      </w:r>
      <w:r>
        <w:tab/>
        <w:t>C</w:t>
      </w:r>
      <w:r w:rsidRPr="00353DAB">
        <w:t>ommunication</w:t>
      </w:r>
      <w:r>
        <w:tab/>
      </w:r>
      <w:r>
        <w:tab/>
        <w:t>15</w:t>
      </w:r>
    </w:p>
    <w:p w14:paraId="5B270E42" w14:textId="77777777" w:rsidR="00E07249" w:rsidRDefault="00E07249" w:rsidP="00E07249">
      <w:pPr>
        <w:tabs>
          <w:tab w:val="right" w:pos="850"/>
          <w:tab w:val="right" w:leader="dot" w:pos="8787"/>
          <w:tab w:val="right" w:pos="9638"/>
        </w:tabs>
        <w:spacing w:after="120"/>
        <w:ind w:left="1134" w:hanging="1134"/>
      </w:pPr>
      <w:r>
        <w:tab/>
        <w:t>3.</w:t>
      </w:r>
      <w:r>
        <w:tab/>
      </w:r>
      <w:r w:rsidRPr="00353DAB">
        <w:t>Exemple de marque d</w:t>
      </w:r>
      <w:r>
        <w:t>’</w:t>
      </w:r>
      <w:r w:rsidRPr="00353DAB">
        <w:t>homologation</w:t>
      </w:r>
      <w:r>
        <w:tab/>
      </w:r>
      <w:r>
        <w:tab/>
        <w:t>16</w:t>
      </w:r>
    </w:p>
    <w:p w14:paraId="045AD52B" w14:textId="77777777" w:rsidR="00E07249" w:rsidRDefault="00E07249" w:rsidP="00E07249">
      <w:pPr>
        <w:tabs>
          <w:tab w:val="right" w:pos="850"/>
          <w:tab w:val="right" w:leader="dot" w:pos="8787"/>
          <w:tab w:val="right" w:pos="9638"/>
        </w:tabs>
        <w:spacing w:after="120"/>
        <w:ind w:left="1134" w:hanging="1134"/>
      </w:pPr>
      <w:r>
        <w:tab/>
        <w:t>4.</w:t>
      </w:r>
      <w:r>
        <w:tab/>
      </w:r>
      <w:r w:rsidRPr="00353DAB">
        <w:t>Modèle de certificat de conformité du système de gestion des</w:t>
      </w:r>
      <w:r>
        <w:t xml:space="preserve"> </w:t>
      </w:r>
      <w:r w:rsidRPr="00353DAB">
        <w:t>mises à jour logicielles</w:t>
      </w:r>
      <w:r>
        <w:tab/>
      </w:r>
      <w:r>
        <w:tab/>
        <w:t>17</w:t>
      </w:r>
    </w:p>
    <w:p w14:paraId="2BB08845" w14:textId="77777777" w:rsidR="00E07249" w:rsidRPr="00353DAB" w:rsidRDefault="00E07249" w:rsidP="00E07249">
      <w:pPr>
        <w:pStyle w:val="HChG"/>
        <w:ind w:left="2268"/>
      </w:pPr>
      <w:r>
        <w:br w:type="page"/>
      </w:r>
      <w:r w:rsidRPr="00353DAB">
        <w:lastRenderedPageBreak/>
        <w:t>1.</w:t>
      </w:r>
      <w:r w:rsidRPr="00353DAB">
        <w:tab/>
        <w:t>Champ d</w:t>
      </w:r>
      <w:r>
        <w:t>’</w:t>
      </w:r>
      <w:r w:rsidRPr="00353DAB">
        <w:t>application</w:t>
      </w:r>
    </w:p>
    <w:p w14:paraId="2E689B01" w14:textId="77777777" w:rsidR="00E07249" w:rsidRPr="00353DAB" w:rsidRDefault="00E07249" w:rsidP="00E07249">
      <w:pPr>
        <w:pStyle w:val="SingleTxtG"/>
        <w:ind w:left="2268" w:hanging="1134"/>
      </w:pPr>
      <w:r w:rsidRPr="00353DAB">
        <w:t>1.1</w:t>
      </w:r>
      <w:r w:rsidRPr="00353DAB">
        <w:tab/>
        <w:t>Le présent Règlement s</w:t>
      </w:r>
      <w:r>
        <w:t>’</w:t>
      </w:r>
      <w:r w:rsidRPr="00353DAB">
        <w:t>applique aux véhicules des catégories</w:t>
      </w:r>
      <w:r w:rsidRPr="00CD7431">
        <w:rPr>
          <w:rStyle w:val="FootnoteReference"/>
        </w:rPr>
        <w:footnoteReference w:id="3"/>
      </w:r>
      <w:r w:rsidRPr="00353DAB">
        <w:t xml:space="preserve"> M, N, O, R, S et T qui autorisent les mises à jour logicielles.</w:t>
      </w:r>
    </w:p>
    <w:p w14:paraId="7E0F4A54" w14:textId="77777777" w:rsidR="00E07249" w:rsidRPr="00353DAB" w:rsidRDefault="00E07249" w:rsidP="00E07249">
      <w:pPr>
        <w:pStyle w:val="HChG"/>
        <w:ind w:left="2268"/>
      </w:pPr>
      <w:r w:rsidRPr="00353DAB">
        <w:t>2.</w:t>
      </w:r>
      <w:r w:rsidRPr="00353DAB">
        <w:tab/>
        <w:t>Définitions</w:t>
      </w:r>
    </w:p>
    <w:p w14:paraId="393E3DE2" w14:textId="2036C292" w:rsidR="00E07249" w:rsidRPr="00353DAB" w:rsidRDefault="00E07249" w:rsidP="00E07249">
      <w:pPr>
        <w:pStyle w:val="SingleTxtG"/>
        <w:ind w:left="2268" w:hanging="1134"/>
      </w:pPr>
      <w:r w:rsidRPr="00353DAB">
        <w:t>2.1</w:t>
      </w:r>
      <w:r w:rsidRPr="00353DAB">
        <w:tab/>
        <w:t>« </w:t>
      </w:r>
      <w:r w:rsidRPr="00353DAB">
        <w:rPr>
          <w:i/>
        </w:rPr>
        <w:t>Type de véhicule »</w:t>
      </w:r>
      <w:r w:rsidRPr="006A6E78">
        <w:rPr>
          <w:iCs/>
        </w:rPr>
        <w:t>,</w:t>
      </w:r>
      <w:r w:rsidRPr="00353DAB">
        <w:rPr>
          <w:i/>
        </w:rPr>
        <w:t xml:space="preserve"> </w:t>
      </w:r>
      <w:r w:rsidRPr="00353DAB">
        <w:t>l</w:t>
      </w:r>
      <w:r>
        <w:t>’</w:t>
      </w:r>
      <w:r w:rsidRPr="00353DAB">
        <w:t>ensemble des véhicules qui ne présentent pas entre eux de différences, au moins au regard des critères de base suivants</w:t>
      </w:r>
      <w:r w:rsidR="006A6E78">
        <w:t> :</w:t>
      </w:r>
    </w:p>
    <w:p w14:paraId="23D8EA4F" w14:textId="0A9555D8" w:rsidR="00E07249" w:rsidRPr="00353DAB" w:rsidRDefault="00E07249" w:rsidP="00E07249">
      <w:pPr>
        <w:pStyle w:val="SingleTxtG"/>
        <w:ind w:left="2268"/>
      </w:pPr>
      <w:r w:rsidRPr="00353DAB">
        <w:t>a)</w:t>
      </w:r>
      <w:r w:rsidRPr="00353DAB">
        <w:tab/>
        <w:t>La désignation de type donnée par le constructeur</w:t>
      </w:r>
      <w:r w:rsidR="006A6E78">
        <w:t> ;</w:t>
      </w:r>
    </w:p>
    <w:p w14:paraId="53A19F0E" w14:textId="77777777" w:rsidR="00E07249" w:rsidRPr="00353DAB" w:rsidRDefault="00E07249" w:rsidP="00E07249">
      <w:pPr>
        <w:pStyle w:val="SingleTxtG"/>
        <w:ind w:left="2835" w:hanging="567"/>
      </w:pPr>
      <w:r w:rsidRPr="00353DAB">
        <w:t>b)</w:t>
      </w:r>
      <w:r w:rsidRPr="00353DAB">
        <w:tab/>
        <w:t>Les aspects essentiels de la conception en ce qui concerne les processus de mise à jour logicielle.</w:t>
      </w:r>
    </w:p>
    <w:p w14:paraId="7A5FCB6D" w14:textId="41A9AF23" w:rsidR="00E07249" w:rsidRPr="00353DAB" w:rsidRDefault="00E07249" w:rsidP="00E07249">
      <w:pPr>
        <w:pStyle w:val="SingleTxtG"/>
        <w:ind w:left="2268" w:hanging="1134"/>
      </w:pPr>
      <w:r w:rsidRPr="00353DAB">
        <w:t>2.2</w:t>
      </w:r>
      <w:r w:rsidRPr="00353DAB">
        <w:tab/>
        <w:t>« </w:t>
      </w:r>
      <w:r w:rsidRPr="00353DAB">
        <w:rPr>
          <w:i/>
          <w:iCs/>
        </w:rPr>
        <w:t>Code RX</w:t>
      </w:r>
      <w:r w:rsidRPr="00353DAB">
        <w:rPr>
          <w:i/>
        </w:rPr>
        <w:t>SWIN (</w:t>
      </w:r>
      <w:r w:rsidRPr="00BF418A">
        <w:rPr>
          <w:i/>
          <w:lang w:val="en-US"/>
        </w:rPr>
        <w:t xml:space="preserve">RX </w:t>
      </w:r>
      <w:r w:rsidRPr="00BF418A">
        <w:rPr>
          <w:i/>
          <w:iCs/>
          <w:lang w:val="en-US"/>
        </w:rPr>
        <w:t>Software Identification Number</w:t>
      </w:r>
      <w:r w:rsidR="006A6E78">
        <w:rPr>
          <w:i/>
        </w:rPr>
        <w:t xml:space="preserve"> − </w:t>
      </w:r>
      <w:r w:rsidRPr="00353DAB">
        <w:rPr>
          <w:i/>
        </w:rPr>
        <w:t xml:space="preserve">RX </w:t>
      </w:r>
      <w:r w:rsidRPr="00353DAB">
        <w:rPr>
          <w:i/>
          <w:iCs/>
        </w:rPr>
        <w:t>Numéro d</w:t>
      </w:r>
      <w:r>
        <w:rPr>
          <w:i/>
          <w:iCs/>
        </w:rPr>
        <w:t>’</w:t>
      </w:r>
      <w:r w:rsidRPr="00353DAB">
        <w:rPr>
          <w:i/>
          <w:iCs/>
        </w:rPr>
        <w:t>identification du logiciel</w:t>
      </w:r>
      <w:r w:rsidRPr="00353DAB">
        <w:rPr>
          <w:i/>
        </w:rPr>
        <w:t>) </w:t>
      </w:r>
      <w:r w:rsidRPr="00353DAB">
        <w:t>», le code attribué par le constructeur du véhicule, associé aux informations concernant le logiciel du système de commande électronique, soumis à homologation et faisant partie intégrante des caractéristiques du véhicule pertinentes dans le cadre de son homologation de type au titre du Règlement n</w:t>
      </w:r>
      <w:r w:rsidRPr="00353DAB">
        <w:rPr>
          <w:vertAlign w:val="superscript"/>
        </w:rPr>
        <w:t>o</w:t>
      </w:r>
      <w:r w:rsidRPr="00353DAB">
        <w:t> X.</w:t>
      </w:r>
    </w:p>
    <w:p w14:paraId="480C11A7" w14:textId="77777777" w:rsidR="00E07249" w:rsidRDefault="00E07249" w:rsidP="00E07249">
      <w:pPr>
        <w:pStyle w:val="SingleTxtG"/>
        <w:ind w:left="2268" w:hanging="1134"/>
      </w:pPr>
      <w:r w:rsidRPr="00353DAB">
        <w:t>2.3</w:t>
      </w:r>
      <w:r w:rsidRPr="00353DAB">
        <w:tab/>
        <w:t>« </w:t>
      </w:r>
      <w:r w:rsidRPr="00353DAB">
        <w:rPr>
          <w:i/>
        </w:rPr>
        <w:t>Mise à jour logicielle </w:t>
      </w:r>
      <w:r w:rsidRPr="00353DAB">
        <w:t>», le programme utilisé pour installer une nouvelle version d</w:t>
      </w:r>
      <w:r>
        <w:t>’</w:t>
      </w:r>
      <w:r w:rsidRPr="00353DAB">
        <w:t>un logiciel comportant une modification des paramètres de configuration.</w:t>
      </w:r>
    </w:p>
    <w:p w14:paraId="120E13A7" w14:textId="77777777" w:rsidR="00E07249" w:rsidRPr="00353DAB" w:rsidRDefault="00E07249" w:rsidP="00E07249">
      <w:pPr>
        <w:pStyle w:val="SingleTxtG"/>
        <w:ind w:left="2268" w:hanging="1134"/>
      </w:pPr>
      <w:r w:rsidRPr="00353DAB">
        <w:t>2.4</w:t>
      </w:r>
      <w:r w:rsidRPr="00353DAB">
        <w:tab/>
        <w:t>« </w:t>
      </w:r>
      <w:r w:rsidRPr="00353DAB">
        <w:rPr>
          <w:i/>
        </w:rPr>
        <w:t>Exécution</w:t>
      </w:r>
      <w:r w:rsidRPr="00353DAB">
        <w:t> », le processus d</w:t>
      </w:r>
      <w:r>
        <w:t>’</w:t>
      </w:r>
      <w:r w:rsidRPr="00353DAB">
        <w:t>installation et d</w:t>
      </w:r>
      <w:r>
        <w:t>’</w:t>
      </w:r>
      <w:r w:rsidRPr="00353DAB">
        <w:t>activation d</w:t>
      </w:r>
      <w:r>
        <w:t>’</w:t>
      </w:r>
      <w:r w:rsidRPr="00353DAB">
        <w:t>une mise à jour qui a été téléchargée.</w:t>
      </w:r>
    </w:p>
    <w:p w14:paraId="4114BB4B" w14:textId="5D7BDDFC" w:rsidR="00E07249" w:rsidRPr="00353DAB" w:rsidRDefault="00E07249" w:rsidP="00E07249">
      <w:pPr>
        <w:pStyle w:val="SingleTxtG"/>
        <w:ind w:left="2268" w:hanging="1134"/>
      </w:pPr>
      <w:r w:rsidRPr="00353DAB">
        <w:t>2.5</w:t>
      </w:r>
      <w:r w:rsidRPr="00353DAB">
        <w:tab/>
        <w:t>« </w:t>
      </w:r>
      <w:r w:rsidRPr="00353DAB">
        <w:rPr>
          <w:i/>
        </w:rPr>
        <w:t>Système de gestion des mises à jour logicielles</w:t>
      </w:r>
      <w:r w:rsidRPr="00353DAB">
        <w:t xml:space="preserve"> (</w:t>
      </w:r>
      <w:r w:rsidRPr="00353DAB">
        <w:rPr>
          <w:i/>
          <w:iCs/>
        </w:rPr>
        <w:t>Software Update Management System</w:t>
      </w:r>
      <w:r w:rsidR="006A6E78">
        <w:t xml:space="preserve"> − </w:t>
      </w:r>
      <w:r w:rsidRPr="00353DAB">
        <w:rPr>
          <w:i/>
        </w:rPr>
        <w:t>SUMS)</w:t>
      </w:r>
      <w:r w:rsidRPr="00353DAB">
        <w:t> », l</w:t>
      </w:r>
      <w:r>
        <w:t>’</w:t>
      </w:r>
      <w:r w:rsidRPr="00353DAB">
        <w:t>ensemble des processus et procédures établis de manière systématique satisfaire aux prescriptions concernant la fourniture de mises à jour logicielles conformément au présent Règlement.</w:t>
      </w:r>
    </w:p>
    <w:p w14:paraId="53620CFA" w14:textId="77777777" w:rsidR="00E07249" w:rsidRPr="00353DAB" w:rsidRDefault="00E07249" w:rsidP="00E07249">
      <w:pPr>
        <w:pStyle w:val="SingleTxtG"/>
        <w:ind w:left="2268" w:hanging="1134"/>
      </w:pPr>
      <w:r w:rsidRPr="00353DAB">
        <w:t>2.6</w:t>
      </w:r>
      <w:r w:rsidRPr="00353DAB">
        <w:tab/>
        <w:t>« </w:t>
      </w:r>
      <w:r w:rsidRPr="00353DAB">
        <w:rPr>
          <w:i/>
        </w:rPr>
        <w:t>Utilisateur du véhicule</w:t>
      </w:r>
      <w:r w:rsidRPr="00353DAB">
        <w:t> », une personne qui dirige ou conduit le véhicule, le propriétaire du véhicule, un représentant habilité ou un employé d</w:t>
      </w:r>
      <w:r>
        <w:t>’</w:t>
      </w:r>
      <w:r w:rsidRPr="00353DAB">
        <w:t>un gestionnaire de parc automobile, un représentant habilité ou un employé du constructeur du véhicule, ou un technicien habilité.</w:t>
      </w:r>
    </w:p>
    <w:p w14:paraId="7398BFC3" w14:textId="77777777" w:rsidR="00E07249" w:rsidRPr="00353DAB" w:rsidRDefault="00E07249" w:rsidP="00E07249">
      <w:pPr>
        <w:pStyle w:val="SingleTxtG"/>
        <w:ind w:left="2268" w:hanging="1134"/>
      </w:pPr>
      <w:r w:rsidRPr="00353DAB">
        <w:t>2.7</w:t>
      </w:r>
      <w:r w:rsidRPr="00353DAB">
        <w:tab/>
        <w:t>« </w:t>
      </w:r>
      <w:r w:rsidRPr="00353DAB">
        <w:rPr>
          <w:i/>
        </w:rPr>
        <w:t>Mode sécurisé</w:t>
      </w:r>
      <w:r w:rsidRPr="00353DAB">
        <w:t> », un mode de fonctionnement en cas de défaillance d</w:t>
      </w:r>
      <w:r>
        <w:t>’</w:t>
      </w:r>
      <w:r w:rsidRPr="00353DAB">
        <w:t>un élément n</w:t>
      </w:r>
      <w:r>
        <w:t>’</w:t>
      </w:r>
      <w:r w:rsidRPr="00353DAB">
        <w:t>exposant pas à un risque déraisonnable.</w:t>
      </w:r>
    </w:p>
    <w:p w14:paraId="4601A017" w14:textId="77777777" w:rsidR="00E07249" w:rsidRPr="00353DAB" w:rsidRDefault="00E07249" w:rsidP="00E07249">
      <w:pPr>
        <w:pStyle w:val="SingleTxtG"/>
        <w:ind w:left="2268" w:hanging="1134"/>
      </w:pPr>
      <w:r w:rsidRPr="00353DAB">
        <w:t>2.8</w:t>
      </w:r>
      <w:r w:rsidRPr="00353DAB">
        <w:tab/>
        <w:t>« </w:t>
      </w:r>
      <w:r w:rsidRPr="00353DAB">
        <w:rPr>
          <w:i/>
        </w:rPr>
        <w:t>Logiciel</w:t>
      </w:r>
      <w:r w:rsidRPr="00353DAB">
        <w:t> », la partie d</w:t>
      </w:r>
      <w:r>
        <w:t>’</w:t>
      </w:r>
      <w:r w:rsidRPr="00353DAB">
        <w:t>un système de commande électronique constituée de données numériques et d</w:t>
      </w:r>
      <w:r>
        <w:t>’</w:t>
      </w:r>
      <w:r w:rsidRPr="00353DAB">
        <w:t>instructions.</w:t>
      </w:r>
    </w:p>
    <w:p w14:paraId="47675CC2" w14:textId="77777777" w:rsidR="00E07249" w:rsidRPr="00353DAB" w:rsidRDefault="00E07249" w:rsidP="00E07249">
      <w:pPr>
        <w:pStyle w:val="SingleTxtG"/>
        <w:ind w:left="2268" w:hanging="1134"/>
      </w:pPr>
      <w:r w:rsidRPr="00353DAB">
        <w:t>2.9</w:t>
      </w:r>
      <w:r w:rsidRPr="00353DAB">
        <w:tab/>
        <w:t>« </w:t>
      </w:r>
      <w:r w:rsidRPr="00353DAB">
        <w:rPr>
          <w:i/>
        </w:rPr>
        <w:t>Mise à jour à distance</w:t>
      </w:r>
      <w:r w:rsidRPr="00353DAB">
        <w:t> », toute méthode permettant d</w:t>
      </w:r>
      <w:r>
        <w:t>’</w:t>
      </w:r>
      <w:r w:rsidRPr="00353DAB">
        <w:t>effectuer des transferts de données sans fil au lieu d</w:t>
      </w:r>
      <w:r>
        <w:t>’</w:t>
      </w:r>
      <w:r w:rsidRPr="00353DAB">
        <w:t>utiliser un câble ou une autre connexion locale.</w:t>
      </w:r>
    </w:p>
    <w:p w14:paraId="635E667A" w14:textId="77777777" w:rsidR="00E07249" w:rsidRPr="00353DAB" w:rsidRDefault="00E07249" w:rsidP="00E07249">
      <w:pPr>
        <w:pStyle w:val="SingleTxtG"/>
        <w:ind w:left="2268" w:hanging="1134"/>
      </w:pPr>
      <w:r w:rsidRPr="00353DAB">
        <w:t>2.10</w:t>
      </w:r>
      <w:r w:rsidRPr="00353DAB">
        <w:tab/>
        <w:t>« </w:t>
      </w:r>
      <w:r w:rsidRPr="00353DAB">
        <w:rPr>
          <w:i/>
        </w:rPr>
        <w:t>Système</w:t>
      </w:r>
      <w:r w:rsidRPr="00353DAB">
        <w:t> », un ensemble de composants ou de sous-systèmes qui assurent une ou plusieurs fonctions.</w:t>
      </w:r>
    </w:p>
    <w:p w14:paraId="378E34A8" w14:textId="77777777" w:rsidR="00E07249" w:rsidRDefault="00E07249" w:rsidP="00E07249">
      <w:pPr>
        <w:pStyle w:val="SingleTxtG"/>
        <w:ind w:left="2268" w:hanging="1134"/>
      </w:pPr>
      <w:r w:rsidRPr="00353DAB">
        <w:t>2.11</w:t>
      </w:r>
      <w:r w:rsidRPr="00353DAB">
        <w:tab/>
        <w:t>« </w:t>
      </w:r>
      <w:r w:rsidRPr="00353DAB">
        <w:rPr>
          <w:i/>
        </w:rPr>
        <w:t>Données de validation de l</w:t>
      </w:r>
      <w:r>
        <w:rPr>
          <w:i/>
        </w:rPr>
        <w:t>’</w:t>
      </w:r>
      <w:r w:rsidRPr="00353DAB">
        <w:rPr>
          <w:i/>
        </w:rPr>
        <w:t>intégrité</w:t>
      </w:r>
      <w:r w:rsidRPr="00353DAB">
        <w:t> », une représentation des données numériques sur la base de quoi des comparaisons peuvent être établies pour détecter des erreurs ou des changements dans les données. Elles peuvent inclure des totaux de contrôle et des valeurs de hachage.</w:t>
      </w:r>
    </w:p>
    <w:p w14:paraId="6586DECE" w14:textId="77777777" w:rsidR="00E07249" w:rsidRPr="00353DAB" w:rsidRDefault="00E07249" w:rsidP="00E07249">
      <w:pPr>
        <w:pStyle w:val="HChG"/>
        <w:ind w:left="2268"/>
      </w:pPr>
      <w:r w:rsidRPr="00353DAB">
        <w:lastRenderedPageBreak/>
        <w:t>3.</w:t>
      </w:r>
      <w:r w:rsidRPr="00353DAB">
        <w:tab/>
        <w:t>Demande d</w:t>
      </w:r>
      <w:r>
        <w:t>’</w:t>
      </w:r>
      <w:r w:rsidRPr="00353DAB">
        <w:t>homologation</w:t>
      </w:r>
    </w:p>
    <w:p w14:paraId="021E7382" w14:textId="77777777" w:rsidR="00E07249" w:rsidRPr="00353DAB" w:rsidRDefault="00E07249" w:rsidP="00E07249">
      <w:pPr>
        <w:pStyle w:val="SingleTxtG"/>
        <w:ind w:left="2268" w:hanging="1134"/>
      </w:pPr>
      <w:r w:rsidRPr="00353DAB">
        <w:t>3.1</w:t>
      </w:r>
      <w:r w:rsidRPr="00353DAB">
        <w:tab/>
        <w:t>La demande d</w:t>
      </w:r>
      <w:r>
        <w:t>’</w:t>
      </w:r>
      <w:r w:rsidRPr="00353DAB">
        <w:t>homologation d</w:t>
      </w:r>
      <w:r>
        <w:t>’</w:t>
      </w:r>
      <w:r w:rsidRPr="00353DAB">
        <w:t>un type de véhicule en ce qui concerne les processus de mise à jour logicielle doit être présentée par le constructeur du véhicule ou par son représentant dûment accrédité.</w:t>
      </w:r>
    </w:p>
    <w:p w14:paraId="65420091" w14:textId="13AEF847" w:rsidR="00E07249" w:rsidRPr="00353DAB" w:rsidRDefault="00E07249" w:rsidP="00E07249">
      <w:pPr>
        <w:pStyle w:val="SingleTxtG"/>
        <w:ind w:left="2268" w:hanging="1134"/>
      </w:pPr>
      <w:r w:rsidRPr="00353DAB">
        <w:t>3.2</w:t>
      </w:r>
      <w:r w:rsidRPr="00353DAB">
        <w:tab/>
        <w:t>Elle doit être accompagnée des pièces mentionnées ci-après, en triple exemplaire, et des informations suivantes</w:t>
      </w:r>
      <w:r w:rsidR="006A6E78">
        <w:t> :</w:t>
      </w:r>
    </w:p>
    <w:p w14:paraId="301C9950" w14:textId="5E978C29" w:rsidR="00E07249" w:rsidRPr="00353DAB" w:rsidRDefault="00E07249" w:rsidP="00E07249">
      <w:pPr>
        <w:pStyle w:val="SingleTxtG"/>
        <w:ind w:left="2268" w:hanging="1134"/>
      </w:pPr>
      <w:r w:rsidRPr="00353DAB">
        <w:t>3.3</w:t>
      </w:r>
      <w:r w:rsidRPr="00353DAB">
        <w:tab/>
        <w:t>Une description du type de véhicule en ce qui concerne les points mentionnés à l</w:t>
      </w:r>
      <w:r>
        <w:t>’</w:t>
      </w:r>
      <w:r w:rsidR="00CD7431">
        <w:t xml:space="preserve">annexe </w:t>
      </w:r>
      <w:r w:rsidRPr="00353DAB">
        <w:t>1 du présent Règlement.</w:t>
      </w:r>
    </w:p>
    <w:p w14:paraId="54326C5A" w14:textId="77777777" w:rsidR="00E07249" w:rsidRPr="00C21DED" w:rsidRDefault="00E07249" w:rsidP="00E07249">
      <w:pPr>
        <w:pStyle w:val="SingleTxtG"/>
        <w:ind w:left="2268" w:hanging="1134"/>
        <w:rPr>
          <w:spacing w:val="-2"/>
        </w:rPr>
      </w:pPr>
      <w:r w:rsidRPr="00C21DED">
        <w:rPr>
          <w:spacing w:val="-2"/>
        </w:rPr>
        <w:t>3.4</w:t>
      </w:r>
      <w:r w:rsidRPr="00C21DED">
        <w:rPr>
          <w:spacing w:val="-2"/>
        </w:rPr>
        <w:tab/>
        <w:t>Dans les cas où il est indiqué que les informations font l</w:t>
      </w:r>
      <w:r>
        <w:rPr>
          <w:spacing w:val="-2"/>
        </w:rPr>
        <w:t>’</w:t>
      </w:r>
      <w:r w:rsidRPr="00C21DED">
        <w:rPr>
          <w:spacing w:val="-2"/>
        </w:rPr>
        <w:t>objet de droits de propriété intellectuelle, ou qu</w:t>
      </w:r>
      <w:r>
        <w:rPr>
          <w:spacing w:val="-2"/>
        </w:rPr>
        <w:t>’</w:t>
      </w:r>
      <w:r w:rsidRPr="00C21DED">
        <w:rPr>
          <w:spacing w:val="-2"/>
        </w:rPr>
        <w:t>elles constituent un savoir-faire spécifique du constructeur ou de ses fournisseurs, le constructeur ou les fournisseurs doivent fournir les éléments d</w:t>
      </w:r>
      <w:r>
        <w:rPr>
          <w:spacing w:val="-2"/>
        </w:rPr>
        <w:t>’</w:t>
      </w:r>
      <w:r w:rsidRPr="00C21DED">
        <w:rPr>
          <w:spacing w:val="-2"/>
        </w:rPr>
        <w:t>information suffisants pour permettre d</w:t>
      </w:r>
      <w:r>
        <w:rPr>
          <w:spacing w:val="-2"/>
        </w:rPr>
        <w:t>’</w:t>
      </w:r>
      <w:r w:rsidRPr="00C21DED">
        <w:rPr>
          <w:spacing w:val="-2"/>
        </w:rPr>
        <w:t xml:space="preserve">effectuer convenablement les vérifications mentionnées dans le présent Règlement. </w:t>
      </w:r>
      <w:r w:rsidRPr="00C21DED">
        <w:t>Ces éléments d</w:t>
      </w:r>
      <w:r>
        <w:t>’</w:t>
      </w:r>
      <w:r w:rsidRPr="00C21DED">
        <w:t>information doivent être utilisés de façon confidentielle.</w:t>
      </w:r>
    </w:p>
    <w:p w14:paraId="2D738DD1" w14:textId="5AAF1EB3" w:rsidR="00E07249" w:rsidRPr="00353DAB" w:rsidRDefault="00E07249" w:rsidP="00E07249">
      <w:pPr>
        <w:pStyle w:val="SingleTxtG"/>
        <w:ind w:left="2268" w:hanging="1134"/>
      </w:pPr>
      <w:r w:rsidRPr="00353DAB">
        <w:t>3.5</w:t>
      </w:r>
      <w:r w:rsidRPr="00353DAB">
        <w:tab/>
        <w:t xml:space="preserve">Le </w:t>
      </w:r>
      <w:bookmarkStart w:id="0" w:name="_Hlk26451874"/>
      <w:r w:rsidRPr="00353DAB">
        <w:t xml:space="preserve">certificat de conformité du système de gestion des mises à jour </w:t>
      </w:r>
      <w:bookmarkEnd w:id="0"/>
      <w:r w:rsidRPr="00353DAB">
        <w:t xml:space="preserve">logicielles, conformément aux dispositions du </w:t>
      </w:r>
      <w:r w:rsidR="00CD7431">
        <w:t xml:space="preserve">paragraphe </w:t>
      </w:r>
      <w:r w:rsidRPr="00353DAB">
        <w:t>6 du présent Règlement.</w:t>
      </w:r>
    </w:p>
    <w:p w14:paraId="45144B97" w14:textId="77777777" w:rsidR="00E07249" w:rsidRPr="00353DAB" w:rsidRDefault="00E07249" w:rsidP="00E07249">
      <w:pPr>
        <w:pStyle w:val="SingleTxtG"/>
        <w:ind w:left="2268" w:hanging="1134"/>
      </w:pPr>
      <w:r w:rsidRPr="00353DAB">
        <w:t>3.6</w:t>
      </w:r>
      <w:r w:rsidRPr="00353DAB">
        <w:tab/>
        <w:t>Un véhicule représentatif du type à homologuer doit être présenté au service technique chargé de réaliser les essais d</w:t>
      </w:r>
      <w:r>
        <w:t>’</w:t>
      </w:r>
      <w:r w:rsidRPr="00353DAB">
        <w:t>homologation.</w:t>
      </w:r>
    </w:p>
    <w:p w14:paraId="36A4B054" w14:textId="130B7AB5" w:rsidR="00E07249" w:rsidRPr="00353DAB" w:rsidRDefault="00E07249" w:rsidP="00E07249">
      <w:pPr>
        <w:pStyle w:val="SingleTxtG"/>
        <w:ind w:left="2268" w:hanging="1134"/>
      </w:pPr>
      <w:r w:rsidRPr="00353DAB">
        <w:t>3.7</w:t>
      </w:r>
      <w:r w:rsidRPr="00353DAB">
        <w:tab/>
      </w:r>
      <w:bookmarkStart w:id="1" w:name="_Hlk25682331"/>
      <w:r w:rsidRPr="00353DAB">
        <w:t>La documentation doit être fournie en deux parties</w:t>
      </w:r>
      <w:r w:rsidR="006A6E78">
        <w:t> :</w:t>
      </w:r>
    </w:p>
    <w:p w14:paraId="670D6380" w14:textId="60FC0EDC" w:rsidR="00E07249" w:rsidRDefault="00E07249" w:rsidP="00E07249">
      <w:pPr>
        <w:pStyle w:val="SingleTxtG"/>
        <w:ind w:left="2835" w:hanging="567"/>
      </w:pPr>
      <w:r w:rsidRPr="00353DAB">
        <w:t>a)</w:t>
      </w:r>
      <w:r w:rsidRPr="00353DAB">
        <w:tab/>
        <w:t>Le dossier d</w:t>
      </w:r>
      <w:r>
        <w:t>’</w:t>
      </w:r>
      <w:r w:rsidRPr="00353DAB">
        <w:t>information officiel aux fins de l</w:t>
      </w:r>
      <w:r>
        <w:t>’</w:t>
      </w:r>
      <w:r w:rsidRPr="00353DAB">
        <w:t>homologation, contenant les renseignements énumérés à l</w:t>
      </w:r>
      <w:r>
        <w:t>’</w:t>
      </w:r>
      <w:r w:rsidR="00CD7431">
        <w:t xml:space="preserve">annexe </w:t>
      </w:r>
      <w:r w:rsidRPr="00353DAB">
        <w:t>1, à présenter à l</w:t>
      </w:r>
      <w:r>
        <w:t>’</w:t>
      </w:r>
      <w:r w:rsidRPr="00353DAB">
        <w:t>autorité d</w:t>
      </w:r>
      <w:r>
        <w:t>’</w:t>
      </w:r>
      <w:r w:rsidRPr="00353DAB">
        <w:t>homologation ou à son service technique au moment du dépôt de la demande d</w:t>
      </w:r>
      <w:r>
        <w:t>’</w:t>
      </w:r>
      <w:r w:rsidRPr="00353DAB">
        <w:t>homologation de type. Ce dossier d</w:t>
      </w:r>
      <w:r>
        <w:t>’</w:t>
      </w:r>
      <w:r w:rsidRPr="00353DAB">
        <w:t>information doit être utilisé par l</w:t>
      </w:r>
      <w:r>
        <w:t>’</w:t>
      </w:r>
      <w:r w:rsidRPr="00353DAB">
        <w:t>autorité d</w:t>
      </w:r>
      <w:r>
        <w:t>’</w:t>
      </w:r>
      <w:r w:rsidRPr="00353DAB">
        <w:t>homologation ou son service technique comme référence de base pour la procédure d</w:t>
      </w:r>
      <w:r>
        <w:t>’</w:t>
      </w:r>
      <w:r w:rsidRPr="00353DAB">
        <w:t>homologation. L</w:t>
      </w:r>
      <w:r>
        <w:t>’</w:t>
      </w:r>
      <w:r w:rsidRPr="00353DAB">
        <w:t>autorité d</w:t>
      </w:r>
      <w:r>
        <w:t>’</w:t>
      </w:r>
      <w:r w:rsidRPr="00353DAB">
        <w:t>homologation ou son service technique doit faire en sorte que ce dossier d</w:t>
      </w:r>
      <w:r>
        <w:t>’</w:t>
      </w:r>
      <w:r w:rsidRPr="00353DAB">
        <w:t>information reste disponible pendant au moins dix ans à compter de la date de l</w:t>
      </w:r>
      <w:r>
        <w:t>’</w:t>
      </w:r>
      <w:r w:rsidRPr="00353DAB">
        <w:t>arrêt définitif de la production du type de véhicule considéré</w:t>
      </w:r>
      <w:r w:rsidR="006A6E78">
        <w:t> ;</w:t>
      </w:r>
    </w:p>
    <w:p w14:paraId="07AF0F4D" w14:textId="77777777" w:rsidR="00E07249" w:rsidRPr="00353DAB" w:rsidRDefault="00E07249" w:rsidP="00E07249">
      <w:pPr>
        <w:pStyle w:val="SingleTxtG"/>
        <w:ind w:left="2835" w:hanging="567"/>
      </w:pPr>
      <w:r>
        <w:t>b</w:t>
      </w:r>
      <w:r w:rsidRPr="00353DAB">
        <w:t>)</w:t>
      </w:r>
      <w:r w:rsidRPr="00353DAB">
        <w:tab/>
      </w:r>
      <w:bookmarkEnd w:id="1"/>
      <w:r w:rsidRPr="00353DAB">
        <w:t>Les autres éléments d</w:t>
      </w:r>
      <w:r>
        <w:t>’</w:t>
      </w:r>
      <w:r w:rsidRPr="00353DAB">
        <w:t>information pertinents au regard des prescriptions du présent Règlement, qui peuvent être conservés par le constructeur mais doivent pouvoir faire l</w:t>
      </w:r>
      <w:r>
        <w:t>’</w:t>
      </w:r>
      <w:r w:rsidRPr="00353DAB">
        <w:t>objet d</w:t>
      </w:r>
      <w:r>
        <w:t>’</w:t>
      </w:r>
      <w:r w:rsidRPr="00353DAB">
        <w:t>une inspection au moment de l</w:t>
      </w:r>
      <w:r>
        <w:t>’</w:t>
      </w:r>
      <w:r w:rsidRPr="00353DAB">
        <w:t>homologation de type. Le constructeur doit faire en sorte que toute information pouvant faire l</w:t>
      </w:r>
      <w:r>
        <w:t>’</w:t>
      </w:r>
      <w:r w:rsidRPr="00353DAB">
        <w:t>objet d</w:t>
      </w:r>
      <w:r>
        <w:t>’</w:t>
      </w:r>
      <w:r w:rsidRPr="00353DAB">
        <w:t>une inspection au moment de l</w:t>
      </w:r>
      <w:r>
        <w:t>’</w:t>
      </w:r>
      <w:r w:rsidRPr="00353DAB">
        <w:t>homologation de type reste disponible pendant au moins dix ans à compter de la date de l</w:t>
      </w:r>
      <w:r>
        <w:t>’</w:t>
      </w:r>
      <w:r w:rsidRPr="00353DAB">
        <w:t>arrêt définitif de la production du type de véhicule considéré.</w:t>
      </w:r>
    </w:p>
    <w:p w14:paraId="61EAC2BB" w14:textId="77777777" w:rsidR="00E07249" w:rsidRPr="00353DAB" w:rsidRDefault="00E07249" w:rsidP="00E07249">
      <w:pPr>
        <w:pStyle w:val="HChG"/>
        <w:ind w:left="2268"/>
      </w:pPr>
      <w:r w:rsidRPr="00353DAB">
        <w:t>4.</w:t>
      </w:r>
      <w:r w:rsidRPr="00353DAB">
        <w:tab/>
        <w:t>Marquage</w:t>
      </w:r>
    </w:p>
    <w:p w14:paraId="063D5DE6" w14:textId="42813F42" w:rsidR="00E07249" w:rsidRPr="00353DAB" w:rsidRDefault="00E07249" w:rsidP="00E07249">
      <w:pPr>
        <w:pStyle w:val="SingleTxtG"/>
        <w:ind w:left="2268" w:hanging="1134"/>
      </w:pPr>
      <w:r w:rsidRPr="00353DAB">
        <w:t>4.1</w:t>
      </w:r>
      <w:r w:rsidRPr="00353DAB">
        <w:tab/>
        <w:t>Sur tout véhicule conforme à un type de véhicule homologué en application du présent Règlement doit être apposée de manière visible, en un endroit facilement accessible et indiqué sur la fiche d</w:t>
      </w:r>
      <w:r>
        <w:t>’</w:t>
      </w:r>
      <w:r w:rsidRPr="00353DAB">
        <w:t>homologation, une marque d</w:t>
      </w:r>
      <w:r>
        <w:t>’</w:t>
      </w:r>
      <w:r w:rsidRPr="00353DAB">
        <w:t>homologation internationale composée</w:t>
      </w:r>
      <w:r w:rsidR="006A6E78">
        <w:t> :</w:t>
      </w:r>
    </w:p>
    <w:p w14:paraId="7B47EB7C" w14:textId="5692D306" w:rsidR="00E07249" w:rsidRPr="00353DAB" w:rsidRDefault="00E07249" w:rsidP="00E07249">
      <w:pPr>
        <w:pStyle w:val="SingleTxtG"/>
        <w:ind w:left="2268" w:hanging="1134"/>
      </w:pPr>
      <w:r w:rsidRPr="00353DAB">
        <w:t>4.1.1</w:t>
      </w:r>
      <w:r w:rsidRPr="00353DAB">
        <w:tab/>
        <w:t>D</w:t>
      </w:r>
      <w:r>
        <w:t>’</w:t>
      </w:r>
      <w:r w:rsidRPr="00353DAB">
        <w:t>un cercle à l</w:t>
      </w:r>
      <w:r>
        <w:t>’</w:t>
      </w:r>
      <w:r w:rsidRPr="00353DAB">
        <w:t>intérieur duquel est placée la lettre « E » suivie du numéro distinctif du pays ayant délivré l</w:t>
      </w:r>
      <w:r>
        <w:t>’</w:t>
      </w:r>
      <w:r w:rsidRPr="00353DAB">
        <w:t>homologation</w:t>
      </w:r>
      <w:r w:rsidRPr="00CD7431">
        <w:rPr>
          <w:rStyle w:val="FootnoteReference"/>
        </w:rPr>
        <w:footnoteReference w:id="4"/>
      </w:r>
      <w:r w:rsidR="006A6E78">
        <w:t> ;</w:t>
      </w:r>
    </w:p>
    <w:p w14:paraId="1121F753" w14:textId="4C5E260A" w:rsidR="00E07249" w:rsidRPr="00353DAB" w:rsidRDefault="00E07249" w:rsidP="00E07249">
      <w:pPr>
        <w:pStyle w:val="SingleTxtG"/>
        <w:ind w:left="2268" w:hanging="1134"/>
      </w:pPr>
      <w:r w:rsidRPr="00353DAB">
        <w:lastRenderedPageBreak/>
        <w:t>4.1.2</w:t>
      </w:r>
      <w:r w:rsidRPr="00353DAB">
        <w:tab/>
        <w:t>Du numéro du présent Règlement, suivi de la lettre « R », d</w:t>
      </w:r>
      <w:r>
        <w:t>’</w:t>
      </w:r>
      <w:r w:rsidRPr="00353DAB">
        <w:t>un tiret et du numéro d</w:t>
      </w:r>
      <w:r>
        <w:t>’</w:t>
      </w:r>
      <w:r w:rsidRPr="00353DAB">
        <w:t xml:space="preserve">homologation, à la droite du cercle prévu au </w:t>
      </w:r>
      <w:r w:rsidR="00CD7431">
        <w:t xml:space="preserve">paragraphe </w:t>
      </w:r>
      <w:r w:rsidRPr="00353DAB">
        <w:t>4.1.1 ci</w:t>
      </w:r>
      <w:r w:rsidRPr="00353DAB">
        <w:noBreakHyphen/>
        <w:t>dessus.</w:t>
      </w:r>
    </w:p>
    <w:p w14:paraId="5F19E79E" w14:textId="0543911D" w:rsidR="00E07249" w:rsidRPr="00353DAB" w:rsidRDefault="00E07249" w:rsidP="00E07249">
      <w:pPr>
        <w:pStyle w:val="SingleTxtG"/>
        <w:ind w:left="2268" w:hanging="1134"/>
      </w:pPr>
      <w:r w:rsidRPr="00353DAB">
        <w:t>4.2</w:t>
      </w:r>
      <w:r w:rsidRPr="00353DAB">
        <w:tab/>
        <w:t>Si le véhicule est conforme à un type de véhicule homologué en application d</w:t>
      </w:r>
      <w:r>
        <w:t>’</w:t>
      </w:r>
      <w:r w:rsidRPr="00353DAB">
        <w:t>un ou de plusieurs autres Règlements annexés à l</w:t>
      </w:r>
      <w:r>
        <w:t>’</w:t>
      </w:r>
      <w:r w:rsidRPr="00353DAB">
        <w:t>Accord dans le pays qui a accordé l</w:t>
      </w:r>
      <w:r>
        <w:t>’</w:t>
      </w:r>
      <w:r w:rsidRPr="00353DAB">
        <w:t>homologation en application du présent Règlement, il n</w:t>
      </w:r>
      <w:r>
        <w:t>’</w:t>
      </w:r>
      <w:r w:rsidRPr="00353DAB">
        <w:t xml:space="preserve">est pas nécessaire de répéter le symbole prescrit au </w:t>
      </w:r>
      <w:r w:rsidR="00CD7431">
        <w:t xml:space="preserve">paragraphe </w:t>
      </w:r>
      <w:r w:rsidRPr="00353DAB">
        <w:t>4.1.1 ci-dessus</w:t>
      </w:r>
      <w:r w:rsidR="006A6E78">
        <w:t> ;</w:t>
      </w:r>
      <w:r w:rsidRPr="00353DAB">
        <w:t xml:space="preserve"> dans un tel cas, les numéros de règlement et d</w:t>
      </w:r>
      <w:r>
        <w:t>’</w:t>
      </w:r>
      <w:r w:rsidRPr="00353DAB">
        <w:t>homologation et les symboles additionnels pour tous les Règlements en application desquels l</w:t>
      </w:r>
      <w:r>
        <w:t>’</w:t>
      </w:r>
      <w:r w:rsidRPr="00353DAB">
        <w:t>homologation a été accordée dans le pays qui l</w:t>
      </w:r>
      <w:r>
        <w:t>’</w:t>
      </w:r>
      <w:r w:rsidRPr="00353DAB">
        <w:t>a accordée en application du présent Règlement doivent être inscrits l</w:t>
      </w:r>
      <w:r>
        <w:t>’</w:t>
      </w:r>
      <w:r w:rsidRPr="00353DAB">
        <w:t>un au-dessous de l</w:t>
      </w:r>
      <w:r>
        <w:t>’</w:t>
      </w:r>
      <w:r w:rsidRPr="00353DAB">
        <w:t xml:space="preserve">autre à droite du symbole prescrit au </w:t>
      </w:r>
      <w:r w:rsidR="00CD7431">
        <w:t xml:space="preserve">paragraphe </w:t>
      </w:r>
      <w:r w:rsidRPr="00353DAB">
        <w:t>4.1.1.</w:t>
      </w:r>
    </w:p>
    <w:p w14:paraId="7FD788A3" w14:textId="77777777" w:rsidR="00E07249" w:rsidRPr="00353DAB" w:rsidRDefault="00E07249" w:rsidP="00E07249">
      <w:pPr>
        <w:pStyle w:val="SingleTxtG"/>
        <w:ind w:left="2268" w:hanging="1134"/>
      </w:pPr>
      <w:r w:rsidRPr="00353DAB">
        <w:t>4.3</w:t>
      </w:r>
      <w:r w:rsidRPr="00353DAB">
        <w:tab/>
        <w:t>La marque d</w:t>
      </w:r>
      <w:r>
        <w:t>’</w:t>
      </w:r>
      <w:r w:rsidRPr="00353DAB">
        <w:t>homologation doit être nettement lisible et indélébile.</w:t>
      </w:r>
    </w:p>
    <w:p w14:paraId="0AA1D92B" w14:textId="77777777" w:rsidR="00E07249" w:rsidRPr="00353DAB" w:rsidRDefault="00E07249" w:rsidP="00E07249">
      <w:pPr>
        <w:pStyle w:val="SingleTxtG"/>
        <w:ind w:left="2268" w:hanging="1134"/>
      </w:pPr>
      <w:r w:rsidRPr="00353DAB">
        <w:t>4.4</w:t>
      </w:r>
      <w:r w:rsidRPr="00353DAB">
        <w:tab/>
        <w:t>Elle doit être placée sur la plaque signalétique du véhicule apposée par le constructeur, ou à proximité.</w:t>
      </w:r>
    </w:p>
    <w:p w14:paraId="7E14F526" w14:textId="78E654EB" w:rsidR="00E07249" w:rsidRPr="00353DAB" w:rsidRDefault="00E07249" w:rsidP="00E07249">
      <w:pPr>
        <w:pStyle w:val="SingleTxtG"/>
        <w:ind w:left="2268" w:hanging="1134"/>
      </w:pPr>
      <w:r w:rsidRPr="00353DAB">
        <w:t>4.5</w:t>
      </w:r>
      <w:r w:rsidRPr="00353DAB">
        <w:tab/>
        <w:t>On trouvera à l</w:t>
      </w:r>
      <w:r>
        <w:t>’</w:t>
      </w:r>
      <w:r w:rsidR="00CD7431">
        <w:t xml:space="preserve">annexe </w:t>
      </w:r>
      <w:r w:rsidRPr="00353DAB">
        <w:t>3 du présent Règlement des exemples de marques d</w:t>
      </w:r>
      <w:r>
        <w:t>’</w:t>
      </w:r>
      <w:r w:rsidRPr="00353DAB">
        <w:t>homologation.</w:t>
      </w:r>
    </w:p>
    <w:p w14:paraId="050DAB4B" w14:textId="77777777" w:rsidR="00E07249" w:rsidRPr="00353DAB" w:rsidRDefault="00E07249" w:rsidP="00E07249">
      <w:pPr>
        <w:pStyle w:val="HChG"/>
        <w:ind w:left="2268"/>
      </w:pPr>
      <w:r w:rsidRPr="00353DAB">
        <w:t>5.</w:t>
      </w:r>
      <w:r w:rsidRPr="00353DAB">
        <w:tab/>
        <w:t>Homologation</w:t>
      </w:r>
    </w:p>
    <w:p w14:paraId="787112B7" w14:textId="77777777" w:rsidR="00E07249" w:rsidRDefault="00E07249" w:rsidP="00E07249">
      <w:pPr>
        <w:pStyle w:val="SingleTxtG"/>
        <w:ind w:left="2268" w:hanging="1134"/>
      </w:pPr>
      <w:r w:rsidRPr="00353DAB">
        <w:t>5.1</w:t>
      </w:r>
      <w:r w:rsidRPr="00353DAB">
        <w:tab/>
        <w:t>Les autorités d</w:t>
      </w:r>
      <w:r>
        <w:t>’</w:t>
      </w:r>
      <w:r w:rsidRPr="00353DAB">
        <w:t>homologation accordent, selon qu</w:t>
      </w:r>
      <w:r>
        <w:t>’</w:t>
      </w:r>
      <w:r w:rsidRPr="00353DAB">
        <w:t>il convient, l</w:t>
      </w:r>
      <w:r>
        <w:t>’</w:t>
      </w:r>
      <w:r w:rsidRPr="00353DAB">
        <w:t>homologation de type en ce qui concerne les procédures et processus de mise à jour logicielle, uniquement aux types de véhicules qui satisfont aux prescriptions du présent Règlement.</w:t>
      </w:r>
    </w:p>
    <w:p w14:paraId="24E7F8B5" w14:textId="77777777" w:rsidR="00E07249" w:rsidRDefault="00E07249" w:rsidP="00E07249">
      <w:pPr>
        <w:pStyle w:val="SingleTxtG"/>
        <w:ind w:left="2268" w:hanging="1134"/>
        <w:rPr>
          <w:lang w:val="fr-FR"/>
        </w:rPr>
      </w:pPr>
      <w:r w:rsidRPr="00295AC1">
        <w:rPr>
          <w:lang w:val="fr-FR"/>
        </w:rPr>
        <w:t>5.1.1</w:t>
      </w:r>
      <w:r w:rsidRPr="00295AC1">
        <w:rPr>
          <w:lang w:val="fr-FR"/>
        </w:rPr>
        <w:tab/>
        <w:t>L</w:t>
      </w:r>
      <w:r>
        <w:rPr>
          <w:lang w:val="fr-FR"/>
        </w:rPr>
        <w:t>’</w:t>
      </w:r>
      <w:r w:rsidRPr="00295AC1">
        <w:rPr>
          <w:lang w:val="fr-FR"/>
        </w:rPr>
        <w:t>autorité d</w:t>
      </w:r>
      <w:r>
        <w:rPr>
          <w:lang w:val="fr-FR"/>
        </w:rPr>
        <w:t>’</w:t>
      </w:r>
      <w:r w:rsidRPr="00295AC1">
        <w:rPr>
          <w:lang w:val="fr-FR"/>
        </w:rPr>
        <w:t xml:space="preserve">homologation ou </w:t>
      </w:r>
      <w:r>
        <w:rPr>
          <w:lang w:val="fr-FR"/>
        </w:rPr>
        <w:t xml:space="preserve">le </w:t>
      </w:r>
      <w:r w:rsidRPr="00295AC1">
        <w:rPr>
          <w:lang w:val="fr-FR"/>
        </w:rPr>
        <w:t xml:space="preserve">service technique doit vérifier, en soumettant un </w:t>
      </w:r>
      <w:r w:rsidRPr="00360D70">
        <w:t>véhicule</w:t>
      </w:r>
      <w:r w:rsidRPr="00295AC1">
        <w:rPr>
          <w:lang w:val="fr-FR"/>
        </w:rPr>
        <w:t xml:space="preserve"> </w:t>
      </w:r>
      <w:r>
        <w:rPr>
          <w:lang w:val="fr-FR"/>
        </w:rPr>
        <w:t xml:space="preserve">du type visé </w:t>
      </w:r>
      <w:r w:rsidRPr="00295AC1">
        <w:rPr>
          <w:lang w:val="fr-FR"/>
        </w:rPr>
        <w:t xml:space="preserve">aux essais voulus, que le constructeur a bien mis en œuvre les mesures dont il a fait état. </w:t>
      </w:r>
      <w:r w:rsidRPr="00746D9D">
        <w:rPr>
          <w:lang w:val="fr-FR"/>
        </w:rPr>
        <w:t>Les essais doivent être conduits par l</w:t>
      </w:r>
      <w:r>
        <w:rPr>
          <w:lang w:val="fr-FR"/>
        </w:rPr>
        <w:t>’</w:t>
      </w:r>
      <w:r w:rsidRPr="00746D9D">
        <w:rPr>
          <w:lang w:val="fr-FR"/>
        </w:rPr>
        <w:t xml:space="preserve">autorité </w:t>
      </w:r>
      <w:r w:rsidRPr="00300808">
        <w:rPr>
          <w:lang w:val="fr-FR"/>
        </w:rPr>
        <w:t>d</w:t>
      </w:r>
      <w:r>
        <w:rPr>
          <w:lang w:val="fr-FR"/>
        </w:rPr>
        <w:t>’</w:t>
      </w:r>
      <w:r w:rsidRPr="00300808">
        <w:rPr>
          <w:lang w:val="fr-FR"/>
        </w:rPr>
        <w:t xml:space="preserve">homologation ou </w:t>
      </w:r>
      <w:r>
        <w:rPr>
          <w:lang w:val="fr-FR"/>
        </w:rPr>
        <w:t xml:space="preserve">le </w:t>
      </w:r>
      <w:r w:rsidRPr="00300808">
        <w:rPr>
          <w:lang w:val="fr-FR"/>
        </w:rPr>
        <w:t>service technique</w:t>
      </w:r>
      <w:r>
        <w:rPr>
          <w:lang w:val="fr-FR"/>
        </w:rPr>
        <w:t>, ou encore avec le concours du constructeur, par échantillonnage.</w:t>
      </w:r>
    </w:p>
    <w:p w14:paraId="723D05E7" w14:textId="3ED4B181" w:rsidR="00E07249" w:rsidRPr="00353DAB" w:rsidRDefault="00E07249" w:rsidP="00E07249">
      <w:pPr>
        <w:pStyle w:val="SingleTxtG"/>
        <w:ind w:left="2268" w:hanging="1134"/>
      </w:pPr>
      <w:r w:rsidRPr="00353DAB">
        <w:t>5.2</w:t>
      </w:r>
      <w:r w:rsidRPr="00353DAB">
        <w:tab/>
        <w:t>L</w:t>
      </w:r>
      <w:r>
        <w:t>’</w:t>
      </w:r>
      <w:r w:rsidRPr="00353DAB">
        <w:t>homologation ou l</w:t>
      </w:r>
      <w:r>
        <w:t>’</w:t>
      </w:r>
      <w:r w:rsidRPr="00353DAB">
        <w:t>extension ou le refus d</w:t>
      </w:r>
      <w:r>
        <w:t>’</w:t>
      </w:r>
      <w:r w:rsidRPr="00353DAB">
        <w:t>homologation d</w:t>
      </w:r>
      <w:r>
        <w:t>’</w:t>
      </w:r>
      <w:r w:rsidRPr="00353DAB">
        <w:t>un type de véhicule en application du présent Règlement doit être notifié aux Parties à l</w:t>
      </w:r>
      <w:r>
        <w:t>’</w:t>
      </w:r>
      <w:r w:rsidRPr="00353DAB">
        <w:t>Accord de 1958 appliquant ledit Règlement au moyen d</w:t>
      </w:r>
      <w:r>
        <w:t>’</w:t>
      </w:r>
      <w:r w:rsidRPr="00353DAB">
        <w:t>une fiche conforme au modèle de l</w:t>
      </w:r>
      <w:r>
        <w:t>’</w:t>
      </w:r>
      <w:r w:rsidR="00CD7431">
        <w:t xml:space="preserve">annexe </w:t>
      </w:r>
      <w:r w:rsidRPr="00353DAB">
        <w:t>2 du présent Règlement.</w:t>
      </w:r>
    </w:p>
    <w:p w14:paraId="2A185A11" w14:textId="77777777" w:rsidR="00E07249" w:rsidRPr="00C21DED" w:rsidRDefault="00E07249" w:rsidP="00E07249">
      <w:pPr>
        <w:pStyle w:val="SingleTxtG"/>
        <w:ind w:left="2268" w:hanging="1134"/>
        <w:rPr>
          <w:spacing w:val="-1"/>
        </w:rPr>
      </w:pPr>
      <w:r w:rsidRPr="00C21DED">
        <w:rPr>
          <w:spacing w:val="-1"/>
        </w:rPr>
        <w:t>5.3</w:t>
      </w:r>
      <w:r w:rsidRPr="00C21DED">
        <w:rPr>
          <w:spacing w:val="-1"/>
        </w:rPr>
        <w:tab/>
        <w:t>Les autorités d</w:t>
      </w:r>
      <w:r>
        <w:rPr>
          <w:spacing w:val="-1"/>
        </w:rPr>
        <w:t>’</w:t>
      </w:r>
      <w:r w:rsidRPr="00C21DED">
        <w:rPr>
          <w:spacing w:val="-1"/>
        </w:rPr>
        <w:t>homologation ne doivent pas délivrer d</w:t>
      </w:r>
      <w:r>
        <w:rPr>
          <w:spacing w:val="-1"/>
        </w:rPr>
        <w:t>’</w:t>
      </w:r>
      <w:r w:rsidRPr="00C21DED">
        <w:rPr>
          <w:spacing w:val="-1"/>
        </w:rPr>
        <w:t>homologation de type sans s</w:t>
      </w:r>
      <w:r>
        <w:rPr>
          <w:spacing w:val="-1"/>
        </w:rPr>
        <w:t>’</w:t>
      </w:r>
      <w:r w:rsidRPr="00C21DED">
        <w:rPr>
          <w:spacing w:val="-1"/>
        </w:rPr>
        <w:t xml:space="preserve">assurer que le constructeur a mis en place des dispositions et des procédures satisfaisantes pour gérer convenablement les aspects des processus </w:t>
      </w:r>
      <w:r w:rsidRPr="00C21DED">
        <w:t>de mise à jour logicielle dont il est question dans le présent Règlement.</w:t>
      </w:r>
    </w:p>
    <w:p w14:paraId="03440E6E" w14:textId="77777777" w:rsidR="00E07249" w:rsidRPr="00353DAB" w:rsidRDefault="00E07249" w:rsidP="00E07249">
      <w:pPr>
        <w:pStyle w:val="HChG"/>
        <w:ind w:left="2268"/>
      </w:pPr>
      <w:r w:rsidRPr="00353DAB">
        <w:t>6.</w:t>
      </w:r>
      <w:r w:rsidRPr="00353DAB">
        <w:tab/>
      </w:r>
      <w:r w:rsidRPr="00353DAB">
        <w:tab/>
        <w:t xml:space="preserve">Certificat </w:t>
      </w:r>
      <w:bookmarkStart w:id="2" w:name="_Hlk26372805"/>
      <w:r w:rsidRPr="00353DAB">
        <w:t>de conformité du système de gestion des mises à</w:t>
      </w:r>
      <w:bookmarkStart w:id="3" w:name="_Hlk27400127"/>
      <w:r>
        <w:t xml:space="preserve"> </w:t>
      </w:r>
      <w:r w:rsidRPr="00353DAB">
        <w:t>jour logicielles</w:t>
      </w:r>
      <w:bookmarkEnd w:id="2"/>
      <w:bookmarkEnd w:id="3"/>
    </w:p>
    <w:p w14:paraId="64EA33AD" w14:textId="77777777" w:rsidR="00E07249" w:rsidRPr="00353DAB" w:rsidRDefault="00E07249" w:rsidP="00E07249">
      <w:pPr>
        <w:pStyle w:val="SingleTxtG"/>
        <w:ind w:left="2268" w:hanging="1134"/>
      </w:pPr>
      <w:r w:rsidRPr="00353DAB">
        <w:t>6.1</w:t>
      </w:r>
      <w:r w:rsidRPr="00353DAB">
        <w:tab/>
        <w:t>Les Parties contractantes doivent désigner une autorité d</w:t>
      </w:r>
      <w:r>
        <w:t>’</w:t>
      </w:r>
      <w:r w:rsidRPr="00353DAB">
        <w:t>homologation chargée de procéder à l</w:t>
      </w:r>
      <w:r>
        <w:t>’</w:t>
      </w:r>
      <w:r w:rsidRPr="00353DAB">
        <w:t>évaluation du constructeur et de délivrer le certificat de conformité du système de gestion des mises à jour logicielles.</w:t>
      </w:r>
    </w:p>
    <w:p w14:paraId="07CD6A04" w14:textId="77777777" w:rsidR="00E07249" w:rsidRPr="00353DAB" w:rsidRDefault="00E07249" w:rsidP="00E07249">
      <w:pPr>
        <w:pStyle w:val="SingleTxtG"/>
        <w:ind w:left="2268" w:hanging="1134"/>
      </w:pPr>
      <w:r w:rsidRPr="00353DAB">
        <w:t>6.2</w:t>
      </w:r>
      <w:r w:rsidRPr="00353DAB">
        <w:tab/>
        <w:t>La demande de certificat de conformité du système de gestion des mises à jour logicielles doit être présentée par le constructeur du véhicule ou par son représentant dûment agréé.</w:t>
      </w:r>
    </w:p>
    <w:p w14:paraId="6E68D0BA" w14:textId="740A7FA9" w:rsidR="00E07249" w:rsidRPr="00353DAB" w:rsidRDefault="00E07249" w:rsidP="00CD7431">
      <w:pPr>
        <w:pStyle w:val="SingleTxtG"/>
        <w:keepNext/>
        <w:ind w:left="2268" w:hanging="1134"/>
      </w:pPr>
      <w:r w:rsidRPr="00353DAB">
        <w:t>6.3</w:t>
      </w:r>
      <w:r w:rsidRPr="00353DAB">
        <w:tab/>
        <w:t>Elle doit être accompagnée des pièces mentionnées ci-après, en triple exemplaire, et des informations suivantes</w:t>
      </w:r>
      <w:r w:rsidR="006A6E78">
        <w:t> :</w:t>
      </w:r>
    </w:p>
    <w:p w14:paraId="461C4F07" w14:textId="65F7C984" w:rsidR="00E07249" w:rsidRPr="00353DAB" w:rsidRDefault="00E07249" w:rsidP="00E07249">
      <w:pPr>
        <w:pStyle w:val="SingleTxtG"/>
        <w:ind w:left="2268" w:hanging="1134"/>
      </w:pPr>
      <w:r w:rsidRPr="00353DAB">
        <w:t>6.3.1</w:t>
      </w:r>
      <w:r w:rsidRPr="00353DAB">
        <w:tab/>
        <w:t>Une description du système de gestion des mises à jour logicielles</w:t>
      </w:r>
      <w:r w:rsidR="006A6E78">
        <w:t> ;</w:t>
      </w:r>
    </w:p>
    <w:p w14:paraId="4710A944" w14:textId="5771F426" w:rsidR="00E07249" w:rsidRPr="00353DAB" w:rsidRDefault="00E07249" w:rsidP="00E07249">
      <w:pPr>
        <w:pStyle w:val="SingleTxtG"/>
        <w:ind w:left="2268" w:hanging="1134"/>
      </w:pPr>
      <w:r w:rsidRPr="00353DAB">
        <w:t>6.3.2</w:t>
      </w:r>
      <w:r w:rsidRPr="00353DAB">
        <w:tab/>
        <w:t>Une déclaration signée conforme au modèle de l</w:t>
      </w:r>
      <w:r>
        <w:t>’</w:t>
      </w:r>
      <w:r w:rsidR="00CD7431">
        <w:t xml:space="preserve">appendice </w:t>
      </w:r>
      <w:r w:rsidRPr="00353DAB">
        <w:t>1 de l</w:t>
      </w:r>
      <w:r>
        <w:t>’</w:t>
      </w:r>
      <w:r w:rsidR="00CD7431">
        <w:t xml:space="preserve">annexe </w:t>
      </w:r>
      <w:r w:rsidRPr="00353DAB">
        <w:t>1.</w:t>
      </w:r>
    </w:p>
    <w:p w14:paraId="653A7ADB" w14:textId="093466B1" w:rsidR="00E07249" w:rsidRPr="00353DAB" w:rsidRDefault="00E07249" w:rsidP="00E07249">
      <w:pPr>
        <w:pStyle w:val="SingleTxtG"/>
        <w:ind w:left="2268" w:hanging="1134"/>
      </w:pPr>
      <w:r w:rsidRPr="00353DAB">
        <w:lastRenderedPageBreak/>
        <w:t>6.4</w:t>
      </w:r>
      <w:r w:rsidRPr="00353DAB">
        <w:tab/>
        <w:t>Dans le cadre de l</w:t>
      </w:r>
      <w:r>
        <w:t>’</w:t>
      </w:r>
      <w:r w:rsidRPr="00353DAB">
        <w:t>évaluation, le constructeur doit déclarer, à l</w:t>
      </w:r>
      <w:r>
        <w:t>’</w:t>
      </w:r>
      <w:r w:rsidRPr="00353DAB">
        <w:t>aide du modèle de l</w:t>
      </w:r>
      <w:r>
        <w:t>’</w:t>
      </w:r>
      <w:r w:rsidR="00CD7431">
        <w:t xml:space="preserve">appendice </w:t>
      </w:r>
      <w:r w:rsidRPr="00353DAB">
        <w:t>1 de l</w:t>
      </w:r>
      <w:r>
        <w:t>’</w:t>
      </w:r>
      <w:r w:rsidR="00CD7431">
        <w:t xml:space="preserve">annexe </w:t>
      </w:r>
      <w:r w:rsidRPr="00353DAB">
        <w:t>1, et démontrer à la satisfaction de l</w:t>
      </w:r>
      <w:r>
        <w:t>’</w:t>
      </w:r>
      <w:r w:rsidRPr="00353DAB">
        <w:t>autorité d</w:t>
      </w:r>
      <w:r>
        <w:t>’</w:t>
      </w:r>
      <w:r w:rsidRPr="00353DAB">
        <w:t>homologation ou de son service technique qu</w:t>
      </w:r>
      <w:r>
        <w:t>’</w:t>
      </w:r>
      <w:r w:rsidRPr="00353DAB">
        <w:t>il a mis en place les procédures requises pour satisfaire à toutes les prescriptions en matière de mise à jour logicielle énoncées dans le présent Règlement.</w:t>
      </w:r>
    </w:p>
    <w:p w14:paraId="0F8805A5" w14:textId="4EFC0756" w:rsidR="00E07249" w:rsidRPr="00353DAB" w:rsidRDefault="00E07249" w:rsidP="00E07249">
      <w:pPr>
        <w:pStyle w:val="SingleTxtG"/>
        <w:ind w:left="2268" w:hanging="1134"/>
      </w:pPr>
      <w:r w:rsidRPr="00353DAB">
        <w:t>6.5</w:t>
      </w:r>
      <w:r w:rsidRPr="00353DAB">
        <w:tab/>
      </w:r>
      <w:bookmarkStart w:id="4" w:name="_Hlk26373672"/>
      <w:r w:rsidRPr="00353DAB">
        <w:t>Si les résultats de cette évaluation sont satisfaisants, et à réception d</w:t>
      </w:r>
      <w:r>
        <w:t>’</w:t>
      </w:r>
      <w:r w:rsidRPr="00353DAB">
        <w:t>une déclaration signée par le constructeur conforme au modèle de l</w:t>
      </w:r>
      <w:r>
        <w:t>’</w:t>
      </w:r>
      <w:r w:rsidR="00CD7431">
        <w:t xml:space="preserve">appendice </w:t>
      </w:r>
      <w:r w:rsidRPr="00353DAB">
        <w:t>1 de l</w:t>
      </w:r>
      <w:r>
        <w:t>’</w:t>
      </w:r>
      <w:r w:rsidR="00CD7431">
        <w:t xml:space="preserve">annexe </w:t>
      </w:r>
      <w:r w:rsidRPr="00353DAB">
        <w:t xml:space="preserve">1, un certificat appelé « certificat de conformité </w:t>
      </w:r>
      <w:bookmarkStart w:id="5" w:name="_Hlk26373292"/>
      <w:r w:rsidRPr="00353DAB">
        <w:t xml:space="preserve">du SUMS » </w:t>
      </w:r>
      <w:bookmarkEnd w:id="4"/>
      <w:bookmarkEnd w:id="5"/>
      <w:r w:rsidRPr="00353DAB">
        <w:t>tel que décrit à l</w:t>
      </w:r>
      <w:r>
        <w:t>’</w:t>
      </w:r>
      <w:r w:rsidR="00CD7431">
        <w:t xml:space="preserve">annexe </w:t>
      </w:r>
      <w:r w:rsidRPr="00353DAB">
        <w:t>4 du présent Règlement est délivré au constructeur.</w:t>
      </w:r>
    </w:p>
    <w:p w14:paraId="704D3580" w14:textId="77777777" w:rsidR="00E07249" w:rsidRPr="00353DAB" w:rsidRDefault="00E07249" w:rsidP="00E07249">
      <w:pPr>
        <w:pStyle w:val="SingleTxtG"/>
        <w:ind w:left="2268" w:hanging="1134"/>
      </w:pPr>
      <w:r w:rsidRPr="00353DAB">
        <w:t>6.6</w:t>
      </w:r>
      <w:r w:rsidRPr="00353DAB">
        <w:tab/>
        <w:t>Le certificat de conformité du SUMS a une durée de validité de trois ans au maximum à compter de la date de sa délivrance, à moins qu</w:t>
      </w:r>
      <w:r>
        <w:t>’</w:t>
      </w:r>
      <w:r w:rsidRPr="00353DAB">
        <w:t>il ne soit retiré.</w:t>
      </w:r>
    </w:p>
    <w:p w14:paraId="5D0A4FEE" w14:textId="77777777" w:rsidR="00E07249" w:rsidRPr="00353DAB" w:rsidRDefault="00E07249" w:rsidP="00E07249">
      <w:pPr>
        <w:pStyle w:val="SingleTxtG"/>
        <w:ind w:left="2268" w:hanging="1134"/>
      </w:pPr>
      <w:r w:rsidRPr="00353DAB">
        <w:t>6.7</w:t>
      </w:r>
      <w:r w:rsidRPr="00353DAB">
        <w:tab/>
        <w:t>L</w:t>
      </w:r>
      <w:r>
        <w:t>’</w:t>
      </w:r>
      <w:r w:rsidRPr="00353DAB">
        <w:t>autorité d</w:t>
      </w:r>
      <w:r>
        <w:t>’</w:t>
      </w:r>
      <w:r w:rsidRPr="00353DAB">
        <w:t>homologation qui a délivré le certificat de conformité du système de gestion des mises à jour logicielles peut à tout moment vérifier que les conditions de sa validité restent remplies. Le certificat de conformité du système de gestion des mises à jour logicielles peut être retiré si les prescriptions énoncées dans le présent Règlement ne sont plus respectées.</w:t>
      </w:r>
    </w:p>
    <w:p w14:paraId="6FA954F8" w14:textId="77777777" w:rsidR="00E07249" w:rsidRPr="00C21DED" w:rsidRDefault="00E07249" w:rsidP="00E07249">
      <w:pPr>
        <w:pStyle w:val="SingleTxtG"/>
        <w:ind w:left="2268" w:hanging="1134"/>
        <w:rPr>
          <w:spacing w:val="-2"/>
        </w:rPr>
      </w:pPr>
      <w:r w:rsidRPr="00C21DED">
        <w:rPr>
          <w:spacing w:val="-2"/>
        </w:rPr>
        <w:t>6.8</w:t>
      </w:r>
      <w:r w:rsidRPr="00C21DED">
        <w:rPr>
          <w:spacing w:val="-2"/>
        </w:rPr>
        <w:tab/>
      </w:r>
      <w:bookmarkStart w:id="6" w:name="_Hlk26373852"/>
      <w:r w:rsidRPr="00C21DED">
        <w:rPr>
          <w:spacing w:val="-2"/>
        </w:rPr>
        <w:t>Le constructeur doit informer l</w:t>
      </w:r>
      <w:r>
        <w:rPr>
          <w:spacing w:val="-2"/>
        </w:rPr>
        <w:t>’</w:t>
      </w:r>
      <w:r w:rsidRPr="00C21DED">
        <w:rPr>
          <w:spacing w:val="-2"/>
        </w:rPr>
        <w:t>autorité d</w:t>
      </w:r>
      <w:r>
        <w:rPr>
          <w:spacing w:val="-2"/>
        </w:rPr>
        <w:t>’</w:t>
      </w:r>
      <w:r w:rsidRPr="00C21DED">
        <w:rPr>
          <w:spacing w:val="-2"/>
        </w:rPr>
        <w:t>homologation ou son service technique de toute modification ayant une incidence sur la validité du certificat de conformité du système de gestion des mises à jour logicielles</w:t>
      </w:r>
      <w:bookmarkEnd w:id="6"/>
      <w:r w:rsidRPr="00C21DED">
        <w:rPr>
          <w:spacing w:val="-2"/>
        </w:rPr>
        <w:t>. Après avoir consulté le constructeur, l</w:t>
      </w:r>
      <w:r>
        <w:rPr>
          <w:spacing w:val="-2"/>
        </w:rPr>
        <w:t>’</w:t>
      </w:r>
      <w:r w:rsidRPr="00C21DED">
        <w:rPr>
          <w:spacing w:val="-2"/>
        </w:rPr>
        <w:t>autorité d</w:t>
      </w:r>
      <w:r>
        <w:rPr>
          <w:spacing w:val="-2"/>
        </w:rPr>
        <w:t>’</w:t>
      </w:r>
      <w:r w:rsidRPr="00C21DED">
        <w:rPr>
          <w:spacing w:val="-2"/>
        </w:rPr>
        <w:t xml:space="preserve">homologation ou son service technique </w:t>
      </w:r>
      <w:r w:rsidRPr="00C21DED">
        <w:t>doit déterminer s</w:t>
      </w:r>
      <w:r>
        <w:t>’</w:t>
      </w:r>
      <w:r w:rsidRPr="00C21DED">
        <w:t>il convient de procéder à de nouvelles vérifications.</w:t>
      </w:r>
    </w:p>
    <w:p w14:paraId="4E2DA36E" w14:textId="77777777" w:rsidR="00E07249" w:rsidRPr="00353DAB" w:rsidRDefault="00E07249" w:rsidP="00E07249">
      <w:pPr>
        <w:pStyle w:val="SingleTxtG"/>
        <w:ind w:left="2268" w:hanging="1134"/>
      </w:pPr>
      <w:r w:rsidRPr="00353DAB">
        <w:t>6.9</w:t>
      </w:r>
      <w:r w:rsidRPr="00353DAB">
        <w:tab/>
      </w:r>
      <w:bookmarkStart w:id="7" w:name="_Hlk26374397"/>
      <w:r w:rsidRPr="00353DAB">
        <w:t>À la fin de la période de validité du certificat de conformité de mise à jour logicielle, l</w:t>
      </w:r>
      <w:r>
        <w:t>’</w:t>
      </w:r>
      <w:r w:rsidRPr="00353DAB">
        <w:t>autorité d</w:t>
      </w:r>
      <w:r>
        <w:t>’</w:t>
      </w:r>
      <w:r w:rsidRPr="00353DAB">
        <w:t xml:space="preserve">homologation doit, après une évaluation positive, délivrer un nouveau certificat de conformité du système de gestion des mises à jour logicielles </w:t>
      </w:r>
      <w:bookmarkEnd w:id="7"/>
      <w:r w:rsidRPr="00353DAB">
        <w:t>ou prolonger la validité du certificat périmé pour une nouvelle période de trois ans. L</w:t>
      </w:r>
      <w:r>
        <w:t>’</w:t>
      </w:r>
      <w:r w:rsidRPr="00353DAB">
        <w:t>autorité d</w:t>
      </w:r>
      <w:r>
        <w:t>’</w:t>
      </w:r>
      <w:r w:rsidRPr="00353DAB">
        <w:t>homologation doit délivrer un nouveau certificat lorsque des modifications ont été portées à son attention ou à celle de son service technique et que ces modifications ont fait l</w:t>
      </w:r>
      <w:r>
        <w:t>’</w:t>
      </w:r>
      <w:r w:rsidRPr="00353DAB">
        <w:t>objet d</w:t>
      </w:r>
      <w:r>
        <w:t>’</w:t>
      </w:r>
      <w:r w:rsidRPr="00353DAB">
        <w:t>une réévaluation positive.</w:t>
      </w:r>
    </w:p>
    <w:p w14:paraId="47E39E2F" w14:textId="77777777" w:rsidR="00E07249" w:rsidRPr="00353DAB" w:rsidRDefault="00E07249" w:rsidP="00E07249">
      <w:pPr>
        <w:pStyle w:val="SingleTxtG"/>
        <w:ind w:left="2268" w:hanging="1134"/>
      </w:pPr>
      <w:r w:rsidRPr="00353DAB">
        <w:t>6.10</w:t>
      </w:r>
      <w:r w:rsidRPr="00353DAB">
        <w:tab/>
        <w:t>Les homologations de type en vigueur pour les véhicules ne perdent pas leur validité du fait de l</w:t>
      </w:r>
      <w:r>
        <w:t>’</w:t>
      </w:r>
      <w:r w:rsidRPr="00353DAB">
        <w:t>expiration du certificat de conformité du système de gestion des mises à jour logicielles accordé au constructeur.</w:t>
      </w:r>
    </w:p>
    <w:p w14:paraId="02384825" w14:textId="77777777" w:rsidR="00E07249" w:rsidRPr="00353DAB" w:rsidRDefault="00E07249" w:rsidP="00E07249">
      <w:pPr>
        <w:pStyle w:val="HChG"/>
        <w:ind w:left="2268"/>
      </w:pPr>
      <w:r w:rsidRPr="00353DAB">
        <w:t>7.</w:t>
      </w:r>
      <w:r w:rsidRPr="00353DAB">
        <w:tab/>
        <w:t>Spécifications générales</w:t>
      </w:r>
    </w:p>
    <w:p w14:paraId="44346977" w14:textId="77777777" w:rsidR="00E07249" w:rsidRPr="00353DAB" w:rsidRDefault="00E07249" w:rsidP="00E07249">
      <w:pPr>
        <w:pStyle w:val="SingleTxtG"/>
        <w:ind w:left="2268" w:hanging="1134"/>
      </w:pPr>
      <w:r w:rsidRPr="00353DAB">
        <w:t>7.1</w:t>
      </w:r>
      <w:r w:rsidRPr="00353DAB">
        <w:tab/>
        <w:t>Prescriptions relatives au système de gestion des mises à jour logicielles du constructeur du véhicule</w:t>
      </w:r>
    </w:p>
    <w:p w14:paraId="29BED2A6" w14:textId="77777777" w:rsidR="00E07249" w:rsidRPr="00353DAB" w:rsidRDefault="00E07249" w:rsidP="00E07249">
      <w:pPr>
        <w:pStyle w:val="SingleTxtG"/>
        <w:ind w:left="2268" w:hanging="1134"/>
      </w:pPr>
      <w:r w:rsidRPr="00353DAB">
        <w:t>7.1.1</w:t>
      </w:r>
      <w:r w:rsidRPr="00353DAB">
        <w:tab/>
        <w:t>Processus à vérifier dans le cadre de l</w:t>
      </w:r>
      <w:r>
        <w:t>’</w:t>
      </w:r>
      <w:r w:rsidRPr="00353DAB">
        <w:t>évaluation initiale</w:t>
      </w:r>
    </w:p>
    <w:p w14:paraId="18A401AC" w14:textId="475003B7" w:rsidR="00E07249" w:rsidRPr="00353DAB" w:rsidRDefault="00E07249" w:rsidP="00E07249">
      <w:pPr>
        <w:pStyle w:val="SingleTxtG"/>
        <w:ind w:left="2268" w:hanging="1134"/>
      </w:pPr>
      <w:r w:rsidRPr="00353DAB">
        <w:t>7.1.1.1</w:t>
      </w:r>
      <w:r w:rsidRPr="00353DAB">
        <w:tab/>
        <w:t>Un processus par lequel les informations pertinentes pour le présent Règlement sont étayées et conservées en toute sécurité dans les locaux du constructeur du véhicule, et peuvent être mises à la disposition d</w:t>
      </w:r>
      <w:r>
        <w:t>’</w:t>
      </w:r>
      <w:r w:rsidRPr="00353DAB">
        <w:t>une autorité d</w:t>
      </w:r>
      <w:r>
        <w:t>’</w:t>
      </w:r>
      <w:r w:rsidRPr="00353DAB">
        <w:t>homologation ou d</w:t>
      </w:r>
      <w:r>
        <w:t>’</w:t>
      </w:r>
      <w:r w:rsidRPr="00353DAB">
        <w:t>un service technique sur demande</w:t>
      </w:r>
      <w:r w:rsidR="006A6E78">
        <w:t> ;</w:t>
      </w:r>
    </w:p>
    <w:p w14:paraId="66E0F561" w14:textId="403923AF" w:rsidR="00E07249" w:rsidRPr="00353DAB" w:rsidRDefault="00E07249" w:rsidP="00E07249">
      <w:pPr>
        <w:pStyle w:val="SingleTxtG"/>
        <w:ind w:left="2268" w:hanging="1134"/>
      </w:pPr>
      <w:r w:rsidRPr="00353DAB">
        <w:t>7.1.1.2</w:t>
      </w:r>
      <w:r w:rsidRPr="00353DAB">
        <w:tab/>
        <w:t>Un processus par lequel les informations concernant toutes les versions, initiale et ultérieures, d</w:t>
      </w:r>
      <w:r>
        <w:t>’</w:t>
      </w:r>
      <w:r w:rsidRPr="00353DAB">
        <w:t>un logiciel, y compris les données de validation de l</w:t>
      </w:r>
      <w:r>
        <w:t>’</w:t>
      </w:r>
      <w:r w:rsidRPr="00353DAB">
        <w:t>intégrité, et les composants matériels pertinents d</w:t>
      </w:r>
      <w:r>
        <w:t>’</w:t>
      </w:r>
      <w:r w:rsidRPr="00353DAB">
        <w:t>un système homologué peuvent être identifiés</w:t>
      </w:r>
      <w:r w:rsidR="006A6E78">
        <w:t> ;</w:t>
      </w:r>
    </w:p>
    <w:p w14:paraId="5F327888" w14:textId="7FCDFF6A" w:rsidR="00E07249" w:rsidRPr="00353DAB" w:rsidRDefault="00E07249" w:rsidP="00E07249">
      <w:pPr>
        <w:pStyle w:val="SingleTxtG"/>
        <w:ind w:left="2268" w:hanging="1134"/>
      </w:pPr>
      <w:r w:rsidRPr="00353DAB">
        <w:t>7.1.1.3</w:t>
      </w:r>
      <w:r w:rsidRPr="00353DAB">
        <w:tab/>
        <w:t>Un processus par lequel, pour un type de véhicule ayant un RXSWIN, les informations concernant le RXSWIN du type de véhicule avant et après une mise à jour peuvent être consultées et actualisées. Il doit ainsi être possible de mettre à jour les informations concernant les versions du logiciel et les données de validation de l</w:t>
      </w:r>
      <w:r>
        <w:t>’</w:t>
      </w:r>
      <w:r w:rsidRPr="00353DAB">
        <w:t>intégrité de tous les composants logiciels pertinents pour chaque RXSWIN</w:t>
      </w:r>
      <w:r w:rsidR="006A6E78">
        <w:t> ;</w:t>
      </w:r>
    </w:p>
    <w:p w14:paraId="2E46E1A2" w14:textId="6DB0E32C" w:rsidR="00E07249" w:rsidRPr="00353DAB" w:rsidRDefault="00E07249" w:rsidP="00E07249">
      <w:pPr>
        <w:pStyle w:val="SingleTxtG"/>
        <w:ind w:left="2268" w:hanging="1134"/>
      </w:pPr>
      <w:r w:rsidRPr="00353DAB">
        <w:lastRenderedPageBreak/>
        <w:t>7.1.1.4</w:t>
      </w:r>
      <w:r w:rsidRPr="00353DAB">
        <w:tab/>
        <w:t>Un processus par lequel, pour un type de véhicule ayant un RXSWIN, le constructeur du véhicule peut vérifier que la ou les versions du logiciel présentes sur un composant d</w:t>
      </w:r>
      <w:r>
        <w:t>’</w:t>
      </w:r>
      <w:r w:rsidRPr="00353DAB">
        <w:t>un système homologué sont conformes à celles associées au RXSWIN correspondant</w:t>
      </w:r>
      <w:r w:rsidR="006A6E78">
        <w:t> ;</w:t>
      </w:r>
    </w:p>
    <w:p w14:paraId="704AD0BA" w14:textId="6B083B1D" w:rsidR="00E07249" w:rsidRPr="00353DAB" w:rsidRDefault="00E07249" w:rsidP="00E07249">
      <w:pPr>
        <w:pStyle w:val="SingleTxtG"/>
        <w:ind w:left="2268" w:hanging="1134"/>
      </w:pPr>
      <w:r w:rsidRPr="00353DAB">
        <w:t>7.1.1.5</w:t>
      </w:r>
      <w:r w:rsidRPr="00353DAB">
        <w:tab/>
        <w:t>Un processus permettant de mettre en évidence toute interdépendance du système mis à jour avec d</w:t>
      </w:r>
      <w:r>
        <w:t>’</w:t>
      </w:r>
      <w:r w:rsidRPr="00353DAB">
        <w:t>autres systèmes</w:t>
      </w:r>
      <w:r w:rsidR="006A6E78">
        <w:t> ;</w:t>
      </w:r>
    </w:p>
    <w:p w14:paraId="0136575A" w14:textId="255A91AF" w:rsidR="00E07249" w:rsidRPr="00353DAB" w:rsidRDefault="00E07249" w:rsidP="00E07249">
      <w:pPr>
        <w:pStyle w:val="SingleTxtG"/>
        <w:ind w:left="2268" w:hanging="1134"/>
      </w:pPr>
      <w:r w:rsidRPr="00353DAB">
        <w:t>7.1.1.6</w:t>
      </w:r>
      <w:r w:rsidRPr="00353DAB">
        <w:tab/>
        <w:t>Un processus par lequel le constructeur du véhicule peut identifier les véhicules cibles aux fins d</w:t>
      </w:r>
      <w:r>
        <w:t>’</w:t>
      </w:r>
      <w:r w:rsidRPr="00353DAB">
        <w:t>une mise à jour logicielle</w:t>
      </w:r>
      <w:r w:rsidR="006A6E78">
        <w:t> ;</w:t>
      </w:r>
    </w:p>
    <w:p w14:paraId="1CC1BAD7" w14:textId="208F4AA1" w:rsidR="00E07249" w:rsidRPr="00353DAB" w:rsidRDefault="00E07249" w:rsidP="00E07249">
      <w:pPr>
        <w:pStyle w:val="SingleTxtG"/>
        <w:ind w:left="2268" w:hanging="1134"/>
      </w:pPr>
      <w:r w:rsidRPr="00353DAB">
        <w:t>7.1.1.7</w:t>
      </w:r>
      <w:r w:rsidRPr="00353DAB">
        <w:tab/>
        <w:t>Un processus permettant de</w:t>
      </w:r>
      <w:r>
        <w:t xml:space="preserve"> confirmer la compatibilité </w:t>
      </w:r>
      <w:r w:rsidRPr="00353DAB">
        <w:t>d</w:t>
      </w:r>
      <w:r>
        <w:t>’</w:t>
      </w:r>
      <w:r w:rsidRPr="00353DAB">
        <w:t>une mise à jour logicielle</w:t>
      </w:r>
      <w:r>
        <w:t xml:space="preserve"> avec la configuration du ou des véhicules cibles avant sa mise à disposition.</w:t>
      </w:r>
      <w:r w:rsidRPr="00353DAB">
        <w:t xml:space="preserve"> </w:t>
      </w:r>
      <w:r>
        <w:t xml:space="preserve">Pour cela, il convient de déterminer </w:t>
      </w:r>
      <w:r w:rsidRPr="00353DAB">
        <w:t xml:space="preserve">la dernière configuration </w:t>
      </w:r>
      <w:r>
        <w:t xml:space="preserve">logicielle et matérielle </w:t>
      </w:r>
      <w:r w:rsidRPr="00353DAB">
        <w:t xml:space="preserve">connue </w:t>
      </w:r>
      <w:r>
        <w:t xml:space="preserve">du ou </w:t>
      </w:r>
      <w:r w:rsidRPr="00353DAB">
        <w:t>des véhicules cibles</w:t>
      </w:r>
      <w:r w:rsidR="006A6E78">
        <w:t> ;</w:t>
      </w:r>
    </w:p>
    <w:p w14:paraId="4F2984DA" w14:textId="0040E84F" w:rsidR="00E07249" w:rsidRPr="00353DAB" w:rsidRDefault="00E07249" w:rsidP="00E07249">
      <w:pPr>
        <w:pStyle w:val="SingleTxtG"/>
        <w:ind w:left="2268" w:hanging="1134"/>
      </w:pPr>
      <w:r w:rsidRPr="00353DAB">
        <w:t>7.1.1.8</w:t>
      </w:r>
      <w:r w:rsidRPr="00353DAB">
        <w:tab/>
        <w:t>Un processus permettant de déterminer si une mise à jour logicielle aura une incidence sur tel ou tel système homologué et, si tel est le cas, de déterminer et d</w:t>
      </w:r>
      <w:r>
        <w:t>’</w:t>
      </w:r>
      <w:r w:rsidRPr="00353DAB">
        <w:t>enregistrer cette incidence. Il s</w:t>
      </w:r>
      <w:r>
        <w:t>’</w:t>
      </w:r>
      <w:r w:rsidRPr="00353DAB">
        <w:t>agit de déterminer si la mise à jour aura une incidence sur tel ou tel paramètre utilisé pour définir les systèmes que la mise à jour est susceptible de concerner, ou si elle modifiera tel ou tel paramètre utilisé pour homologuer ces systèmes (tels que définis dans la réglementation pertinente)</w:t>
      </w:r>
      <w:r w:rsidR="006A6E78">
        <w:t> ;</w:t>
      </w:r>
    </w:p>
    <w:p w14:paraId="06DA6DC3" w14:textId="415D8BA1" w:rsidR="00E07249" w:rsidRPr="00353DAB" w:rsidRDefault="00E07249" w:rsidP="00E07249">
      <w:pPr>
        <w:pStyle w:val="SingleTxtG"/>
        <w:ind w:left="2268" w:hanging="1134"/>
      </w:pPr>
      <w:r w:rsidRPr="00353DAB">
        <w:t>7.1.1.9</w:t>
      </w:r>
      <w:r w:rsidRPr="00353DAB">
        <w:tab/>
        <w:t>Un processus permettant de déterminer si une mise à jour logicielle ajoutera, modifiera ou activera des fonctions qui n</w:t>
      </w:r>
      <w:r>
        <w:t>’</w:t>
      </w:r>
      <w:r w:rsidRPr="00353DAB">
        <w:t>étaient pas présentes ou activées lorsque le véhicule a été homologué, ou modifiera ou désactivera tout autre paramètre ou toute autre fonction définis dans la réglementation, et, si tel est le cas, de déterminer et d</w:t>
      </w:r>
      <w:r>
        <w:t>’</w:t>
      </w:r>
      <w:r w:rsidRPr="00353DAB">
        <w:t>enregistrer ces effets. L</w:t>
      </w:r>
      <w:r>
        <w:t>’</w:t>
      </w:r>
      <w:r w:rsidRPr="00353DAB">
        <w:t>évaluation doit porter sur la question de savoir si</w:t>
      </w:r>
      <w:r w:rsidR="006A6E78">
        <w:t> :</w:t>
      </w:r>
    </w:p>
    <w:p w14:paraId="04B18372" w14:textId="4F52E787" w:rsidR="00E07249" w:rsidRPr="00353DAB" w:rsidRDefault="00E07249" w:rsidP="00E07249">
      <w:pPr>
        <w:pStyle w:val="SingleTxtG"/>
        <w:ind w:left="2835" w:hanging="567"/>
      </w:pPr>
      <w:r w:rsidRPr="00353DAB">
        <w:t>a)</w:t>
      </w:r>
      <w:r w:rsidRPr="00353DAB">
        <w:tab/>
        <w:t>Des entrées devront être modifiées dans le dossier d</w:t>
      </w:r>
      <w:r>
        <w:t>’</w:t>
      </w:r>
      <w:r w:rsidRPr="00353DAB">
        <w:t>information</w:t>
      </w:r>
      <w:r w:rsidR="006A6E78">
        <w:t> ;</w:t>
      </w:r>
    </w:p>
    <w:p w14:paraId="290C6955" w14:textId="34D032A5" w:rsidR="00E07249" w:rsidRPr="00353DAB" w:rsidRDefault="00E07249" w:rsidP="00E07249">
      <w:pPr>
        <w:pStyle w:val="SingleTxtG"/>
        <w:ind w:left="2835" w:hanging="567"/>
      </w:pPr>
      <w:r w:rsidRPr="00353DAB">
        <w:t>b)</w:t>
      </w:r>
      <w:r w:rsidRPr="00353DAB">
        <w:tab/>
        <w:t>Les résultats des essais ne rendront plus compte du fonctionnement du véhicule après que la modification aura eu lieu</w:t>
      </w:r>
      <w:r w:rsidR="006A6E78">
        <w:t> ;</w:t>
      </w:r>
    </w:p>
    <w:p w14:paraId="5C31AF34" w14:textId="05551B39" w:rsidR="00E07249" w:rsidRPr="00353DAB" w:rsidRDefault="00E07249" w:rsidP="00E07249">
      <w:pPr>
        <w:pStyle w:val="SingleTxtG"/>
        <w:ind w:left="2835" w:hanging="567"/>
      </w:pPr>
      <w:r w:rsidRPr="00353DAB">
        <w:t>c)</w:t>
      </w:r>
      <w:r w:rsidRPr="00353DAB">
        <w:tab/>
        <w:t>Une éventuelle modification des fonctions du véhicule aura une incidence sur l</w:t>
      </w:r>
      <w:r>
        <w:t>’</w:t>
      </w:r>
      <w:r w:rsidRPr="00353DAB">
        <w:t>homologation de type du véhicule</w:t>
      </w:r>
      <w:r w:rsidR="006A6E78">
        <w:t> ;</w:t>
      </w:r>
    </w:p>
    <w:p w14:paraId="791B491C" w14:textId="401D1423" w:rsidR="00E07249" w:rsidRPr="00353DAB" w:rsidRDefault="00E07249" w:rsidP="00E07249">
      <w:pPr>
        <w:pStyle w:val="SingleTxtG"/>
        <w:ind w:left="2268" w:hanging="1134"/>
      </w:pPr>
      <w:r w:rsidRPr="00353DAB">
        <w:t>7.1.1.10</w:t>
      </w:r>
      <w:r w:rsidRPr="00353DAB">
        <w:tab/>
        <w:t>Un processus permettant de déterminer si une mise à jour logicielle aura une incidence sur tout autre système requis pour continuer d</w:t>
      </w:r>
      <w:r>
        <w:t>’</w:t>
      </w:r>
      <w:r w:rsidRPr="00353DAB">
        <w:t>utiliser le véhicule en toute sécurité, ou si la mise à jour ajoutera ou modifiera des fonctions propres au véhicule par rapport à la date où il a été immatriculé, et, si tel est le cas, de déterminer et d</w:t>
      </w:r>
      <w:r>
        <w:t>’</w:t>
      </w:r>
      <w:r w:rsidRPr="00353DAB">
        <w:t>enregistrer ces effets</w:t>
      </w:r>
      <w:r w:rsidR="006A6E78">
        <w:t> ;</w:t>
      </w:r>
    </w:p>
    <w:p w14:paraId="26D0B49B" w14:textId="5C3395DE" w:rsidR="00E07249" w:rsidRPr="00353DAB" w:rsidRDefault="00E07249" w:rsidP="00E07249">
      <w:pPr>
        <w:pStyle w:val="SingleTxtG"/>
        <w:ind w:left="2268" w:hanging="1134"/>
      </w:pPr>
      <w:r w:rsidRPr="00353DAB">
        <w:t>7.1.1.11</w:t>
      </w:r>
      <w:r w:rsidRPr="00353DAB">
        <w:tab/>
        <w:t>Un processus par lequel l</w:t>
      </w:r>
      <w:r>
        <w:t>’</w:t>
      </w:r>
      <w:r w:rsidRPr="00353DAB">
        <w:t>utilisateur du véhicule peut être informé des mises à jour</w:t>
      </w:r>
      <w:r w:rsidR="006A6E78">
        <w:t> ;</w:t>
      </w:r>
    </w:p>
    <w:p w14:paraId="2FAD547C" w14:textId="303624AC" w:rsidR="00E07249" w:rsidRPr="00353DAB" w:rsidRDefault="00E07249" w:rsidP="00E07249">
      <w:pPr>
        <w:pStyle w:val="SingleTxtG"/>
        <w:ind w:left="2268" w:hanging="1134"/>
      </w:pPr>
      <w:r w:rsidRPr="00353DAB">
        <w:t>7.1.1.12</w:t>
      </w:r>
      <w:r w:rsidRPr="00353DAB">
        <w:tab/>
        <w:t>Un processus par lequel le constructeur du véhicule doit pouvoir mettre les informations visées aux paragraphes</w:t>
      </w:r>
      <w:r w:rsidR="00CD7431">
        <w:t xml:space="preserve"> </w:t>
      </w:r>
      <w:r w:rsidRPr="00353DAB">
        <w:t>7.1.2.3 et 7.1.2.4 à la disposition des autorités d</w:t>
      </w:r>
      <w:r>
        <w:t>’</w:t>
      </w:r>
      <w:r w:rsidRPr="00353DAB">
        <w:t xml:space="preserve">homologation responsables ou </w:t>
      </w:r>
      <w:r>
        <w:t xml:space="preserve">de </w:t>
      </w:r>
      <w:r w:rsidRPr="00353DAB">
        <w:t>leurs services techniques.</w:t>
      </w:r>
      <w:r>
        <w:t xml:space="preserve"> Ces informations peuvent être demandées aux fins de l’homologation de type, d’une vérification de la conformité de la production, de la surveillance des marchés, d’un rappel ou du contrôle technique périodique.</w:t>
      </w:r>
    </w:p>
    <w:p w14:paraId="278ED90A" w14:textId="099055E4" w:rsidR="00E07249" w:rsidRPr="00353DAB" w:rsidRDefault="00E07249" w:rsidP="00E07249">
      <w:pPr>
        <w:pStyle w:val="SingleTxtG"/>
        <w:ind w:left="2268" w:hanging="1134"/>
      </w:pPr>
      <w:r w:rsidRPr="00353DAB">
        <w:t>7.1.2</w:t>
      </w:r>
      <w:r w:rsidRPr="00353DAB">
        <w:tab/>
        <w:t>Le constructeur du véhicule doit enregistrer et conserver les informations suivantes pour chaque mise à jour appliquée à un type de véhicule donné</w:t>
      </w:r>
      <w:r w:rsidR="006A6E78">
        <w:t> :</w:t>
      </w:r>
    </w:p>
    <w:p w14:paraId="2E290CC1" w14:textId="79034280" w:rsidR="00E07249" w:rsidRPr="00353DAB" w:rsidRDefault="00E07249" w:rsidP="00E07249">
      <w:pPr>
        <w:pStyle w:val="SingleTxtG"/>
        <w:ind w:left="2268" w:hanging="1134"/>
      </w:pPr>
      <w:r w:rsidRPr="00353DAB">
        <w:t>7.1.2.1</w:t>
      </w:r>
      <w:r w:rsidRPr="00353DAB">
        <w:tab/>
        <w:t>La documentation sur les processus qu</w:t>
      </w:r>
      <w:r>
        <w:t>’</w:t>
      </w:r>
      <w:r w:rsidRPr="00353DAB">
        <w:t>il met en œuvre pour effectuer les mises à jour logicielles et sur toute norme pertinente qu</w:t>
      </w:r>
      <w:r>
        <w:t>’</w:t>
      </w:r>
      <w:r w:rsidRPr="00353DAB">
        <w:t>il utilise pour démontrer leur conformité</w:t>
      </w:r>
      <w:r w:rsidR="006A6E78">
        <w:t> ;</w:t>
      </w:r>
    </w:p>
    <w:p w14:paraId="77DB23D3" w14:textId="3CFFCCAF" w:rsidR="00E07249" w:rsidRPr="00353DAB" w:rsidRDefault="00E07249" w:rsidP="00E07249">
      <w:pPr>
        <w:pStyle w:val="SingleTxtG"/>
        <w:ind w:left="2268" w:hanging="1134"/>
      </w:pPr>
      <w:r w:rsidRPr="00353DAB">
        <w:t>7.1.2.2</w:t>
      </w:r>
      <w:r w:rsidRPr="00353DAB">
        <w:tab/>
        <w:t>La documentation sur la configuration, avant et après une mise à jour, de tout système homologué pertinent</w:t>
      </w:r>
      <w:r w:rsidR="006A6E78">
        <w:t> ;</w:t>
      </w:r>
      <w:r w:rsidRPr="00353DAB">
        <w:t xml:space="preserve"> celle-ci doit comprendre des codes uniques pour les composants matériels et logiciels du système homologué (y</w:t>
      </w:r>
      <w:r>
        <w:t> </w:t>
      </w:r>
      <w:r w:rsidRPr="00353DAB">
        <w:t xml:space="preserve">compris </w:t>
      </w:r>
      <w:r w:rsidRPr="00353DAB">
        <w:lastRenderedPageBreak/>
        <w:t>pour les différentes versions du logiciel) ainsi que tous les paramètres pertinents du véhicule ou du système</w:t>
      </w:r>
      <w:r w:rsidR="006A6E78">
        <w:t> ;</w:t>
      </w:r>
    </w:p>
    <w:p w14:paraId="2CFA3C15" w14:textId="39799153" w:rsidR="00E07249" w:rsidRPr="00353DAB" w:rsidRDefault="00E07249" w:rsidP="00E07249">
      <w:pPr>
        <w:pStyle w:val="SingleTxtG"/>
        <w:ind w:left="2268" w:hanging="1134"/>
      </w:pPr>
      <w:r w:rsidRPr="00353DAB">
        <w:t>7.1.2.3</w:t>
      </w:r>
      <w:r w:rsidRPr="00353DAB">
        <w:tab/>
        <w:t>Pour chaque RXSWIN, un registre vérifiable décrivant l</w:t>
      </w:r>
      <w:r>
        <w:t>’</w:t>
      </w:r>
      <w:r w:rsidRPr="00353DAB">
        <w:t>ensemble du logiciel auquel renvoie le RXSWIN du type de véhicule avant et après une mise à jour. Il s</w:t>
      </w:r>
      <w:r>
        <w:t>’</w:t>
      </w:r>
      <w:r w:rsidRPr="00353DAB">
        <w:t>agit notamment des informations sur les versions du logiciel et les données de validation de l</w:t>
      </w:r>
      <w:r>
        <w:t>’</w:t>
      </w:r>
      <w:r w:rsidRPr="00353DAB">
        <w:t>intégrité pour tous les composants logiciels pertinents de chaque RXSWIN</w:t>
      </w:r>
      <w:r w:rsidR="006A6E78">
        <w:t> ;</w:t>
      </w:r>
    </w:p>
    <w:p w14:paraId="16DFB0CC" w14:textId="42C3EAF0" w:rsidR="00E07249" w:rsidRPr="00353DAB" w:rsidRDefault="00E07249" w:rsidP="00E07249">
      <w:pPr>
        <w:pStyle w:val="SingleTxtG"/>
        <w:ind w:left="2268" w:hanging="1134"/>
      </w:pPr>
      <w:r w:rsidRPr="00353DAB">
        <w:t>7.1.2.4</w:t>
      </w:r>
      <w:r w:rsidRPr="00353DAB">
        <w:tab/>
        <w:t xml:space="preserve">La </w:t>
      </w:r>
      <w:r>
        <w:t xml:space="preserve">liste des </w:t>
      </w:r>
      <w:r w:rsidRPr="00353DAB">
        <w:t xml:space="preserve">véhicules cibles de la mise à jour et la </w:t>
      </w:r>
      <w:r>
        <w:t>confirmation</w:t>
      </w:r>
      <w:r w:rsidRPr="00353DAB">
        <w:t xml:space="preserve"> de la compatibilité de la dernière configuration connue de ces véhicules avec la mise à jour</w:t>
      </w:r>
      <w:r w:rsidR="006A6E78">
        <w:t> ;</w:t>
      </w:r>
    </w:p>
    <w:p w14:paraId="1E8E3A4F" w14:textId="6F0F6383" w:rsidR="00E07249" w:rsidRPr="00353DAB" w:rsidRDefault="00E07249" w:rsidP="00CD7431">
      <w:pPr>
        <w:pStyle w:val="SingleTxtG"/>
        <w:keepNext/>
        <w:ind w:left="2268" w:hanging="1134"/>
      </w:pPr>
      <w:r w:rsidRPr="00353DAB">
        <w:t>7.1.2.5</w:t>
      </w:r>
      <w:r w:rsidRPr="00353DAB">
        <w:tab/>
        <w:t>La documentation sur toutes les mises à jour logicielles pour le type de véhicule visé, comprenant les éléments d</w:t>
      </w:r>
      <w:r>
        <w:t>’</w:t>
      </w:r>
      <w:r w:rsidRPr="00353DAB">
        <w:t>information suivants</w:t>
      </w:r>
      <w:r w:rsidR="006A6E78">
        <w:t> :</w:t>
      </w:r>
    </w:p>
    <w:p w14:paraId="515FA504" w14:textId="6113DD53" w:rsidR="00E07249" w:rsidRPr="00353DAB" w:rsidRDefault="00E07249" w:rsidP="00E07249">
      <w:pPr>
        <w:pStyle w:val="SingleTxtG"/>
        <w:ind w:left="2835" w:hanging="567"/>
      </w:pPr>
      <w:r w:rsidRPr="00353DAB">
        <w:t>a)</w:t>
      </w:r>
      <w:r w:rsidRPr="00353DAB">
        <w:tab/>
        <w:t>Le but de la mise à jour</w:t>
      </w:r>
      <w:r w:rsidR="006A6E78">
        <w:t> ;</w:t>
      </w:r>
    </w:p>
    <w:p w14:paraId="5D4A6CC2" w14:textId="7C7DCEF9" w:rsidR="00E07249" w:rsidRPr="00353DAB" w:rsidRDefault="00E07249" w:rsidP="00E07249">
      <w:pPr>
        <w:pStyle w:val="SingleTxtG"/>
        <w:ind w:left="2835" w:hanging="567"/>
      </w:pPr>
      <w:r w:rsidRPr="00353DAB">
        <w:t>b)</w:t>
      </w:r>
      <w:r w:rsidRPr="00353DAB">
        <w:tab/>
        <w:t>Les systèmes ou les fonctions du véhicule concernés par la mise à jour</w:t>
      </w:r>
      <w:r w:rsidR="006A6E78">
        <w:t> ;</w:t>
      </w:r>
    </w:p>
    <w:p w14:paraId="0B3B344F" w14:textId="45BCB80E" w:rsidR="00E07249" w:rsidRPr="00353DAB" w:rsidRDefault="00E07249" w:rsidP="00E07249">
      <w:pPr>
        <w:pStyle w:val="SingleTxtG"/>
        <w:ind w:left="2835" w:hanging="567"/>
      </w:pPr>
      <w:r w:rsidRPr="00353DAB">
        <w:t>c)</w:t>
      </w:r>
      <w:r w:rsidRPr="00353DAB">
        <w:tab/>
        <w:t>Les systèmes ou fonctions homologués (s</w:t>
      </w:r>
      <w:r>
        <w:t>’</w:t>
      </w:r>
      <w:r w:rsidRPr="00353DAB">
        <w:t>il y en a) parmi les systèmes ou fonctions concernés par la mise à jour</w:t>
      </w:r>
      <w:r w:rsidR="006A6E78">
        <w:t> ;</w:t>
      </w:r>
    </w:p>
    <w:p w14:paraId="79526867" w14:textId="0601928E" w:rsidR="00E07249" w:rsidRPr="00353DAB" w:rsidRDefault="00E07249" w:rsidP="00E07249">
      <w:pPr>
        <w:pStyle w:val="SingleTxtG"/>
        <w:ind w:left="2835" w:hanging="567"/>
      </w:pPr>
      <w:r w:rsidRPr="00353DAB">
        <w:t>d)</w:t>
      </w:r>
      <w:r w:rsidRPr="00353DAB">
        <w:tab/>
        <w:t>S</w:t>
      </w:r>
      <w:r>
        <w:t>’</w:t>
      </w:r>
      <w:r w:rsidRPr="00353DAB">
        <w:t>il existe de tels systèmes ou fonctions homologués, les éventuelles incidences de la mise à jour logicielle sur le respect des prescriptions relatives à ces systèmes</w:t>
      </w:r>
      <w:r w:rsidR="006A6E78">
        <w:t> ;</w:t>
      </w:r>
    </w:p>
    <w:p w14:paraId="697C2FFA" w14:textId="4F3C0DA8" w:rsidR="00E07249" w:rsidRPr="00353DAB" w:rsidRDefault="00E07249" w:rsidP="00E07249">
      <w:pPr>
        <w:pStyle w:val="SingleTxtG"/>
        <w:ind w:left="2835" w:hanging="567"/>
      </w:pPr>
      <w:r w:rsidRPr="00353DAB">
        <w:t>e)</w:t>
      </w:r>
      <w:r w:rsidRPr="00353DAB">
        <w:tab/>
        <w:t>L</w:t>
      </w:r>
      <w:r>
        <w:t>’</w:t>
      </w:r>
      <w:r w:rsidRPr="00353DAB">
        <w:t>éventuelle incidence de la mise à jour logicielle sur un paramètre d</w:t>
      </w:r>
      <w:r>
        <w:t>’</w:t>
      </w:r>
      <w:r w:rsidRPr="00353DAB">
        <w:t>homologation d</w:t>
      </w:r>
      <w:r>
        <w:t>’</w:t>
      </w:r>
      <w:r w:rsidRPr="00353DAB">
        <w:t>un système</w:t>
      </w:r>
      <w:r w:rsidR="006A6E78">
        <w:t> ;</w:t>
      </w:r>
    </w:p>
    <w:p w14:paraId="5C496DB3" w14:textId="5D454CCD" w:rsidR="00E07249" w:rsidRPr="00353DAB" w:rsidRDefault="00E07249" w:rsidP="00E07249">
      <w:pPr>
        <w:pStyle w:val="SingleTxtG"/>
        <w:ind w:left="2835" w:hanging="567"/>
      </w:pPr>
      <w:r w:rsidRPr="00353DAB">
        <w:t>f)</w:t>
      </w:r>
      <w:r w:rsidRPr="00353DAB">
        <w:tab/>
        <w:t>L</w:t>
      </w:r>
      <w:r>
        <w:t>’</w:t>
      </w:r>
      <w:r w:rsidRPr="00353DAB">
        <w:t>éventuelle demande d</w:t>
      </w:r>
      <w:r>
        <w:t>’</w:t>
      </w:r>
      <w:r w:rsidRPr="00353DAB">
        <w:t>homologation de la mise à jour auprès d</w:t>
      </w:r>
      <w:r>
        <w:t>’</w:t>
      </w:r>
      <w:r w:rsidRPr="00353DAB">
        <w:t>un organisme d</w:t>
      </w:r>
      <w:r>
        <w:t>’</w:t>
      </w:r>
      <w:r w:rsidRPr="00353DAB">
        <w:t>homologation</w:t>
      </w:r>
      <w:r w:rsidR="006A6E78">
        <w:t> ;</w:t>
      </w:r>
    </w:p>
    <w:p w14:paraId="08024ABE" w14:textId="0BDDF090" w:rsidR="00E07249" w:rsidRPr="00353DAB" w:rsidRDefault="00E07249" w:rsidP="00E07249">
      <w:pPr>
        <w:pStyle w:val="SingleTxtG"/>
        <w:ind w:left="2835" w:hanging="567"/>
      </w:pPr>
      <w:r w:rsidRPr="00353DAB">
        <w:t>g)</w:t>
      </w:r>
      <w:r w:rsidRPr="00353DAB">
        <w:tab/>
        <w:t>Le mode et les conditions d</w:t>
      </w:r>
      <w:r>
        <w:t>’</w:t>
      </w:r>
      <w:r w:rsidRPr="00353DAB">
        <w:t>exécution de la mise à jour</w:t>
      </w:r>
      <w:r w:rsidR="006A6E78">
        <w:t> ;</w:t>
      </w:r>
    </w:p>
    <w:p w14:paraId="5AF9FEEA" w14:textId="49ED82CB" w:rsidR="00E07249" w:rsidRPr="00353DAB" w:rsidRDefault="00E07249" w:rsidP="00E07249">
      <w:pPr>
        <w:pStyle w:val="SingleTxtG"/>
        <w:ind w:left="2835" w:hanging="567"/>
      </w:pPr>
      <w:r w:rsidRPr="00353DAB">
        <w:t>h)</w:t>
      </w:r>
      <w:r w:rsidRPr="00353DAB">
        <w:tab/>
      </w:r>
      <w:bookmarkStart w:id="8" w:name="_Hlk26780772"/>
      <w:r w:rsidRPr="00353DAB">
        <w:t xml:space="preserve">Les éléments permettant de confirmer </w:t>
      </w:r>
      <w:bookmarkEnd w:id="8"/>
      <w:r w:rsidRPr="00353DAB">
        <w:t>que la mise à jour logicielle se fera en toute sécurité</w:t>
      </w:r>
      <w:r w:rsidR="006A6E78">
        <w:t> ;</w:t>
      </w:r>
    </w:p>
    <w:p w14:paraId="43B53112" w14:textId="77777777" w:rsidR="00E07249" w:rsidRPr="00353DAB" w:rsidRDefault="00E07249" w:rsidP="00E07249">
      <w:pPr>
        <w:pStyle w:val="SingleTxtG"/>
        <w:ind w:left="2835" w:hanging="567"/>
      </w:pPr>
      <w:r w:rsidRPr="00353DAB">
        <w:t>i)</w:t>
      </w:r>
      <w:r w:rsidRPr="00353DAB">
        <w:tab/>
        <w:t>Les éléments permettant de confirmer que la mise à jour logicielle a fait l</w:t>
      </w:r>
      <w:r>
        <w:t>’</w:t>
      </w:r>
      <w:r w:rsidRPr="00353DAB">
        <w:t>objet de procédures de vérification et de validation qui ont été satisfaisantes.</w:t>
      </w:r>
    </w:p>
    <w:p w14:paraId="1928661E" w14:textId="354C182E" w:rsidR="00E07249" w:rsidRPr="00353DAB" w:rsidRDefault="00E07249" w:rsidP="00E07249">
      <w:pPr>
        <w:pStyle w:val="SingleTxtG"/>
        <w:ind w:left="2268" w:hanging="1134"/>
      </w:pPr>
      <w:r w:rsidRPr="00353DAB">
        <w:t>7.1.3</w:t>
      </w:r>
      <w:r w:rsidRPr="00353DAB">
        <w:tab/>
        <w:t>S</w:t>
      </w:r>
      <w:r>
        <w:t>’</w:t>
      </w:r>
      <w:r w:rsidRPr="00353DAB">
        <w:t>agissant de la sécurité, le constructeur du véhicule doit démontrer</w:t>
      </w:r>
      <w:r w:rsidR="006A6E78">
        <w:t> :</w:t>
      </w:r>
    </w:p>
    <w:p w14:paraId="3DE259ED" w14:textId="4A5A5A79" w:rsidR="00E07249" w:rsidRPr="00353DAB" w:rsidRDefault="00E07249" w:rsidP="00E07249">
      <w:pPr>
        <w:pStyle w:val="SingleTxtG"/>
        <w:ind w:left="2268" w:hanging="1134"/>
      </w:pPr>
      <w:r w:rsidRPr="00353DAB">
        <w:t>7.1.3.1</w:t>
      </w:r>
      <w:r w:rsidRPr="00353DAB">
        <w:tab/>
        <w:t>Quel processus est mis en œuvre pour s</w:t>
      </w:r>
      <w:r>
        <w:t>’</w:t>
      </w:r>
      <w:r w:rsidRPr="00353DAB">
        <w:t>assurer de la protection raisonnable des mises à jour logicielles contre toute manipulation avant le lancement de la mise à jour</w:t>
      </w:r>
      <w:r w:rsidR="006A6E78">
        <w:t> ;</w:t>
      </w:r>
    </w:p>
    <w:p w14:paraId="2FA0A873" w14:textId="48EC09F9" w:rsidR="00E07249" w:rsidRPr="00353DAB" w:rsidRDefault="00E07249" w:rsidP="00E07249">
      <w:pPr>
        <w:pStyle w:val="SingleTxtG"/>
        <w:ind w:left="2268" w:hanging="1134"/>
      </w:pPr>
      <w:r w:rsidRPr="00353DAB">
        <w:t>7.1.3.2</w:t>
      </w:r>
      <w:r w:rsidRPr="00353DAB">
        <w:tab/>
        <w:t>Que les processus de mise à jour mis en œuvre sont raisonnablement protégés contre toute altération, y</w:t>
      </w:r>
      <w:r>
        <w:t> </w:t>
      </w:r>
      <w:r w:rsidRPr="00353DAB">
        <w:t>compris au stade de l</w:t>
      </w:r>
      <w:r>
        <w:t>’</w:t>
      </w:r>
      <w:r w:rsidRPr="00353DAB">
        <w:t>élaboration de la mise à jour du système</w:t>
      </w:r>
      <w:r w:rsidR="006A6E78">
        <w:t> ;</w:t>
      </w:r>
    </w:p>
    <w:p w14:paraId="416B04F7" w14:textId="77777777" w:rsidR="00E07249" w:rsidRDefault="00E07249" w:rsidP="00E07249">
      <w:pPr>
        <w:pStyle w:val="SingleTxtG"/>
        <w:ind w:left="2268" w:hanging="1134"/>
      </w:pPr>
      <w:r w:rsidRPr="00353DAB">
        <w:t>7.1.3.3</w:t>
      </w:r>
      <w:r w:rsidRPr="00353DAB">
        <w:tab/>
        <w:t>Que les processus mis en œuvre pour vérifier et valider les fonctions et le code informatique du logiciel utilisé sur le véhicule sont appropriés.</w:t>
      </w:r>
    </w:p>
    <w:p w14:paraId="41AA529E" w14:textId="77777777" w:rsidR="00E07249" w:rsidRPr="00353DAB" w:rsidRDefault="00E07249" w:rsidP="00E07249">
      <w:pPr>
        <w:pStyle w:val="SingleTxtG"/>
        <w:ind w:left="2268" w:hanging="1134"/>
      </w:pPr>
      <w:r w:rsidRPr="00353DAB">
        <w:t>7.1.4</w:t>
      </w:r>
      <w:r w:rsidRPr="00353DAB">
        <w:tab/>
        <w:t>Prescriptions additionnelles applicables aux mises à jour à distance</w:t>
      </w:r>
    </w:p>
    <w:p w14:paraId="3E305DE7" w14:textId="77777777" w:rsidR="00E07249" w:rsidRPr="00353DAB" w:rsidRDefault="00E07249" w:rsidP="00E07249">
      <w:pPr>
        <w:pStyle w:val="SingleTxtG"/>
        <w:ind w:left="2268" w:hanging="1134"/>
      </w:pPr>
      <w:r w:rsidRPr="00353DAB">
        <w:t>7.1.4.1</w:t>
      </w:r>
      <w:r w:rsidRPr="00353DAB">
        <w:tab/>
        <w:t>Le constructeur du véhicule doit faire une démonstration des processus et procédures qu</w:t>
      </w:r>
      <w:r>
        <w:t>’</w:t>
      </w:r>
      <w:r w:rsidRPr="00353DAB">
        <w:t>il mettra en œuvre pour s</w:t>
      </w:r>
      <w:r>
        <w:t>’</w:t>
      </w:r>
      <w:r w:rsidRPr="00353DAB">
        <w:t>assurer que les mises à jour à distance n</w:t>
      </w:r>
      <w:r>
        <w:t>’</w:t>
      </w:r>
      <w:r w:rsidRPr="00353DAB">
        <w:t>auront aucune incidence sur la sécurité si elles se font pendant la conduite du véhicule.</w:t>
      </w:r>
    </w:p>
    <w:p w14:paraId="608F2CF9" w14:textId="77777777" w:rsidR="00E07249" w:rsidRPr="00353DAB" w:rsidRDefault="00E07249" w:rsidP="00E07249">
      <w:pPr>
        <w:pStyle w:val="SingleTxtG"/>
        <w:ind w:left="2268" w:hanging="1134"/>
      </w:pPr>
      <w:r w:rsidRPr="00353DAB">
        <w:t>7.1.4.2</w:t>
      </w:r>
      <w:r w:rsidRPr="00353DAB">
        <w:tab/>
        <w:t>Le constructeur du véhicule doit décrire en détail les processus et procédures qu</w:t>
      </w:r>
      <w:r>
        <w:t>’</w:t>
      </w:r>
      <w:r w:rsidRPr="00353DAB">
        <w:t>il mettra en œuvre pour s</w:t>
      </w:r>
      <w:r>
        <w:t>’</w:t>
      </w:r>
      <w:r w:rsidRPr="00353DAB">
        <w:t>assurer que, lorsqu</w:t>
      </w:r>
      <w:r>
        <w:t>’</w:t>
      </w:r>
      <w:r w:rsidRPr="00353DAB">
        <w:t xml:space="preserve">une mise à jour à distance suppose un travail complexe ou faisant appel à des compétences particulières, comme un réétalonnage de capteur post-programmation pour terminer la mise </w:t>
      </w:r>
      <w:r w:rsidRPr="00353DAB">
        <w:lastRenderedPageBreak/>
        <w:t>à jour, celle-ci ne puisse avoir lieu que si elle est effectuée en présence d</w:t>
      </w:r>
      <w:r>
        <w:t>’</w:t>
      </w:r>
      <w:r w:rsidRPr="00353DAB">
        <w:t>une personne qualifiée pour ce faire, ou sous son contrôle.</w:t>
      </w:r>
    </w:p>
    <w:p w14:paraId="6FBD464A" w14:textId="77777777" w:rsidR="00E07249" w:rsidRPr="00353DAB" w:rsidRDefault="00E07249" w:rsidP="00E07249">
      <w:pPr>
        <w:pStyle w:val="SingleTxtG"/>
        <w:ind w:left="2268" w:hanging="1134"/>
      </w:pPr>
      <w:r w:rsidRPr="00353DAB">
        <w:t>7.2</w:t>
      </w:r>
      <w:r w:rsidRPr="00353DAB">
        <w:tab/>
        <w:t>Prescriptions relatives au type de véhicule</w:t>
      </w:r>
    </w:p>
    <w:p w14:paraId="4B3E6C0F" w14:textId="77777777" w:rsidR="00E07249" w:rsidRPr="00353DAB" w:rsidRDefault="00E07249" w:rsidP="00E07249">
      <w:pPr>
        <w:pStyle w:val="SingleTxtG"/>
        <w:ind w:left="2268" w:hanging="1134"/>
      </w:pPr>
      <w:r w:rsidRPr="00353DAB">
        <w:t>7.2.1</w:t>
      </w:r>
      <w:r w:rsidRPr="00353DAB">
        <w:tab/>
        <w:t>Prescriptions s</w:t>
      </w:r>
      <w:r>
        <w:t>’</w:t>
      </w:r>
      <w:r w:rsidRPr="00353DAB">
        <w:t>appliquant aux mises à jour logicielles</w:t>
      </w:r>
    </w:p>
    <w:p w14:paraId="34C459EF" w14:textId="77777777" w:rsidR="00E07249" w:rsidRPr="00353DAB" w:rsidRDefault="00E07249" w:rsidP="00E07249">
      <w:pPr>
        <w:pStyle w:val="SingleTxtG"/>
        <w:ind w:left="2268" w:hanging="1134"/>
      </w:pPr>
      <w:r w:rsidRPr="00353DAB">
        <w:t>7.2.1.1</w:t>
      </w:r>
      <w:r w:rsidRPr="00353DAB">
        <w:tab/>
        <w:t>L</w:t>
      </w:r>
      <w:r>
        <w:t>’</w:t>
      </w:r>
      <w:r w:rsidRPr="00353DAB">
        <w:t>authenticité et l</w:t>
      </w:r>
      <w:r>
        <w:t>’</w:t>
      </w:r>
      <w:r w:rsidRPr="00353DAB">
        <w:t>intégrité des mises à jour logicielles doivent être protégées afin de prévenir de façon raisonnable l</w:t>
      </w:r>
      <w:r>
        <w:t>’</w:t>
      </w:r>
      <w:r w:rsidRPr="00353DAB">
        <w:t>altération des mises à jour et d</w:t>
      </w:r>
      <w:r>
        <w:t>’</w:t>
      </w:r>
      <w:r w:rsidRPr="00353DAB">
        <w:t>éviter les mises à jour non valables.</w:t>
      </w:r>
    </w:p>
    <w:p w14:paraId="6BBB0189" w14:textId="4CFEBC25" w:rsidR="00E07249" w:rsidRPr="00353DAB" w:rsidRDefault="00E07249" w:rsidP="00E07249">
      <w:pPr>
        <w:pStyle w:val="SingleTxtG"/>
        <w:ind w:left="2268" w:hanging="1134"/>
      </w:pPr>
      <w:r w:rsidRPr="00353DAB">
        <w:t>7.2.1.2</w:t>
      </w:r>
      <w:r w:rsidRPr="00353DAB">
        <w:tab/>
        <w:t>Lorsqu</w:t>
      </w:r>
      <w:r>
        <w:t>’</w:t>
      </w:r>
      <w:r w:rsidRPr="00353DAB">
        <w:t>il existe des codes RXSWIN pour un type de véhicule</w:t>
      </w:r>
      <w:r w:rsidR="006A6E78">
        <w:t> :</w:t>
      </w:r>
    </w:p>
    <w:p w14:paraId="0036CB33" w14:textId="77777777" w:rsidR="00E07249" w:rsidRPr="00353DAB" w:rsidRDefault="00E07249" w:rsidP="00E07249">
      <w:pPr>
        <w:pStyle w:val="SingleTxtG"/>
        <w:ind w:left="2268" w:hanging="1134"/>
      </w:pPr>
      <w:r w:rsidRPr="00353DAB">
        <w:t>7.2.1.2.1</w:t>
      </w:r>
      <w:r w:rsidRPr="00353DAB">
        <w:tab/>
        <w:t>Chaque code RXSWIN doit être unique. Lorsqu</w:t>
      </w:r>
      <w:r>
        <w:t>’</w:t>
      </w:r>
      <w:r w:rsidRPr="00353DAB">
        <w:t>un logiciel soumis à homologation est modifié par le constructeur du véhicule, le code RXSWIN correspondant doit être mis à jour si la modification donne lieu à une extension de l</w:t>
      </w:r>
      <w:r>
        <w:t>’</w:t>
      </w:r>
      <w:r w:rsidRPr="00353DAB">
        <w:t>homologation ou à une nouvelle homologation.</w:t>
      </w:r>
    </w:p>
    <w:p w14:paraId="511E22B1" w14:textId="77777777" w:rsidR="00E07249" w:rsidRPr="00353DAB" w:rsidRDefault="00E07249" w:rsidP="00E07249">
      <w:pPr>
        <w:pStyle w:val="SingleTxtG"/>
        <w:ind w:left="2268" w:hanging="1134"/>
      </w:pPr>
      <w:r w:rsidRPr="00353DAB">
        <w:t>7.2.1.2.2</w:t>
      </w:r>
      <w:r w:rsidRPr="00353DAB">
        <w:tab/>
        <w:t xml:space="preserve">Chaque code RXSWIN </w:t>
      </w:r>
      <w:bookmarkStart w:id="9" w:name="_Hlk26438752"/>
      <w:r w:rsidRPr="00353DAB">
        <w:t>doit être aisément lisible de façon normalisée, au moyen d</w:t>
      </w:r>
      <w:r>
        <w:t>’</w:t>
      </w:r>
      <w:r w:rsidRPr="00353DAB">
        <w:t>une interface de communication électronique. On doit pouvoir le lire au moins par l</w:t>
      </w:r>
      <w:r>
        <w:t>’</w:t>
      </w:r>
      <w:r w:rsidRPr="00353DAB">
        <w:t>interface standard (port OBD).</w:t>
      </w:r>
      <w:bookmarkEnd w:id="9"/>
    </w:p>
    <w:p w14:paraId="0C25BEDE" w14:textId="77777777" w:rsidR="00E07249" w:rsidRPr="00353DAB" w:rsidRDefault="00E07249" w:rsidP="00E07249">
      <w:pPr>
        <w:pStyle w:val="SingleTxtG"/>
        <w:ind w:left="2268"/>
      </w:pPr>
      <w:r w:rsidRPr="00353DAB">
        <w:tab/>
        <w:t>Si les codes RXSWIN ne sont pas présents sur le véhicule, le constructeur doit déclarer à l</w:t>
      </w:r>
      <w:r>
        <w:t>’</w:t>
      </w:r>
      <w:r w:rsidRPr="00353DAB">
        <w:t>autorité d</w:t>
      </w:r>
      <w:r>
        <w:t>’</w:t>
      </w:r>
      <w:r w:rsidRPr="00353DAB">
        <w:t>homologation la ou les versions du logiciel ou les modules de gestion électronique correspondant aux homologations de type pertinentes. Cette déclaration doit être actualisée à chaque nouvelle mise à jour des versions du logiciel déclarées. La ou les versions du logiciel doivent être aisément lisibles de façon normalisée, au moyen d</w:t>
      </w:r>
      <w:r>
        <w:t>’</w:t>
      </w:r>
      <w:r w:rsidRPr="00353DAB">
        <w:t>une interface de communication électronique. On doit pouvoir la(les) lire au moins par l</w:t>
      </w:r>
      <w:r>
        <w:t>’</w:t>
      </w:r>
      <w:r w:rsidRPr="00353DAB">
        <w:t>interface standard (port OBD).</w:t>
      </w:r>
    </w:p>
    <w:p w14:paraId="1F17EEFE" w14:textId="77777777" w:rsidR="00E07249" w:rsidRPr="00353DAB" w:rsidRDefault="00E07249" w:rsidP="00E07249">
      <w:pPr>
        <w:pStyle w:val="SingleTxtG"/>
        <w:ind w:left="2268" w:hanging="1134"/>
      </w:pPr>
      <w:r w:rsidRPr="00353DAB">
        <w:rPr>
          <w:iCs/>
        </w:rPr>
        <w:t>7.2.1.2.3</w:t>
      </w:r>
      <w:r w:rsidRPr="00353DAB">
        <w:rPr>
          <w:iCs/>
        </w:rPr>
        <w:tab/>
        <w:t xml:space="preserve">Le constructeur du véhicule doit protéger </w:t>
      </w:r>
      <w:bookmarkStart w:id="10" w:name="_Hlk26439001"/>
      <w:r w:rsidRPr="00353DAB">
        <w:rPr>
          <w:iCs/>
        </w:rPr>
        <w:t xml:space="preserve">les codes RXSWIN et/ou la ou les versions du logiciel </w:t>
      </w:r>
      <w:bookmarkEnd w:id="10"/>
      <w:r w:rsidRPr="00353DAB">
        <w:rPr>
          <w:iCs/>
        </w:rPr>
        <w:t xml:space="preserve">utilisées sur le véhicule contre toute modification non autorisée. </w:t>
      </w:r>
      <w:r w:rsidRPr="00360D70">
        <w:t>Lorsque</w:t>
      </w:r>
      <w:r w:rsidRPr="00353DAB">
        <w:rPr>
          <w:iCs/>
        </w:rPr>
        <w:t xml:space="preserve"> l</w:t>
      </w:r>
      <w:r>
        <w:rPr>
          <w:iCs/>
        </w:rPr>
        <w:t>’</w:t>
      </w:r>
      <w:r w:rsidRPr="00353DAB">
        <w:rPr>
          <w:iCs/>
        </w:rPr>
        <w:t>homologation de type est accordée, les moyens mis en œuvre par le constructeur pour protéger les codes RXSWIN et/ou les versions du logiciel contre toute modification non autorisée doivent être communiqués de façon confidentielle</w:t>
      </w:r>
      <w:r w:rsidRPr="00353DAB">
        <w:t>.</w:t>
      </w:r>
    </w:p>
    <w:p w14:paraId="74383D6B" w14:textId="77777777" w:rsidR="00E07249" w:rsidRPr="00353DAB" w:rsidRDefault="00E07249" w:rsidP="00E07249">
      <w:pPr>
        <w:pStyle w:val="SingleTxtG"/>
        <w:ind w:left="2268" w:hanging="1134"/>
      </w:pPr>
      <w:r w:rsidRPr="00353DAB">
        <w:t>7.2.2</w:t>
      </w:r>
      <w:r w:rsidRPr="00353DAB">
        <w:tab/>
        <w:t>Prescriptions additionnelles applicables aux mises à jour à distance</w:t>
      </w:r>
    </w:p>
    <w:p w14:paraId="2C992616" w14:textId="767D72B6" w:rsidR="00E07249" w:rsidRPr="00353DAB" w:rsidRDefault="00E07249" w:rsidP="00E07249">
      <w:pPr>
        <w:pStyle w:val="SingleTxtG"/>
        <w:ind w:left="2268" w:hanging="1134"/>
      </w:pPr>
      <w:r w:rsidRPr="00353DAB">
        <w:t>7.2.2.1</w:t>
      </w:r>
      <w:r w:rsidRPr="00353DAB">
        <w:tab/>
        <w:t>Le véhicule doit être doté des fonctions suivantes en ce qui concerne les mises à jour logicielles</w:t>
      </w:r>
      <w:r w:rsidR="006A6E78">
        <w:t> :</w:t>
      </w:r>
    </w:p>
    <w:p w14:paraId="0A56E958" w14:textId="29350BE7" w:rsidR="00E07249" w:rsidRPr="00353DAB" w:rsidRDefault="00E07249" w:rsidP="00E07249">
      <w:pPr>
        <w:pStyle w:val="SingleTxtG"/>
        <w:ind w:left="2268" w:hanging="1134"/>
      </w:pPr>
      <w:r w:rsidRPr="00353DAB">
        <w:t>7.2.2.1.1</w:t>
      </w:r>
      <w:r w:rsidRPr="00353DAB">
        <w:tab/>
        <w:t>Le constructeur du véhicule doit s</w:t>
      </w:r>
      <w:r>
        <w:t>’</w:t>
      </w:r>
      <w:r w:rsidRPr="00353DAB">
        <w:t>assurer que le véhicule peut rétablir un système dans sa version précédente en cas d</w:t>
      </w:r>
      <w:r>
        <w:t>’</w:t>
      </w:r>
      <w:r w:rsidRPr="00353DAB">
        <w:t>échec ou d</w:t>
      </w:r>
      <w:r>
        <w:t>’</w:t>
      </w:r>
      <w:r w:rsidRPr="00353DAB">
        <w:t>interruption d</w:t>
      </w:r>
      <w:r>
        <w:t>’</w:t>
      </w:r>
      <w:r w:rsidRPr="00353DAB">
        <w:t>une mise à jour, ou que le véhicule peut être mis en mode sécurisé après qu</w:t>
      </w:r>
      <w:r>
        <w:t>’</w:t>
      </w:r>
      <w:r w:rsidRPr="00353DAB">
        <w:t>une mise à jour a échoué ou a été interrompue</w:t>
      </w:r>
      <w:r w:rsidR="006A6E78">
        <w:t> ;</w:t>
      </w:r>
    </w:p>
    <w:p w14:paraId="43429628" w14:textId="3FD10268" w:rsidR="00E07249" w:rsidRPr="00353DAB" w:rsidRDefault="00E07249" w:rsidP="00E07249">
      <w:pPr>
        <w:pStyle w:val="SingleTxtG"/>
        <w:ind w:left="2268" w:hanging="1134"/>
      </w:pPr>
      <w:r w:rsidRPr="00353DAB">
        <w:t>7.2.2.1.2</w:t>
      </w:r>
      <w:r w:rsidRPr="00353DAB">
        <w:tab/>
        <w:t>Le constructeur du véhicule doit s</w:t>
      </w:r>
      <w:r>
        <w:t>’</w:t>
      </w:r>
      <w:r w:rsidRPr="00353DAB">
        <w:t>assurer qu</w:t>
      </w:r>
      <w:r>
        <w:t>’</w:t>
      </w:r>
      <w:r w:rsidRPr="00353DAB">
        <w:t>une mise à jour logicielle ne peut être exécutée que lorsque le véhicule a suffisamment d</w:t>
      </w:r>
      <w:r>
        <w:t>’</w:t>
      </w:r>
      <w:r w:rsidRPr="00353DAB">
        <w:t>énergie pour achever le processus de mise à jour (y</w:t>
      </w:r>
      <w:r>
        <w:t> </w:t>
      </w:r>
      <w:r w:rsidRPr="00353DAB">
        <w:t>compris l</w:t>
      </w:r>
      <w:r>
        <w:t>’</w:t>
      </w:r>
      <w:r w:rsidRPr="00353DAB">
        <w:t>énergie requise pour un éventuel rétablissement de la version précédente ou pour mettre le véhicule en mode sécurisé)</w:t>
      </w:r>
      <w:r w:rsidR="006A6E78">
        <w:t> ;</w:t>
      </w:r>
    </w:p>
    <w:p w14:paraId="6C87576B" w14:textId="77777777" w:rsidR="00E07249" w:rsidRPr="00353DAB" w:rsidRDefault="00E07249" w:rsidP="00E07249">
      <w:pPr>
        <w:pStyle w:val="SingleTxtG"/>
        <w:ind w:left="2268" w:hanging="1134"/>
      </w:pPr>
      <w:r w:rsidRPr="00353DAB">
        <w:t>7.2.2.1.3</w:t>
      </w:r>
      <w:r w:rsidRPr="00353DAB">
        <w:tab/>
        <w:t>Dans le cas où l</w:t>
      </w:r>
      <w:r>
        <w:t>’</w:t>
      </w:r>
      <w:r w:rsidRPr="00353DAB">
        <w:t>exécution d</w:t>
      </w:r>
      <w:r>
        <w:t>’</w:t>
      </w:r>
      <w:r w:rsidRPr="00353DAB">
        <w:t>une mise à jour peut avoir une incidence sur la sécurité du véhicule, le constructeur du véhicule doit démontrer que la mise à jour s</w:t>
      </w:r>
      <w:r>
        <w:t>’</w:t>
      </w:r>
      <w:r w:rsidRPr="00353DAB">
        <w:t>effectuera sans risques. Cela doit se faire par des moyens techniques garantissant que le véhicule est dans un état où la mise à jour peut s</w:t>
      </w:r>
      <w:r>
        <w:t>’</w:t>
      </w:r>
      <w:r w:rsidRPr="00353DAB">
        <w:t>effectuer en toute sécurité.</w:t>
      </w:r>
    </w:p>
    <w:p w14:paraId="1F318A60" w14:textId="249684AE" w:rsidR="00E07249" w:rsidRPr="00353DAB" w:rsidRDefault="00E07249" w:rsidP="00E07249">
      <w:pPr>
        <w:pStyle w:val="SingleTxtG"/>
        <w:ind w:left="2268" w:hanging="1134"/>
      </w:pPr>
      <w:r w:rsidRPr="00353DAB">
        <w:t>7.2.2.2</w:t>
      </w:r>
      <w:r w:rsidRPr="00353DAB">
        <w:tab/>
        <w:t>Le constructeur du véhicule doit démontrer que l</w:t>
      </w:r>
      <w:r>
        <w:t>’</w:t>
      </w:r>
      <w:r w:rsidRPr="00353DAB">
        <w:t>utilisateur du véhicule peut être averti d</w:t>
      </w:r>
      <w:r>
        <w:t>’</w:t>
      </w:r>
      <w:r w:rsidRPr="00353DAB">
        <w:t>une mise à jour avant que celle-ci soit exécutée. Les informations devant être communiquées à cet effet sont celles-ci</w:t>
      </w:r>
      <w:r w:rsidR="006A6E78">
        <w:t> :</w:t>
      </w:r>
    </w:p>
    <w:p w14:paraId="4A964AEF" w14:textId="15B27CFD" w:rsidR="00E07249" w:rsidRDefault="00E07249" w:rsidP="00E07249">
      <w:pPr>
        <w:pStyle w:val="SingleTxtG"/>
        <w:ind w:left="2835" w:hanging="567"/>
      </w:pPr>
      <w:r>
        <w:lastRenderedPageBreak/>
        <w:t>a)</w:t>
      </w:r>
      <w:r>
        <w:tab/>
      </w:r>
      <w:r w:rsidRPr="00295AC1">
        <w:t xml:space="preserve">Le but de </w:t>
      </w:r>
      <w:r w:rsidRPr="00D17B3E">
        <w:t>la mise à jour. L</w:t>
      </w:r>
      <w:r>
        <w:t>’</w:t>
      </w:r>
      <w:r w:rsidRPr="00D17B3E">
        <w:t>information donnée peut se rapporter au degré d</w:t>
      </w:r>
      <w:r>
        <w:t>’</w:t>
      </w:r>
      <w:r w:rsidRPr="00D17B3E">
        <w:t>importance de la mise à jour et indiquer si cette dernière est faite pour des raisons de rappel, de sécurité et/ou de sûreté</w:t>
      </w:r>
      <w:r w:rsidR="006A6E78">
        <w:t> ;</w:t>
      </w:r>
    </w:p>
    <w:p w14:paraId="02C5864C" w14:textId="516DD8CB" w:rsidR="00E07249" w:rsidRDefault="00E07249" w:rsidP="00E07249">
      <w:pPr>
        <w:pStyle w:val="SingleTxtG"/>
        <w:ind w:left="2835" w:hanging="567"/>
      </w:pPr>
      <w:r>
        <w:t>b)</w:t>
      </w:r>
      <w:r>
        <w:tab/>
      </w:r>
      <w:r w:rsidRPr="00295AC1">
        <w:t>Toute modification apportée aux fonctions du véhicule par la mise à</w:t>
      </w:r>
      <w:r>
        <w:t> </w:t>
      </w:r>
      <w:r w:rsidRPr="00295AC1">
        <w:t>jour</w:t>
      </w:r>
      <w:r w:rsidR="006A6E78">
        <w:t> ;</w:t>
      </w:r>
    </w:p>
    <w:p w14:paraId="6EBDD26B" w14:textId="164E6F7A" w:rsidR="00E07249" w:rsidRDefault="00E07249" w:rsidP="00E07249">
      <w:pPr>
        <w:pStyle w:val="SingleTxtG"/>
        <w:ind w:left="2835" w:hanging="567"/>
      </w:pPr>
      <w:r>
        <w:t>c)</w:t>
      </w:r>
      <w:r>
        <w:tab/>
      </w:r>
      <w:r w:rsidRPr="00295AC1">
        <w:t>Le temps prévu pour l</w:t>
      </w:r>
      <w:r>
        <w:t>’</w:t>
      </w:r>
      <w:r w:rsidRPr="00295AC1">
        <w:t>exécution de la mise à jour</w:t>
      </w:r>
      <w:r w:rsidR="006A6E78">
        <w:t> ;</w:t>
      </w:r>
    </w:p>
    <w:p w14:paraId="033E57A7" w14:textId="4CBDA831" w:rsidR="00E07249" w:rsidRDefault="00E07249" w:rsidP="00E07249">
      <w:pPr>
        <w:pStyle w:val="SingleTxtG"/>
        <w:ind w:left="2835" w:hanging="567"/>
      </w:pPr>
      <w:r>
        <w:t>d)</w:t>
      </w:r>
      <w:r>
        <w:tab/>
      </w:r>
      <w:r w:rsidRPr="00295AC1">
        <w:t>Toutes les fonctions du véhicule susceptibles de ne pas être disponibles durant l</w:t>
      </w:r>
      <w:r>
        <w:t>’</w:t>
      </w:r>
      <w:r w:rsidRPr="00295AC1">
        <w:t>exécution de la mise à jour</w:t>
      </w:r>
      <w:r w:rsidR="006A6E78">
        <w:t> ;</w:t>
      </w:r>
    </w:p>
    <w:p w14:paraId="09B540C4" w14:textId="10DFC12A" w:rsidR="00E07249" w:rsidRPr="00295AC1" w:rsidRDefault="00E07249" w:rsidP="00E07249">
      <w:pPr>
        <w:pStyle w:val="SingleTxtG"/>
        <w:ind w:left="2835" w:hanging="567"/>
      </w:pPr>
      <w:r>
        <w:t>e)</w:t>
      </w:r>
      <w:r>
        <w:tab/>
      </w:r>
      <w:r w:rsidRPr="00295AC1">
        <w:t>Toutes les instructions pouvant aider l</w:t>
      </w:r>
      <w:r>
        <w:t>’</w:t>
      </w:r>
      <w:r w:rsidRPr="00295AC1">
        <w:t>utilisateur du véhicule à exécuter la mise à jour en toute sécurité</w:t>
      </w:r>
      <w:r w:rsidR="006A6E78">
        <w:t> ;</w:t>
      </w:r>
    </w:p>
    <w:p w14:paraId="0982614C" w14:textId="77777777" w:rsidR="00E07249" w:rsidRPr="00295AC1" w:rsidRDefault="00E07249" w:rsidP="00E07249">
      <w:pPr>
        <w:pStyle w:val="SingleTxtG"/>
        <w:ind w:left="2268"/>
      </w:pPr>
      <w:r w:rsidRPr="00295AC1">
        <w:t>Dans le cas de mises à jour groupées ayant un contenu semblable, une même information peut se rapporter à l</w:t>
      </w:r>
      <w:r>
        <w:t>’</w:t>
      </w:r>
      <w:r w:rsidRPr="00295AC1">
        <w:t>ensemble de ces mises à jour.</w:t>
      </w:r>
    </w:p>
    <w:p w14:paraId="69DB4CA8" w14:textId="14A3A5AA" w:rsidR="00E07249" w:rsidRPr="00353DAB" w:rsidRDefault="00E07249" w:rsidP="00E07249">
      <w:pPr>
        <w:pStyle w:val="SingleTxtG"/>
        <w:ind w:left="2268" w:hanging="1134"/>
      </w:pPr>
      <w:r w:rsidRPr="00353DAB">
        <w:t>7.2.2.3</w:t>
      </w:r>
      <w:r w:rsidRPr="00353DAB">
        <w:tab/>
        <w:t>Dans le cas où l</w:t>
      </w:r>
      <w:r>
        <w:t>’</w:t>
      </w:r>
      <w:r w:rsidRPr="00353DAB">
        <w:t>exécution d</w:t>
      </w:r>
      <w:r>
        <w:t>’</w:t>
      </w:r>
      <w:r w:rsidRPr="00353DAB">
        <w:t>une mise à jour pendant la conduite peut comporter des risques, le constructeur du véhicule doit démontrer</w:t>
      </w:r>
      <w:r w:rsidR="006A6E78">
        <w:t> :</w:t>
      </w:r>
    </w:p>
    <w:p w14:paraId="1D18B27C" w14:textId="33C94324" w:rsidR="00E07249" w:rsidRPr="00295AC1" w:rsidRDefault="00E07249" w:rsidP="00E07249">
      <w:pPr>
        <w:pStyle w:val="SingleTxtG"/>
        <w:ind w:left="2835" w:hanging="567"/>
      </w:pPr>
      <w:r>
        <w:t>a)</w:t>
      </w:r>
      <w:r>
        <w:tab/>
      </w:r>
      <w:r w:rsidRPr="00295AC1">
        <w:t>Comment il fait en sorte que le véhicule ne puisse pas être conduit durant l</w:t>
      </w:r>
      <w:r>
        <w:t>’</w:t>
      </w:r>
      <w:r w:rsidRPr="00295AC1">
        <w:t>exécution de la mise à jour</w:t>
      </w:r>
      <w:r w:rsidR="006A6E78">
        <w:t> ;</w:t>
      </w:r>
    </w:p>
    <w:p w14:paraId="57840FBE" w14:textId="77777777" w:rsidR="00E07249" w:rsidRPr="00295AC1" w:rsidRDefault="00E07249" w:rsidP="00E07249">
      <w:pPr>
        <w:pStyle w:val="SingleTxtG"/>
        <w:ind w:left="2835" w:hanging="567"/>
      </w:pPr>
      <w:r>
        <w:t>b)</w:t>
      </w:r>
      <w:r>
        <w:tab/>
      </w:r>
      <w:r w:rsidRPr="00295AC1">
        <w:t>Comment il fait en sorte que le conducteur ne puisse pas utiliser une fonction du véhicule qui aurait une incidence sur la sécurité de ce dernier ou sur la bonne exécution de la mise à jour.</w:t>
      </w:r>
    </w:p>
    <w:p w14:paraId="005CDDEB" w14:textId="4600722A" w:rsidR="00E07249" w:rsidRPr="00353DAB" w:rsidRDefault="00E07249" w:rsidP="00E07249">
      <w:pPr>
        <w:pStyle w:val="SingleTxtG"/>
        <w:ind w:left="2268" w:hanging="1134"/>
      </w:pPr>
      <w:r w:rsidRPr="00353DAB">
        <w:t>7.2.2.4</w:t>
      </w:r>
      <w:r w:rsidRPr="00353DAB">
        <w:tab/>
        <w:t>Le constructeur doit démontrer quels moyens sont mis en œuvre, dès que l</w:t>
      </w:r>
      <w:r>
        <w:t>’</w:t>
      </w:r>
      <w:r w:rsidRPr="00353DAB">
        <w:t>exécution de la mise à jour est achevée, pour que l</w:t>
      </w:r>
      <w:r>
        <w:t>’</w:t>
      </w:r>
      <w:r w:rsidRPr="00353DAB">
        <w:t>utilisateur du véhicule soit informé</w:t>
      </w:r>
      <w:r w:rsidR="006A6E78">
        <w:t> :</w:t>
      </w:r>
    </w:p>
    <w:p w14:paraId="05BA3773" w14:textId="6184356C" w:rsidR="00E07249" w:rsidRPr="00295AC1" w:rsidRDefault="00E07249" w:rsidP="00E07249">
      <w:pPr>
        <w:pStyle w:val="SingleTxtG"/>
        <w:ind w:left="2835" w:hanging="567"/>
      </w:pPr>
      <w:r>
        <w:t>a)</w:t>
      </w:r>
      <w:r>
        <w:tab/>
      </w:r>
      <w:r w:rsidRPr="00295AC1">
        <w:t>Du succès (ou de l</w:t>
      </w:r>
      <w:r>
        <w:t>’</w:t>
      </w:r>
      <w:r w:rsidRPr="00295AC1">
        <w:t>échec) de la mise à jour</w:t>
      </w:r>
      <w:r w:rsidR="006A6E78">
        <w:t> ;</w:t>
      </w:r>
    </w:p>
    <w:p w14:paraId="53EDD74C" w14:textId="77777777" w:rsidR="00E07249" w:rsidRDefault="00E07249" w:rsidP="00E07249">
      <w:pPr>
        <w:pStyle w:val="SingleTxtG"/>
        <w:ind w:left="2835" w:hanging="567"/>
      </w:pPr>
      <w:r>
        <w:t>b)</w:t>
      </w:r>
      <w:r>
        <w:tab/>
      </w:r>
      <w:r w:rsidRPr="00295AC1">
        <w:t>Des modifications apportées et des mises à jour y relatives dans le manuel d</w:t>
      </w:r>
      <w:r>
        <w:t>’</w:t>
      </w:r>
      <w:r w:rsidRPr="00295AC1">
        <w:t>utilisation du véhicule (le cas échéant).</w:t>
      </w:r>
    </w:p>
    <w:p w14:paraId="66696060" w14:textId="77777777" w:rsidR="00E07249" w:rsidRPr="00353DAB" w:rsidRDefault="00E07249" w:rsidP="00E07249">
      <w:pPr>
        <w:pStyle w:val="SingleTxtG"/>
        <w:ind w:left="2268" w:hanging="1134"/>
      </w:pPr>
      <w:bookmarkStart w:id="11" w:name="_Hlk26892500"/>
      <w:bookmarkStart w:id="12" w:name="_Hlk26894204"/>
      <w:r>
        <w:t>7.2.2.5</w:t>
      </w:r>
      <w:r>
        <w:tab/>
        <w:t>Le véhicule doit s’assurer, avant l’exécution de la mise à jour logicielle, que les conditions requises pour celle-ci sont réunies.</w:t>
      </w:r>
    </w:p>
    <w:bookmarkEnd w:id="11"/>
    <w:bookmarkEnd w:id="12"/>
    <w:p w14:paraId="73A32DCB" w14:textId="77777777" w:rsidR="00E07249" w:rsidRPr="00353DAB" w:rsidRDefault="00E07249" w:rsidP="00E07249">
      <w:pPr>
        <w:pStyle w:val="HChG"/>
        <w:ind w:left="2268"/>
      </w:pPr>
      <w:r w:rsidRPr="00353DAB">
        <w:t>8.</w:t>
      </w:r>
      <w:r w:rsidRPr="00353DAB">
        <w:tab/>
        <w:t>Modification du type de véhicule et extension de l</w:t>
      </w:r>
      <w:r>
        <w:t>’</w:t>
      </w:r>
      <w:r w:rsidRPr="00353DAB">
        <w:t>homologation de type</w:t>
      </w:r>
    </w:p>
    <w:p w14:paraId="5620CCAA" w14:textId="1F153A21" w:rsidR="00E07249" w:rsidRPr="00353DAB" w:rsidRDefault="00E07249" w:rsidP="00E07249">
      <w:pPr>
        <w:pStyle w:val="SingleTxtG"/>
        <w:ind w:left="2268" w:hanging="1134"/>
      </w:pPr>
      <w:r w:rsidRPr="00353DAB">
        <w:t>8.1</w:t>
      </w:r>
      <w:r w:rsidRPr="00353DAB">
        <w:tab/>
        <w:t>Toute modification du type de véhicule ayant une incidence sur ses caractéristiques techniques et/ou sur la documentation prescrite dans le présent Règlement doit être portée à la connaissance de l</w:t>
      </w:r>
      <w:r>
        <w:t>’</w:t>
      </w:r>
      <w:r w:rsidRPr="00353DAB">
        <w:t>autorité ayant délivré l</w:t>
      </w:r>
      <w:r>
        <w:t>’</w:t>
      </w:r>
      <w:r w:rsidRPr="00353DAB">
        <w:t>homologation. Cette dernière peut alors</w:t>
      </w:r>
      <w:r w:rsidR="006A6E78">
        <w:t> :</w:t>
      </w:r>
    </w:p>
    <w:p w14:paraId="435882C7" w14:textId="7D6A2F58" w:rsidR="00E07249" w:rsidRPr="00353DAB" w:rsidRDefault="00E07249" w:rsidP="00E07249">
      <w:pPr>
        <w:pStyle w:val="SingleTxtG"/>
        <w:ind w:left="2268" w:hanging="1134"/>
      </w:pPr>
      <w:r w:rsidRPr="00353DAB">
        <w:t>8.1.1</w:t>
      </w:r>
      <w:r w:rsidRPr="00353DAB">
        <w:tab/>
        <w:t>Soit considérer que le véhicule ainsi modifié est toujours conforme aux prescriptions et à la documentation correspondant à l</w:t>
      </w:r>
      <w:r>
        <w:t>’</w:t>
      </w:r>
      <w:r w:rsidRPr="00353DAB">
        <w:t>homologation de type existante</w:t>
      </w:r>
      <w:r w:rsidR="006A6E78">
        <w:t> ;</w:t>
      </w:r>
    </w:p>
    <w:p w14:paraId="359DF126" w14:textId="77777777" w:rsidR="00E07249" w:rsidRPr="00353DAB" w:rsidRDefault="00E07249" w:rsidP="00E07249">
      <w:pPr>
        <w:pStyle w:val="SingleTxtG"/>
        <w:ind w:left="2268" w:hanging="1134"/>
      </w:pPr>
      <w:r w:rsidRPr="00353DAB">
        <w:t>8.1.2</w:t>
      </w:r>
      <w:r w:rsidRPr="00353DAB">
        <w:tab/>
        <w:t>Soit exiger un nouveau procès-verbal du service technique chargé des essais.</w:t>
      </w:r>
    </w:p>
    <w:p w14:paraId="07390504" w14:textId="6F1F17DC" w:rsidR="00E07249" w:rsidRPr="00353DAB" w:rsidRDefault="00E07249" w:rsidP="00E07249">
      <w:pPr>
        <w:pStyle w:val="SingleTxtG"/>
        <w:ind w:left="2268" w:hanging="1134"/>
      </w:pPr>
      <w:r w:rsidRPr="00353DAB">
        <w:t>8.1.3</w:t>
      </w:r>
      <w:r w:rsidRPr="00353DAB">
        <w:tab/>
        <w:t>La confirmation, l</w:t>
      </w:r>
      <w:r>
        <w:t>’</w:t>
      </w:r>
      <w:r w:rsidRPr="00353DAB">
        <w:t>extension ou le refus de l</w:t>
      </w:r>
      <w:r>
        <w:t>’</w:t>
      </w:r>
      <w:r w:rsidRPr="00353DAB">
        <w:t>homologation, faisant mention des modifications apportées, doit être notifié au moyen d</w:t>
      </w:r>
      <w:r>
        <w:t>’</w:t>
      </w:r>
      <w:r w:rsidRPr="00353DAB">
        <w:t>une fiche de communication conforme au modèle de l</w:t>
      </w:r>
      <w:r>
        <w:t>’</w:t>
      </w:r>
      <w:r w:rsidR="00CD7431">
        <w:t xml:space="preserve">annexe </w:t>
      </w:r>
      <w:r w:rsidRPr="00353DAB">
        <w:t>2 du présent Règlement. L</w:t>
      </w:r>
      <w:r>
        <w:t>’</w:t>
      </w:r>
      <w:r w:rsidRPr="00353DAB">
        <w:t>autorité d</w:t>
      </w:r>
      <w:r>
        <w:t>’</w:t>
      </w:r>
      <w:r w:rsidRPr="00353DAB">
        <w:t>homologation qui délivre une extension d</w:t>
      </w:r>
      <w:r>
        <w:t>’</w:t>
      </w:r>
      <w:r w:rsidRPr="00353DAB">
        <w:t>homologation doit attribuer un numéro de série à ladite extension et en informer les autres Parties à l</w:t>
      </w:r>
      <w:r>
        <w:t>’</w:t>
      </w:r>
      <w:r w:rsidRPr="00353DAB">
        <w:t>Accord de 1958 appliquant le présent Règlement au moyen d</w:t>
      </w:r>
      <w:r>
        <w:t>’</w:t>
      </w:r>
      <w:r w:rsidRPr="00353DAB">
        <w:t>une fiche de communication conforme au modèle de l</w:t>
      </w:r>
      <w:r>
        <w:t>’</w:t>
      </w:r>
      <w:r w:rsidR="00CD7431">
        <w:t xml:space="preserve">annexe </w:t>
      </w:r>
      <w:r w:rsidRPr="00353DAB">
        <w:t>2 dudit Règlement.</w:t>
      </w:r>
    </w:p>
    <w:p w14:paraId="3182257F" w14:textId="77777777" w:rsidR="00E07249" w:rsidRPr="00353DAB" w:rsidRDefault="00E07249" w:rsidP="00E07249">
      <w:pPr>
        <w:pStyle w:val="HChG"/>
        <w:ind w:left="2268"/>
      </w:pPr>
      <w:r w:rsidRPr="00353DAB">
        <w:lastRenderedPageBreak/>
        <w:t>9.</w:t>
      </w:r>
      <w:r w:rsidRPr="00353DAB">
        <w:tab/>
        <w:t>Conformité de la production</w:t>
      </w:r>
    </w:p>
    <w:p w14:paraId="68E55812" w14:textId="2AC7BB10" w:rsidR="00E07249" w:rsidRPr="00353DAB" w:rsidRDefault="00E07249" w:rsidP="00E07249">
      <w:pPr>
        <w:pStyle w:val="SingleTxtG"/>
        <w:ind w:left="2268" w:hanging="1134"/>
      </w:pPr>
      <w:r w:rsidRPr="00353DAB">
        <w:t>9.1</w:t>
      </w:r>
      <w:r w:rsidRPr="00353DAB">
        <w:tab/>
        <w:t>Les procédures relatives à la conformité de la production doivent correspondre à celles qui sont énoncées dans l</w:t>
      </w:r>
      <w:r>
        <w:t>’</w:t>
      </w:r>
      <w:r w:rsidR="00CD7431">
        <w:t xml:space="preserve">annexe </w:t>
      </w:r>
      <w:r w:rsidRPr="00353DAB">
        <w:t>1 de l</w:t>
      </w:r>
      <w:r>
        <w:t>’</w:t>
      </w:r>
      <w:r w:rsidRPr="00353DAB">
        <w:t>Accord de 1958 (E/ECE/TRANS/505/Rev.3) et satisfaire aux prescriptions suivantes</w:t>
      </w:r>
      <w:r w:rsidR="006A6E78">
        <w:t> :</w:t>
      </w:r>
    </w:p>
    <w:p w14:paraId="417089B3" w14:textId="431F53DF" w:rsidR="00E07249" w:rsidRPr="00353DAB" w:rsidRDefault="00E07249" w:rsidP="00E07249">
      <w:pPr>
        <w:pStyle w:val="SingleTxtG"/>
        <w:ind w:left="2268" w:hanging="1134"/>
      </w:pPr>
      <w:r w:rsidRPr="00353DAB">
        <w:t>9.1.1</w:t>
      </w:r>
      <w:r w:rsidRPr="00353DAB">
        <w:tab/>
        <w:t>Le détenteur de l</w:t>
      </w:r>
      <w:r>
        <w:t>’</w:t>
      </w:r>
      <w:r w:rsidRPr="00353DAB">
        <w:t>homologation doit veiller à ce que les résultats des essais de contrôle de la conformité de la production soient enregistrés et que les documents annexés restent disponibles pour une période fixée en accord avec l</w:t>
      </w:r>
      <w:r>
        <w:t>’</w:t>
      </w:r>
      <w:r w:rsidRPr="00353DAB">
        <w:t>autorité d</w:t>
      </w:r>
      <w:r>
        <w:t>’</w:t>
      </w:r>
      <w:r w:rsidRPr="00353DAB">
        <w:t xml:space="preserve">homologation ou son service technique. Cette période ne doit pas excéder </w:t>
      </w:r>
      <w:r>
        <w:t xml:space="preserve">dix </w:t>
      </w:r>
      <w:r w:rsidRPr="00353DAB">
        <w:t>ans à partir de la date de l</w:t>
      </w:r>
      <w:r>
        <w:t>’</w:t>
      </w:r>
      <w:r w:rsidRPr="00353DAB">
        <w:t>arrêt définitif de la production</w:t>
      </w:r>
      <w:r w:rsidR="006A6E78">
        <w:t> ;</w:t>
      </w:r>
    </w:p>
    <w:p w14:paraId="155F65BB" w14:textId="1A5AD737" w:rsidR="00E07249" w:rsidRPr="00353DAB" w:rsidRDefault="00E07249" w:rsidP="00E07249">
      <w:pPr>
        <w:pStyle w:val="SingleTxtG"/>
        <w:ind w:left="2268" w:hanging="1134"/>
      </w:pPr>
      <w:r w:rsidRPr="00353DAB">
        <w:t>9.1.2</w:t>
      </w:r>
      <w:r w:rsidRPr="00353DAB">
        <w:tab/>
        <w:t>L</w:t>
      </w:r>
      <w:r>
        <w:t>’</w:t>
      </w:r>
      <w:r w:rsidRPr="00353DAB">
        <w:t>autorité qui a accordé l</w:t>
      </w:r>
      <w:r>
        <w:t>’</w:t>
      </w:r>
      <w:r w:rsidRPr="00353DAB">
        <w:t>homologation de type peut à tout moment vérifier les méthodes de contrôle de la conformité appliquées dans chaque unité de production. La fréquence normale de ces vérifications est d</w:t>
      </w:r>
      <w:r>
        <w:t>’</w:t>
      </w:r>
      <w:r w:rsidRPr="00353DAB">
        <w:t>une fois tous les trois ans</w:t>
      </w:r>
      <w:r w:rsidR="006A6E78">
        <w:t> ;</w:t>
      </w:r>
    </w:p>
    <w:p w14:paraId="07CE7846" w14:textId="77777777" w:rsidR="00E07249" w:rsidRPr="00353DAB" w:rsidRDefault="00E07249" w:rsidP="00E07249">
      <w:pPr>
        <w:pStyle w:val="SingleTxtG"/>
        <w:ind w:left="2268" w:hanging="1134"/>
      </w:pPr>
      <w:r w:rsidRPr="00353DAB">
        <w:t>9.1.3</w:t>
      </w:r>
      <w:r w:rsidRPr="00353DAB">
        <w:tab/>
        <w:t>L</w:t>
      </w:r>
      <w:r>
        <w:t>’</w:t>
      </w:r>
      <w:r w:rsidRPr="00353DAB">
        <w:t>autorité d</w:t>
      </w:r>
      <w:r>
        <w:t>’</w:t>
      </w:r>
      <w:r w:rsidRPr="00353DAB">
        <w:t>homologation ou son service technique doit vérifier périodiquement que les processus mis en œuvre et les décisions prises par le constructeur du véhicule sont conformes, en particulier dans les cas où le constructeur a choisi de ne pas notifier une mise à jour à l</w:t>
      </w:r>
      <w:r>
        <w:t>’</w:t>
      </w:r>
      <w:r w:rsidRPr="00353DAB">
        <w:t>autorité d</w:t>
      </w:r>
      <w:r>
        <w:t>’</w:t>
      </w:r>
      <w:r w:rsidRPr="00353DAB">
        <w:t>homologation ou à son service technique. Cette vérification peut être effectuée sur la base d</w:t>
      </w:r>
      <w:r>
        <w:t>’</w:t>
      </w:r>
      <w:r w:rsidRPr="00353DAB">
        <w:t>un échantillonnage.</w:t>
      </w:r>
    </w:p>
    <w:p w14:paraId="16E8D7E5" w14:textId="77777777" w:rsidR="00E07249" w:rsidRPr="00353DAB" w:rsidRDefault="00E07249" w:rsidP="00E07249">
      <w:pPr>
        <w:pStyle w:val="HChG"/>
        <w:ind w:left="2268"/>
      </w:pPr>
      <w:r w:rsidRPr="00353DAB">
        <w:t>10.</w:t>
      </w:r>
      <w:r w:rsidRPr="00353DAB">
        <w:tab/>
        <w:t>Sanctions pour non-conformité de la production</w:t>
      </w:r>
    </w:p>
    <w:p w14:paraId="7DAF2416" w14:textId="77777777" w:rsidR="00E07249" w:rsidRPr="00353DAB" w:rsidRDefault="00E07249" w:rsidP="00E07249">
      <w:pPr>
        <w:pStyle w:val="SingleTxtG"/>
        <w:ind w:left="2268" w:hanging="1134"/>
      </w:pPr>
      <w:r w:rsidRPr="00353DAB">
        <w:t>10.1</w:t>
      </w:r>
      <w:r w:rsidRPr="00353DAB">
        <w:tab/>
        <w:t>L</w:t>
      </w:r>
      <w:r>
        <w:t>’</w:t>
      </w:r>
      <w:r w:rsidRPr="00353DAB">
        <w:t>homologation délivrée pour un type de véhicule en application du présent Règlement peut être retirée si les prescriptions énoncées dans ledit Règlement ne sont pas respectées ou si les véhicules prélevés ne satisfont pas auxdites prescriptions.</w:t>
      </w:r>
    </w:p>
    <w:p w14:paraId="43084D2A" w14:textId="40ABD3B7" w:rsidR="00E07249" w:rsidRPr="00353DAB" w:rsidRDefault="00E07249" w:rsidP="00E07249">
      <w:pPr>
        <w:pStyle w:val="SingleTxtG"/>
        <w:ind w:left="2268" w:hanging="1134"/>
      </w:pPr>
      <w:r w:rsidRPr="00353DAB">
        <w:t>10.2</w:t>
      </w:r>
      <w:r w:rsidRPr="00353DAB">
        <w:tab/>
        <w:t>Lorsqu</w:t>
      </w:r>
      <w:r>
        <w:t>’</w:t>
      </w:r>
      <w:r w:rsidRPr="00353DAB">
        <w:t>une autorité d</w:t>
      </w:r>
      <w:r>
        <w:t>’</w:t>
      </w:r>
      <w:r w:rsidRPr="00353DAB">
        <w:t>homologation retire une homologation qu</w:t>
      </w:r>
      <w:r>
        <w:t>’</w:t>
      </w:r>
      <w:r w:rsidRPr="00353DAB">
        <w:t>elle avait accordée, elle doit en aviser immédiatement les autres Parties contractantes appliquant le présent Règlement par l</w:t>
      </w:r>
      <w:r>
        <w:t>’</w:t>
      </w:r>
      <w:r w:rsidRPr="00353DAB">
        <w:t>envoi d</w:t>
      </w:r>
      <w:r>
        <w:t>’</w:t>
      </w:r>
      <w:r w:rsidRPr="00353DAB">
        <w:t>une fiche de communication conforme au modèle de l</w:t>
      </w:r>
      <w:r>
        <w:t>’</w:t>
      </w:r>
      <w:r w:rsidR="00CD7431">
        <w:t xml:space="preserve">annexe </w:t>
      </w:r>
      <w:r w:rsidRPr="00353DAB">
        <w:t>2 dudit Règlement.</w:t>
      </w:r>
    </w:p>
    <w:p w14:paraId="308510C3" w14:textId="77777777" w:rsidR="00E07249" w:rsidRPr="00353DAB" w:rsidRDefault="00E07249" w:rsidP="00E07249">
      <w:pPr>
        <w:pStyle w:val="HChG"/>
        <w:ind w:left="2268"/>
      </w:pPr>
      <w:r w:rsidRPr="00353DAB">
        <w:t>11.</w:t>
      </w:r>
      <w:r w:rsidRPr="00353DAB">
        <w:tab/>
        <w:t>Arrêt définitif de la production</w:t>
      </w:r>
    </w:p>
    <w:p w14:paraId="7BE0CDC5" w14:textId="77777777" w:rsidR="00E07249" w:rsidRPr="00353DAB" w:rsidRDefault="00E07249" w:rsidP="00E07249">
      <w:pPr>
        <w:pStyle w:val="SingleTxtG"/>
        <w:ind w:left="2268" w:hanging="1134"/>
      </w:pPr>
      <w:r w:rsidRPr="00353DAB">
        <w:t>11.1</w:t>
      </w:r>
      <w:r w:rsidRPr="00353DAB">
        <w:tab/>
        <w:t>Si le titulaire d</w:t>
      </w:r>
      <w:r>
        <w:t>’</w:t>
      </w:r>
      <w:r w:rsidRPr="00353DAB">
        <w:t>une homologation cesse définitivement la production d</w:t>
      </w:r>
      <w:r>
        <w:t>’</w:t>
      </w:r>
      <w:r w:rsidRPr="00353DAB">
        <w:t>un type de véhicule homologué conformément au présent Règlement, il doit en informer l</w:t>
      </w:r>
      <w:r>
        <w:t>’</w:t>
      </w:r>
      <w:r w:rsidRPr="00353DAB">
        <w:t>autorité qui a délivré l</w:t>
      </w:r>
      <w:r>
        <w:t>’</w:t>
      </w:r>
      <w:r w:rsidRPr="00353DAB">
        <w:t>homologation, laquelle, à son tour, avise les Parties à l</w:t>
      </w:r>
      <w:r>
        <w:t>’</w:t>
      </w:r>
      <w:r w:rsidRPr="00353DAB">
        <w:t>Accord appliquant ledit Règlement, au moyen d</w:t>
      </w:r>
      <w:r>
        <w:t>’</w:t>
      </w:r>
      <w:r w:rsidRPr="00353DAB">
        <w:t>une copie de la fiche d</w:t>
      </w:r>
      <w:r>
        <w:t>’</w:t>
      </w:r>
      <w:r w:rsidRPr="00353DAB">
        <w:t>homologation portant à la fin, en gros caractères, la mention signée et datée « PRODUCTION ARRÊTÉE ».</w:t>
      </w:r>
    </w:p>
    <w:p w14:paraId="7A4302F6" w14:textId="77777777" w:rsidR="00E07249" w:rsidRPr="00353DAB" w:rsidRDefault="00E07249" w:rsidP="00E07249">
      <w:pPr>
        <w:pStyle w:val="HChG"/>
        <w:ind w:left="2268"/>
      </w:pPr>
      <w:r w:rsidRPr="00353DAB">
        <w:t>12.</w:t>
      </w:r>
      <w:r w:rsidRPr="00353DAB">
        <w:tab/>
        <w:t>Noms et adresses des services techniques chargés des essais d</w:t>
      </w:r>
      <w:r>
        <w:t>’</w:t>
      </w:r>
      <w:r w:rsidRPr="00353DAB">
        <w:t>homologation et des autorités d</w:t>
      </w:r>
      <w:r>
        <w:t>’</w:t>
      </w:r>
      <w:r w:rsidRPr="00353DAB">
        <w:t>homologation de type</w:t>
      </w:r>
    </w:p>
    <w:p w14:paraId="77D59611" w14:textId="77777777" w:rsidR="00E07249" w:rsidRDefault="00E07249" w:rsidP="00E07249">
      <w:pPr>
        <w:pStyle w:val="SingleTxtG"/>
        <w:ind w:left="2268" w:hanging="1134"/>
      </w:pPr>
      <w:r w:rsidRPr="00353DAB">
        <w:t>12.1</w:t>
      </w:r>
      <w:r w:rsidRPr="00353DAB">
        <w:tab/>
        <w:t>Les Parties à l</w:t>
      </w:r>
      <w:r>
        <w:t>’</w:t>
      </w:r>
      <w:r w:rsidRPr="00353DAB">
        <w:t>Accord appliquant le présent Règlement communiquent au Secrétariat de l</w:t>
      </w:r>
      <w:r>
        <w:t>’</w:t>
      </w:r>
      <w:r w:rsidRPr="00353DAB">
        <w:t>Organisation des Nations</w:t>
      </w:r>
      <w:r>
        <w:t> </w:t>
      </w:r>
      <w:r w:rsidRPr="00353DAB">
        <w:t>Unies les noms et adresses des services techniques chargés des essais d</w:t>
      </w:r>
      <w:r>
        <w:t>’</w:t>
      </w:r>
      <w:r w:rsidRPr="00353DAB">
        <w:t>homologation et des autorités d</w:t>
      </w:r>
      <w:r>
        <w:t>’</w:t>
      </w:r>
      <w:r w:rsidRPr="00353DAB">
        <w:t>homologation de type qui délivrent les homologations et auxquelles doivent être envoyées les fiches d</w:t>
      </w:r>
      <w:r>
        <w:t>’</w:t>
      </w:r>
      <w:r w:rsidRPr="00353DAB">
        <w:t>homologation ou d</w:t>
      </w:r>
      <w:r>
        <w:t>’</w:t>
      </w:r>
      <w:r w:rsidRPr="00353DAB">
        <w:t>extension, de refus ou de retrait d</w:t>
      </w:r>
      <w:r>
        <w:t>’</w:t>
      </w:r>
      <w:r w:rsidRPr="00353DAB">
        <w:t>homologation émises dans les autres pays.</w:t>
      </w:r>
    </w:p>
    <w:p w14:paraId="632B637F" w14:textId="77777777" w:rsidR="008B17F9" w:rsidRDefault="008B17F9" w:rsidP="005F0207"/>
    <w:p w14:paraId="3689F00A" w14:textId="2829B5AD" w:rsidR="00CD7431" w:rsidRDefault="00CD7431" w:rsidP="005F0207">
      <w:pPr>
        <w:sectPr w:rsidR="00CD7431" w:rsidSect="00020E4C">
          <w:endnotePr>
            <w:numFmt w:val="decimal"/>
          </w:endnotePr>
          <w:type w:val="oddPage"/>
          <w:pgSz w:w="11907" w:h="16840" w:code="9"/>
          <w:pgMar w:top="1417" w:right="1134" w:bottom="1134" w:left="1134" w:header="1134" w:footer="567" w:gutter="0"/>
          <w:cols w:space="720"/>
          <w:docGrid w:linePitch="272"/>
        </w:sectPr>
      </w:pPr>
    </w:p>
    <w:p w14:paraId="43BC281B" w14:textId="01FF1244" w:rsidR="008B17F9" w:rsidRPr="00353DAB" w:rsidRDefault="00CD7431" w:rsidP="008B17F9">
      <w:pPr>
        <w:pStyle w:val="HChG"/>
      </w:pPr>
      <w:r>
        <w:lastRenderedPageBreak/>
        <w:t xml:space="preserve">Annexe </w:t>
      </w:r>
      <w:r w:rsidR="008B17F9" w:rsidRPr="00353DAB">
        <w:t>1</w:t>
      </w:r>
    </w:p>
    <w:p w14:paraId="245B59B8" w14:textId="77777777" w:rsidR="008B17F9" w:rsidRPr="00353DAB" w:rsidRDefault="008B17F9" w:rsidP="008B17F9">
      <w:pPr>
        <w:pStyle w:val="HChG"/>
      </w:pPr>
      <w:r w:rsidRPr="00353DAB">
        <w:tab/>
      </w:r>
      <w:r w:rsidRPr="00353DAB">
        <w:tab/>
        <w:t>Fiche de renseignements</w:t>
      </w:r>
    </w:p>
    <w:p w14:paraId="5F8DAD60" w14:textId="77777777" w:rsidR="008B17F9" w:rsidRPr="00353DAB" w:rsidRDefault="008B17F9" w:rsidP="008B17F9">
      <w:pPr>
        <w:pStyle w:val="SingleTxtG"/>
        <w:ind w:firstLine="567"/>
      </w:pPr>
      <w:r w:rsidRPr="00353DAB">
        <w:t>Les renseignements ci-dessous doivent, s</w:t>
      </w:r>
      <w:r>
        <w:t>’</w:t>
      </w:r>
      <w:r w:rsidRPr="00353DAB">
        <w:t>il y a lieu, être fournis en triple exemplaire et être accompagnés d</w:t>
      </w:r>
      <w:r>
        <w:t>’</w:t>
      </w:r>
      <w:r w:rsidRPr="00353DAB">
        <w:t>une table des matières. Les schémas, s</w:t>
      </w:r>
      <w:r>
        <w:t>’</w:t>
      </w:r>
      <w:r w:rsidRPr="00353DAB">
        <w:t>il y en a, doivent être fournis à l</w:t>
      </w:r>
      <w:r>
        <w:t>’</w:t>
      </w:r>
      <w:r w:rsidRPr="00353DAB">
        <w:t>échelle appropriée, au format A4 ou pliés à ce format, et être suffisamment détaillés. Les photographies, s</w:t>
      </w:r>
      <w:r>
        <w:t>’</w:t>
      </w:r>
      <w:r w:rsidRPr="00353DAB">
        <w:t>il y en a, doivent être suffisamment détaillées.</w:t>
      </w:r>
    </w:p>
    <w:p w14:paraId="59412B4B" w14:textId="1294DB14" w:rsidR="008B17F9" w:rsidRPr="00295AC1" w:rsidRDefault="008B17F9" w:rsidP="008B17F9">
      <w:pPr>
        <w:pStyle w:val="SingleTxtG"/>
        <w:tabs>
          <w:tab w:val="decimal" w:pos="4962"/>
          <w:tab w:val="decimal" w:leader="dot" w:pos="8504"/>
        </w:tabs>
        <w:jc w:val="left"/>
      </w:pPr>
      <w:r w:rsidRPr="00295AC1">
        <w:t>1.</w:t>
      </w:r>
      <w:r w:rsidRPr="00295AC1">
        <w:tab/>
        <w:t>Marque (raison sociale du constructeur)</w:t>
      </w:r>
      <w:r w:rsidR="006A6E78">
        <w:t> :</w:t>
      </w:r>
      <w:r>
        <w:tab/>
      </w:r>
    </w:p>
    <w:p w14:paraId="3426B9E8" w14:textId="33E1998B" w:rsidR="008B17F9" w:rsidRPr="00295AC1" w:rsidRDefault="008B17F9" w:rsidP="00BF418A">
      <w:pPr>
        <w:pStyle w:val="SingleTxtG"/>
        <w:tabs>
          <w:tab w:val="left" w:pos="1701"/>
          <w:tab w:val="right" w:leader="dot" w:pos="8505"/>
        </w:tabs>
        <w:spacing w:after="0"/>
        <w:jc w:val="left"/>
      </w:pPr>
      <w:r w:rsidRPr="00295AC1">
        <w:t>2.</w:t>
      </w:r>
      <w:r>
        <w:tab/>
      </w:r>
      <w:r w:rsidRPr="00295AC1">
        <w:t>Type et dénomination(s) commerciale(s) générale(s)</w:t>
      </w:r>
      <w:r w:rsidR="006A6E78">
        <w:t> :</w:t>
      </w:r>
      <w:r>
        <w:tab/>
      </w:r>
    </w:p>
    <w:p w14:paraId="4CB6D511" w14:textId="393FEE29" w:rsidR="008B17F9" w:rsidRDefault="008B17F9" w:rsidP="008B17F9">
      <w:pPr>
        <w:pStyle w:val="SingleTxtG"/>
        <w:ind w:left="1701"/>
        <w:jc w:val="left"/>
        <w:rPr>
          <w:lang w:val="fr-FR"/>
        </w:rPr>
      </w:pPr>
      <w:r w:rsidRPr="00295AC1">
        <w:rPr>
          <w:lang w:val="fr-FR"/>
        </w:rPr>
        <w:t>(Le type est celui qui est présenté pour homologation</w:t>
      </w:r>
      <w:r w:rsidR="006A6E78">
        <w:rPr>
          <w:lang w:val="fr-FR"/>
        </w:rPr>
        <w:t> ;</w:t>
      </w:r>
      <w:r w:rsidRPr="00295AC1">
        <w:rPr>
          <w:lang w:val="fr-FR"/>
        </w:rPr>
        <w:t xml:space="preserve"> la dénomination commerciale désigne le produit dans lequel le type homologué est utilisé)</w:t>
      </w:r>
    </w:p>
    <w:p w14:paraId="1D18DA93" w14:textId="646E8C5F" w:rsidR="008B17F9" w:rsidRPr="00295AC1" w:rsidRDefault="008B17F9" w:rsidP="008B17F9">
      <w:pPr>
        <w:pStyle w:val="SingleTxtG"/>
        <w:tabs>
          <w:tab w:val="left" w:pos="1701"/>
          <w:tab w:val="right" w:leader="dot" w:pos="8505"/>
        </w:tabs>
        <w:jc w:val="left"/>
        <w:rPr>
          <w:lang w:val="fr-FR"/>
        </w:rPr>
      </w:pPr>
      <w:r w:rsidRPr="00295AC1">
        <w:rPr>
          <w:lang w:val="fr-FR"/>
        </w:rPr>
        <w:t>3.</w:t>
      </w:r>
      <w:r w:rsidRPr="00776B0A">
        <w:tab/>
      </w:r>
      <w:r w:rsidRPr="00295AC1">
        <w:rPr>
          <w:lang w:val="fr-FR"/>
        </w:rPr>
        <w:t xml:space="preserve">Moyen </w:t>
      </w:r>
      <w:r w:rsidRPr="00994CF1">
        <w:t>d</w:t>
      </w:r>
      <w:r>
        <w:t>’</w:t>
      </w:r>
      <w:r w:rsidRPr="00994CF1">
        <w:t>identification</w:t>
      </w:r>
      <w:r w:rsidRPr="00295AC1">
        <w:rPr>
          <w:lang w:val="fr-FR"/>
        </w:rPr>
        <w:t xml:space="preserve"> du type, s</w:t>
      </w:r>
      <w:r>
        <w:rPr>
          <w:lang w:val="fr-FR"/>
        </w:rPr>
        <w:t>’</w:t>
      </w:r>
      <w:r w:rsidRPr="00295AC1">
        <w:rPr>
          <w:lang w:val="fr-FR"/>
        </w:rPr>
        <w:t>il est marqué sur le véhicule</w:t>
      </w:r>
      <w:r w:rsidR="006A6E78">
        <w:rPr>
          <w:lang w:val="fr-FR"/>
        </w:rPr>
        <w:t> :</w:t>
      </w:r>
      <w:r>
        <w:rPr>
          <w:lang w:val="fr-FR"/>
        </w:rPr>
        <w:tab/>
      </w:r>
    </w:p>
    <w:p w14:paraId="5D85F45F" w14:textId="6AD7F941" w:rsidR="008B17F9" w:rsidRPr="00295AC1" w:rsidRDefault="008B17F9" w:rsidP="008B17F9">
      <w:pPr>
        <w:pStyle w:val="SingleTxtG"/>
        <w:tabs>
          <w:tab w:val="left" w:pos="1701"/>
          <w:tab w:val="right" w:leader="dot" w:pos="8505"/>
        </w:tabs>
        <w:jc w:val="left"/>
      </w:pPr>
      <w:r w:rsidRPr="00295AC1">
        <w:t>4.</w:t>
      </w:r>
      <w:r w:rsidRPr="00295AC1">
        <w:tab/>
        <w:t>Emplacement de cette marque</w:t>
      </w:r>
      <w:r w:rsidR="006A6E78">
        <w:t> :</w:t>
      </w:r>
      <w:r>
        <w:tab/>
      </w:r>
    </w:p>
    <w:p w14:paraId="76FCB879" w14:textId="6D663804" w:rsidR="008B17F9" w:rsidRPr="00295AC1" w:rsidRDefault="008B17F9" w:rsidP="008B17F9">
      <w:pPr>
        <w:pStyle w:val="SingleTxtG"/>
        <w:tabs>
          <w:tab w:val="left" w:pos="1701"/>
          <w:tab w:val="right" w:leader="dot" w:pos="8505"/>
        </w:tabs>
        <w:jc w:val="left"/>
      </w:pPr>
      <w:r w:rsidRPr="00295AC1">
        <w:t>5.</w:t>
      </w:r>
      <w:r w:rsidRPr="00295AC1">
        <w:tab/>
        <w:t>Catégorie(s) du véhicule</w:t>
      </w:r>
      <w:r w:rsidR="006A6E78">
        <w:t> :</w:t>
      </w:r>
      <w:r>
        <w:tab/>
      </w:r>
    </w:p>
    <w:p w14:paraId="583E0399" w14:textId="18D9869C" w:rsidR="008B17F9" w:rsidRPr="00295AC1" w:rsidRDefault="008B17F9" w:rsidP="008B17F9">
      <w:pPr>
        <w:pStyle w:val="SingleTxtG"/>
        <w:tabs>
          <w:tab w:val="left" w:pos="1701"/>
          <w:tab w:val="right" w:leader="dot" w:pos="8505"/>
        </w:tabs>
        <w:jc w:val="left"/>
      </w:pPr>
      <w:r w:rsidRPr="00295AC1">
        <w:t>6.</w:t>
      </w:r>
      <w:r w:rsidRPr="00295AC1">
        <w:tab/>
        <w:t>Nom et adresse du constructeur ou de son représentant</w:t>
      </w:r>
      <w:r w:rsidR="006A6E78">
        <w:t> :</w:t>
      </w:r>
      <w:r>
        <w:tab/>
      </w:r>
    </w:p>
    <w:p w14:paraId="5E1CF858" w14:textId="662325E1" w:rsidR="008B17F9" w:rsidRPr="00295AC1" w:rsidRDefault="008B17F9" w:rsidP="008B17F9">
      <w:pPr>
        <w:pStyle w:val="SingleTxtG"/>
        <w:tabs>
          <w:tab w:val="left" w:pos="1701"/>
          <w:tab w:val="right" w:leader="dot" w:pos="8505"/>
        </w:tabs>
        <w:jc w:val="left"/>
      </w:pPr>
      <w:r w:rsidRPr="00295AC1">
        <w:t>7.</w:t>
      </w:r>
      <w:r w:rsidRPr="00295AC1">
        <w:tab/>
        <w:t>Nom(s) et adresse(s) de l</w:t>
      </w:r>
      <w:r>
        <w:t>’</w:t>
      </w:r>
      <w:r w:rsidRPr="00295AC1">
        <w:t>atelier (des ateliers) de montage</w:t>
      </w:r>
      <w:r w:rsidR="006A6E78">
        <w:t> :</w:t>
      </w:r>
      <w:r>
        <w:tab/>
      </w:r>
    </w:p>
    <w:p w14:paraId="18703A2A" w14:textId="29143909" w:rsidR="008B17F9" w:rsidRPr="00295AC1" w:rsidRDefault="008B17F9" w:rsidP="008B17F9">
      <w:pPr>
        <w:pStyle w:val="SingleTxtG"/>
        <w:tabs>
          <w:tab w:val="left" w:pos="1701"/>
          <w:tab w:val="right" w:leader="dot" w:pos="8505"/>
        </w:tabs>
        <w:jc w:val="left"/>
      </w:pPr>
      <w:r w:rsidRPr="00295AC1">
        <w:t>8.</w:t>
      </w:r>
      <w:r w:rsidRPr="00295AC1">
        <w:tab/>
        <w:t>Photographie(s) ou dessin(s) d</w:t>
      </w:r>
      <w:r>
        <w:t>’</w:t>
      </w:r>
      <w:r w:rsidRPr="00295AC1">
        <w:t>un véhicule type</w:t>
      </w:r>
      <w:r w:rsidR="006A6E78">
        <w:t> :</w:t>
      </w:r>
      <w:r>
        <w:tab/>
      </w:r>
    </w:p>
    <w:p w14:paraId="247409D8" w14:textId="77777777" w:rsidR="008B17F9" w:rsidRPr="00295AC1" w:rsidRDefault="008B17F9" w:rsidP="008B17F9">
      <w:pPr>
        <w:pStyle w:val="SingleTxtG"/>
        <w:tabs>
          <w:tab w:val="left" w:pos="1701"/>
          <w:tab w:val="right" w:leader="dot" w:pos="8505"/>
        </w:tabs>
        <w:jc w:val="left"/>
      </w:pPr>
      <w:r w:rsidRPr="00295AC1">
        <w:t>9.</w:t>
      </w:r>
      <w:r w:rsidRPr="00295AC1">
        <w:tab/>
        <w:t>Mises à jour logicielles</w:t>
      </w:r>
    </w:p>
    <w:p w14:paraId="12AA59DF" w14:textId="3DD5ED78" w:rsidR="008B17F9" w:rsidRPr="00295AC1" w:rsidRDefault="008B17F9" w:rsidP="008B17F9">
      <w:pPr>
        <w:pStyle w:val="SingleTxtG"/>
        <w:tabs>
          <w:tab w:val="left" w:pos="1701"/>
          <w:tab w:val="right" w:leader="dot" w:pos="8505"/>
        </w:tabs>
        <w:jc w:val="left"/>
      </w:pPr>
      <w:r w:rsidRPr="00295AC1">
        <w:t>9.1</w:t>
      </w:r>
      <w:r w:rsidRPr="00295AC1">
        <w:tab/>
        <w:t>Caractéristiques générales de conception du type de véhicule</w:t>
      </w:r>
      <w:r w:rsidR="006A6E78">
        <w:t> :</w:t>
      </w:r>
      <w:r>
        <w:tab/>
      </w:r>
    </w:p>
    <w:p w14:paraId="2C466E8B" w14:textId="58662F6D" w:rsidR="008B17F9" w:rsidRPr="00295AC1" w:rsidRDefault="008B17F9" w:rsidP="008B17F9">
      <w:pPr>
        <w:pStyle w:val="SingleTxtG"/>
        <w:tabs>
          <w:tab w:val="left" w:pos="1701"/>
          <w:tab w:val="right" w:leader="dot" w:pos="8505"/>
        </w:tabs>
        <w:jc w:val="left"/>
      </w:pPr>
      <w:r w:rsidRPr="00295AC1">
        <w:t>9.2</w:t>
      </w:r>
      <w:r w:rsidRPr="00295AC1">
        <w:tab/>
        <w:t>Numéro du certificat de conformité du SUMS</w:t>
      </w:r>
      <w:r w:rsidR="006A6E78">
        <w:t> :</w:t>
      </w:r>
      <w:r>
        <w:tab/>
      </w:r>
    </w:p>
    <w:p w14:paraId="250B9C9F" w14:textId="77777777" w:rsidR="008B17F9" w:rsidRPr="00295AC1" w:rsidRDefault="008B17F9" w:rsidP="008B17F9">
      <w:pPr>
        <w:pStyle w:val="SingleTxtG"/>
        <w:tabs>
          <w:tab w:val="left" w:pos="1701"/>
          <w:tab w:val="right" w:leader="dot" w:pos="8505"/>
        </w:tabs>
        <w:jc w:val="left"/>
      </w:pPr>
      <w:r w:rsidRPr="00295AC1">
        <w:t>9.3</w:t>
      </w:r>
      <w:r w:rsidRPr="00295AC1">
        <w:tab/>
        <w:t>Mesures de sécurité</w:t>
      </w:r>
    </w:p>
    <w:p w14:paraId="4984363C" w14:textId="77777777" w:rsidR="008B17F9" w:rsidRPr="00295AC1" w:rsidRDefault="008B17F9" w:rsidP="008B17F9">
      <w:pPr>
        <w:pStyle w:val="SingleTxtG"/>
        <w:tabs>
          <w:tab w:val="left" w:pos="1701"/>
          <w:tab w:val="right" w:leader="dot" w:pos="8505"/>
        </w:tabs>
        <w:ind w:left="1701" w:hanging="567"/>
        <w:jc w:val="left"/>
      </w:pPr>
      <w:r w:rsidRPr="00295AC1">
        <w:t>9.3.1</w:t>
      </w:r>
      <w:r w:rsidRPr="00295AC1">
        <w:tab/>
      </w:r>
      <w:bookmarkStart w:id="13" w:name="_Hlk26452029"/>
      <w:r w:rsidRPr="00295AC1">
        <w:t xml:space="preserve">Documents relatifs au type de véhicule à homologuer, décrivant </w:t>
      </w:r>
      <w:bookmarkStart w:id="14" w:name="_Hlk26453537"/>
      <w:bookmarkEnd w:id="13"/>
      <w:r w:rsidRPr="00295AC1">
        <w:t>l</w:t>
      </w:r>
      <w:r>
        <w:t>’</w:t>
      </w:r>
      <w:r w:rsidRPr="00295AC1">
        <w:t>exécution sûre du</w:t>
      </w:r>
      <w:r>
        <w:t> </w:t>
      </w:r>
      <w:r w:rsidRPr="00295AC1">
        <w:t>processus de mise à jour</w:t>
      </w:r>
      <w:bookmarkEnd w:id="14"/>
      <w:r>
        <w:tab/>
      </w:r>
    </w:p>
    <w:p w14:paraId="702177A8" w14:textId="77777777" w:rsidR="008B17F9" w:rsidRPr="00295AC1" w:rsidRDefault="008B17F9" w:rsidP="008B17F9">
      <w:pPr>
        <w:pStyle w:val="SingleTxtG"/>
        <w:tabs>
          <w:tab w:val="left" w:pos="1701"/>
          <w:tab w:val="right" w:leader="dot" w:pos="8505"/>
        </w:tabs>
        <w:ind w:left="1701" w:hanging="567"/>
        <w:jc w:val="left"/>
      </w:pPr>
      <w:r w:rsidRPr="00295AC1">
        <w:t>9.3.2</w:t>
      </w:r>
      <w:r w:rsidRPr="00295AC1">
        <w:tab/>
        <w:t>Documents relatifs au type de véhicule à homologuer, décrivant de quelle manière les codes RXSWIN sur un véhicule sont protégés contre toute manipulation non</w:t>
      </w:r>
      <w:r>
        <w:t> </w:t>
      </w:r>
      <w:r w:rsidRPr="00295AC1">
        <w:t>autorisée</w:t>
      </w:r>
      <w:r>
        <w:tab/>
      </w:r>
    </w:p>
    <w:p w14:paraId="4EF85C65" w14:textId="77777777" w:rsidR="008B17F9" w:rsidRPr="00295AC1" w:rsidRDefault="008B17F9" w:rsidP="008B17F9">
      <w:pPr>
        <w:pStyle w:val="SingleTxtG"/>
        <w:tabs>
          <w:tab w:val="left" w:pos="1701"/>
          <w:tab w:val="right" w:leader="dot" w:pos="8505"/>
        </w:tabs>
        <w:jc w:val="left"/>
      </w:pPr>
      <w:r w:rsidRPr="00295AC1">
        <w:t>9.4</w:t>
      </w:r>
      <w:r w:rsidRPr="00295AC1">
        <w:tab/>
        <w:t>Mises à jour logicielles à distance</w:t>
      </w:r>
    </w:p>
    <w:p w14:paraId="28FD6BFB" w14:textId="77777777" w:rsidR="008B17F9" w:rsidRPr="00295AC1" w:rsidRDefault="008B17F9" w:rsidP="008B17F9">
      <w:pPr>
        <w:pStyle w:val="SingleTxtG"/>
        <w:tabs>
          <w:tab w:val="left" w:pos="1701"/>
          <w:tab w:val="right" w:leader="dot" w:pos="8505"/>
        </w:tabs>
        <w:ind w:left="1701" w:hanging="567"/>
        <w:jc w:val="left"/>
      </w:pPr>
      <w:r w:rsidRPr="00295AC1">
        <w:t>9.4.1</w:t>
      </w:r>
      <w:r w:rsidRPr="00295AC1">
        <w:tab/>
        <w:t>Documents relatifs au type de véhicule à homologuer, décrivant l</w:t>
      </w:r>
      <w:r>
        <w:t>’</w:t>
      </w:r>
      <w:r w:rsidRPr="00295AC1">
        <w:t>exécution sûre du</w:t>
      </w:r>
      <w:r>
        <w:t> </w:t>
      </w:r>
      <w:r w:rsidRPr="00295AC1">
        <w:t>processus de mise à jour</w:t>
      </w:r>
      <w:r>
        <w:tab/>
      </w:r>
    </w:p>
    <w:p w14:paraId="1D243522" w14:textId="77777777" w:rsidR="008B17F9" w:rsidRDefault="008B17F9" w:rsidP="008B17F9">
      <w:pPr>
        <w:pStyle w:val="SingleTxtG"/>
        <w:tabs>
          <w:tab w:val="left" w:pos="1701"/>
          <w:tab w:val="right" w:leader="dot" w:pos="8505"/>
        </w:tabs>
        <w:ind w:left="1701" w:hanging="567"/>
        <w:jc w:val="left"/>
        <w:rPr>
          <w:lang w:val="fr-FR"/>
        </w:rPr>
      </w:pPr>
      <w:r w:rsidRPr="00295AC1">
        <w:rPr>
          <w:lang w:val="fr-FR"/>
        </w:rPr>
        <w:t>9.4.2</w:t>
      </w:r>
      <w:r w:rsidRPr="00295AC1">
        <w:rPr>
          <w:lang w:val="fr-FR"/>
        </w:rPr>
        <w:tab/>
      </w:r>
      <w:r w:rsidRPr="00776B0A">
        <w:t>Modalités</w:t>
      </w:r>
      <w:r w:rsidRPr="00295AC1">
        <w:rPr>
          <w:lang w:val="fr-FR"/>
        </w:rPr>
        <w:t xml:space="preserve"> d</w:t>
      </w:r>
      <w:r>
        <w:rPr>
          <w:lang w:val="fr-FR"/>
        </w:rPr>
        <w:t>’</w:t>
      </w:r>
      <w:r w:rsidRPr="00295AC1">
        <w:rPr>
          <w:lang w:val="fr-FR"/>
        </w:rPr>
        <w:t>information de l</w:t>
      </w:r>
      <w:r>
        <w:rPr>
          <w:lang w:val="fr-FR"/>
        </w:rPr>
        <w:t>’</w:t>
      </w:r>
      <w:r w:rsidRPr="00295AC1">
        <w:rPr>
          <w:lang w:val="fr-FR"/>
        </w:rPr>
        <w:t>utilisateur d</w:t>
      </w:r>
      <w:r>
        <w:rPr>
          <w:lang w:val="fr-FR"/>
        </w:rPr>
        <w:t>’</w:t>
      </w:r>
      <w:r w:rsidRPr="00295AC1">
        <w:rPr>
          <w:lang w:val="fr-FR"/>
        </w:rPr>
        <w:t>un véhicule avant et après l</w:t>
      </w:r>
      <w:r>
        <w:rPr>
          <w:lang w:val="fr-FR"/>
        </w:rPr>
        <w:t>’</w:t>
      </w:r>
      <w:r w:rsidRPr="00295AC1">
        <w:rPr>
          <w:lang w:val="fr-FR"/>
        </w:rPr>
        <w:t>exécution d</w:t>
      </w:r>
      <w:r>
        <w:rPr>
          <w:lang w:val="fr-FR"/>
        </w:rPr>
        <w:t>’</w:t>
      </w:r>
      <w:r w:rsidRPr="00295AC1">
        <w:rPr>
          <w:lang w:val="fr-FR"/>
        </w:rPr>
        <w:t>une mise à jour</w:t>
      </w:r>
      <w:r>
        <w:rPr>
          <w:lang w:val="fr-FR"/>
        </w:rPr>
        <w:tab/>
      </w:r>
      <w:r>
        <w:rPr>
          <w:lang w:val="fr-FR"/>
        </w:rPr>
        <w:tab/>
      </w:r>
    </w:p>
    <w:p w14:paraId="251D101A" w14:textId="77777777" w:rsidR="00D56381" w:rsidRDefault="00D56381" w:rsidP="005F0207"/>
    <w:p w14:paraId="1E6D64BF" w14:textId="73A53CDE" w:rsidR="00CD7431" w:rsidRDefault="00CD7431" w:rsidP="005F0207">
      <w:pPr>
        <w:sectPr w:rsidR="00CD7431" w:rsidSect="00953EB8">
          <w:headerReference w:type="even" r:id="rId14"/>
          <w:headerReference w:type="default" r:id="rId15"/>
          <w:footerReference w:type="even" r:id="rId16"/>
          <w:footerReference w:type="default" r:id="rId17"/>
          <w:endnotePr>
            <w:numFmt w:val="decimal"/>
          </w:endnotePr>
          <w:pgSz w:w="11907" w:h="16840" w:code="9"/>
          <w:pgMar w:top="1417" w:right="1134" w:bottom="1134" w:left="1134" w:header="850" w:footer="567" w:gutter="0"/>
          <w:cols w:space="720"/>
          <w:docGrid w:linePitch="272"/>
        </w:sectPr>
      </w:pPr>
    </w:p>
    <w:p w14:paraId="5BFC8362" w14:textId="6433C6A6" w:rsidR="00D56381" w:rsidRPr="00353DAB" w:rsidRDefault="00CD7431" w:rsidP="00D56381">
      <w:pPr>
        <w:pStyle w:val="HChG"/>
      </w:pPr>
      <w:r>
        <w:lastRenderedPageBreak/>
        <w:t xml:space="preserve">Annexe </w:t>
      </w:r>
      <w:r w:rsidR="00D56381" w:rsidRPr="00353DAB">
        <w:t>1</w:t>
      </w:r>
      <w:r w:rsidR="006A6E78">
        <w:t xml:space="preserve"> − </w:t>
      </w:r>
      <w:r>
        <w:t xml:space="preserve">Appendice </w:t>
      </w:r>
      <w:r w:rsidR="00D56381" w:rsidRPr="00353DAB">
        <w:t>1</w:t>
      </w:r>
    </w:p>
    <w:p w14:paraId="014922FE" w14:textId="66FF8E3C" w:rsidR="00D56381" w:rsidRPr="00353DAB" w:rsidRDefault="00D56381" w:rsidP="00D56381">
      <w:pPr>
        <w:pStyle w:val="HChG"/>
      </w:pPr>
      <w:r w:rsidRPr="00353DAB">
        <w:tab/>
      </w:r>
      <w:r w:rsidRPr="00353DAB">
        <w:tab/>
        <w:t xml:space="preserve">Modèle de déclaration de conformité du système de gestion </w:t>
      </w:r>
      <w:bookmarkStart w:id="15" w:name="_Hlk26542832"/>
      <w:r w:rsidRPr="00353DAB">
        <w:t xml:space="preserve">des mises </w:t>
      </w:r>
      <w:bookmarkStart w:id="16" w:name="_Hlk27400188"/>
      <w:r w:rsidRPr="00353DAB">
        <w:t>à jour logicielles</w:t>
      </w:r>
      <w:bookmarkEnd w:id="15"/>
      <w:bookmarkEnd w:id="16"/>
    </w:p>
    <w:p w14:paraId="6DD01C53" w14:textId="581AAD43" w:rsidR="00D56381" w:rsidRPr="00353DAB" w:rsidRDefault="00D56381" w:rsidP="00D56381">
      <w:pPr>
        <w:pStyle w:val="H1G"/>
      </w:pPr>
      <w:r w:rsidRPr="00353DAB">
        <w:tab/>
      </w:r>
      <w:r w:rsidRPr="00353DAB">
        <w:tab/>
        <w:t>Déclaration du constructeur s</w:t>
      </w:r>
      <w:r>
        <w:t>’</w:t>
      </w:r>
      <w:r w:rsidRPr="00353DAB">
        <w:t>agissant de la conformité du système de</w:t>
      </w:r>
      <w:r w:rsidR="00CD7431">
        <w:t> </w:t>
      </w:r>
      <w:r w:rsidRPr="00353DAB">
        <w:t>gestion des mises à jour logicielles</w:t>
      </w:r>
    </w:p>
    <w:p w14:paraId="63DB82E1" w14:textId="367F7341" w:rsidR="00D56381" w:rsidRPr="00295AC1" w:rsidRDefault="00D56381" w:rsidP="00CD7431">
      <w:pPr>
        <w:pStyle w:val="SingleTxtG"/>
        <w:tabs>
          <w:tab w:val="right" w:leader="dot" w:pos="8505"/>
        </w:tabs>
      </w:pPr>
      <w:r w:rsidRPr="00295AC1">
        <w:t xml:space="preserve">Nom du </w:t>
      </w:r>
      <w:r w:rsidRPr="00295AC1">
        <w:rPr>
          <w:lang w:eastAsia="ko-KR"/>
        </w:rPr>
        <w:t>constructeur</w:t>
      </w:r>
      <w:r w:rsidR="006A6E78">
        <w:t> :</w:t>
      </w:r>
      <w:r>
        <w:tab/>
      </w:r>
    </w:p>
    <w:p w14:paraId="7738D850" w14:textId="78C43BB1" w:rsidR="00D56381" w:rsidRPr="00295AC1" w:rsidRDefault="00D56381" w:rsidP="00CD7431">
      <w:pPr>
        <w:pStyle w:val="SingleTxtG"/>
        <w:tabs>
          <w:tab w:val="right" w:leader="dot" w:pos="8505"/>
        </w:tabs>
      </w:pPr>
      <w:r w:rsidRPr="00295AC1">
        <w:t>Adresse du constructeur</w:t>
      </w:r>
      <w:r w:rsidR="006A6E78">
        <w:t> :</w:t>
      </w:r>
      <w:r>
        <w:tab/>
      </w:r>
    </w:p>
    <w:p w14:paraId="5ACF6873" w14:textId="45FDD6A3" w:rsidR="00D56381" w:rsidRPr="00295AC1" w:rsidRDefault="00CD7431" w:rsidP="00CD7431">
      <w:pPr>
        <w:pStyle w:val="SingleTxtG"/>
        <w:tabs>
          <w:tab w:val="right" w:leader="dot" w:pos="2268"/>
        </w:tabs>
      </w:pPr>
      <w:r>
        <w:tab/>
      </w:r>
      <w:r>
        <w:tab/>
      </w:r>
      <w:r w:rsidR="00D56381" w:rsidRPr="00295AC1">
        <w:t xml:space="preserve"> (nom du constructeur) </w:t>
      </w:r>
      <w:r w:rsidR="00D56381" w:rsidRPr="00295AC1">
        <w:rPr>
          <w:rFonts w:eastAsiaTheme="minorEastAsia"/>
          <w:lang w:eastAsia="ko-KR"/>
        </w:rPr>
        <w:t>atteste</w:t>
      </w:r>
      <w:r w:rsidR="00D56381" w:rsidRPr="00295AC1">
        <w:t xml:space="preserve"> que les processus nécessaires pour satisfaire aux prescriptions relatives au système de gestion des mises à jour logicielles énoncées au </w:t>
      </w:r>
      <w:r>
        <w:t xml:space="preserve">paragraphe </w:t>
      </w:r>
      <w:r w:rsidR="00D56381" w:rsidRPr="00295AC1">
        <w:t>7.1 du Règlement ONU</w:t>
      </w:r>
      <w:r w:rsidR="00D56381">
        <w:t xml:space="preserve"> n</w:t>
      </w:r>
      <w:r w:rsidR="00D56381" w:rsidRPr="00706E6D">
        <w:rPr>
          <w:vertAlign w:val="superscript"/>
        </w:rPr>
        <w:t>o</w:t>
      </w:r>
      <w:r w:rsidRPr="00CD7431">
        <w:t> </w:t>
      </w:r>
      <w:r w:rsidR="00D56381">
        <w:t>156</w:t>
      </w:r>
      <w:r w:rsidR="00D56381" w:rsidRPr="00295AC1">
        <w:t xml:space="preserve"> sont en place et qu</w:t>
      </w:r>
      <w:r w:rsidR="00D56381">
        <w:t>’</w:t>
      </w:r>
      <w:r w:rsidR="00D56381" w:rsidRPr="00295AC1">
        <w:t>ils seront maintenus.</w:t>
      </w:r>
    </w:p>
    <w:p w14:paraId="61E6F97D" w14:textId="361FF6F8" w:rsidR="00D56381" w:rsidRPr="00353DAB" w:rsidRDefault="00D56381" w:rsidP="00CD7431">
      <w:pPr>
        <w:pStyle w:val="SingleTxtG"/>
        <w:tabs>
          <w:tab w:val="right" w:leader="dot" w:pos="3969"/>
        </w:tabs>
      </w:pPr>
      <w:bookmarkStart w:id="17" w:name="_Hlk25856450"/>
      <w:r w:rsidRPr="00353DAB">
        <w:t>Fait à</w:t>
      </w:r>
      <w:r w:rsidR="006A6E78">
        <w:t> :</w:t>
      </w:r>
      <w:r w:rsidR="00CD7431">
        <w:tab/>
      </w:r>
      <w:r>
        <w:tab/>
      </w:r>
      <w:r w:rsidRPr="00353DAB">
        <w:t>(</w:t>
      </w:r>
      <w:r w:rsidRPr="00295AC1">
        <w:t>lieu</w:t>
      </w:r>
      <w:r w:rsidRPr="00353DAB">
        <w:t>)</w:t>
      </w:r>
    </w:p>
    <w:p w14:paraId="74FE17F5" w14:textId="61D786CC" w:rsidR="00D56381" w:rsidRPr="00353DAB" w:rsidRDefault="00D56381" w:rsidP="00CD7431">
      <w:pPr>
        <w:pStyle w:val="SingleTxtG"/>
        <w:tabs>
          <w:tab w:val="right" w:leader="dot" w:pos="3969"/>
        </w:tabs>
      </w:pPr>
      <w:r w:rsidRPr="00353DAB">
        <w:t>Le</w:t>
      </w:r>
      <w:r w:rsidR="006A6E78">
        <w:t> :</w:t>
      </w:r>
      <w:r>
        <w:tab/>
      </w:r>
      <w:r w:rsidRPr="00353DAB">
        <w:tab/>
      </w:r>
    </w:p>
    <w:p w14:paraId="52EA1341" w14:textId="584C9670" w:rsidR="00D56381" w:rsidRPr="00295AC1" w:rsidRDefault="00D56381" w:rsidP="00CD7431">
      <w:pPr>
        <w:pStyle w:val="SingleTxtG"/>
        <w:tabs>
          <w:tab w:val="right" w:leader="dot" w:pos="8505"/>
        </w:tabs>
      </w:pPr>
      <w:r w:rsidRPr="00295AC1">
        <w:t xml:space="preserve">Nom du </w:t>
      </w:r>
      <w:r w:rsidRPr="00295AC1">
        <w:rPr>
          <w:rFonts w:asciiTheme="majorBidi" w:eastAsiaTheme="minorEastAsia" w:hAnsiTheme="majorBidi" w:cstheme="majorBidi"/>
          <w:lang w:eastAsia="ko-KR"/>
        </w:rPr>
        <w:t>signataire</w:t>
      </w:r>
      <w:r w:rsidR="006A6E78">
        <w:t> :</w:t>
      </w:r>
      <w:r>
        <w:tab/>
      </w:r>
    </w:p>
    <w:p w14:paraId="78F18B30" w14:textId="239FCEEA" w:rsidR="00D56381" w:rsidRDefault="00D56381" w:rsidP="00CD7431">
      <w:pPr>
        <w:pStyle w:val="SingleTxtG"/>
        <w:tabs>
          <w:tab w:val="right" w:leader="dot" w:pos="8505"/>
        </w:tabs>
        <w:rPr>
          <w:rFonts w:asciiTheme="majorBidi" w:hAnsiTheme="majorBidi" w:cstheme="majorBidi"/>
        </w:rPr>
      </w:pPr>
      <w:r w:rsidRPr="00295AC1">
        <w:t>Fonction du signataire</w:t>
      </w:r>
      <w:r w:rsidR="006A6E78">
        <w:t> :</w:t>
      </w:r>
      <w:r>
        <w:tab/>
      </w:r>
      <w:r>
        <w:rPr>
          <w:rFonts w:asciiTheme="majorBidi" w:hAnsiTheme="majorBidi" w:cstheme="majorBidi"/>
        </w:rPr>
        <w:tab/>
      </w:r>
    </w:p>
    <w:p w14:paraId="6575A3D3" w14:textId="5EF950E2" w:rsidR="00D56381" w:rsidRPr="00D32AEA" w:rsidRDefault="00CD7431" w:rsidP="00CD7431">
      <w:pPr>
        <w:pStyle w:val="SingleTxtG"/>
        <w:tabs>
          <w:tab w:val="right" w:leader="dot" w:pos="8505"/>
        </w:tabs>
        <w:ind w:left="5103"/>
      </w:pPr>
      <w:r>
        <w:tab/>
      </w:r>
    </w:p>
    <w:p w14:paraId="6D1ACB5D" w14:textId="64A60410" w:rsidR="00D56381" w:rsidRDefault="00D56381" w:rsidP="00CD7431">
      <w:pPr>
        <w:pStyle w:val="SingleTxtG"/>
        <w:jc w:val="right"/>
      </w:pPr>
      <w:r w:rsidRPr="00353DAB">
        <w:t>(</w:t>
      </w:r>
      <w:r w:rsidRPr="00295AC1">
        <w:t>Timbre et signature du représentant du constructeur</w:t>
      </w:r>
      <w:r w:rsidRPr="00353DAB">
        <w:t>)</w:t>
      </w:r>
      <w:bookmarkEnd w:id="17"/>
    </w:p>
    <w:p w14:paraId="4FF6B945" w14:textId="77777777" w:rsidR="00CD7431" w:rsidRPr="00CD7431" w:rsidRDefault="00CD7431" w:rsidP="00CD7431">
      <w:pPr>
        <w:pStyle w:val="SingleTxtG"/>
        <w:jc w:val="left"/>
        <w:rPr>
          <w:u w:val="double"/>
        </w:rPr>
      </w:pPr>
    </w:p>
    <w:p w14:paraId="1E8B3908" w14:textId="77777777" w:rsidR="00953EB8" w:rsidRDefault="00953EB8" w:rsidP="005F0207">
      <w:pPr>
        <w:sectPr w:rsidR="00953EB8" w:rsidSect="00953EB8">
          <w:headerReference w:type="even" r:id="rId18"/>
          <w:headerReference w:type="default" r:id="rId19"/>
          <w:footerReference w:type="default" r:id="rId20"/>
          <w:endnotePr>
            <w:numFmt w:val="decimal"/>
          </w:endnotePr>
          <w:pgSz w:w="11907" w:h="16840" w:code="9"/>
          <w:pgMar w:top="1417" w:right="1134" w:bottom="1134" w:left="1134" w:header="850" w:footer="567" w:gutter="0"/>
          <w:cols w:space="720"/>
          <w:docGrid w:linePitch="272"/>
        </w:sectPr>
      </w:pPr>
    </w:p>
    <w:p w14:paraId="44C382F9" w14:textId="1079CBA1" w:rsidR="00003BFA" w:rsidRPr="00353DAB" w:rsidRDefault="00CD7431" w:rsidP="00003BFA">
      <w:pPr>
        <w:pStyle w:val="HChG"/>
      </w:pPr>
      <w:r>
        <w:lastRenderedPageBreak/>
        <w:t xml:space="preserve">Annexe </w:t>
      </w:r>
      <w:r w:rsidR="00003BFA" w:rsidRPr="00353DAB">
        <w:t>2</w:t>
      </w:r>
    </w:p>
    <w:p w14:paraId="1B846100" w14:textId="77777777" w:rsidR="00003BFA" w:rsidRPr="00353DAB" w:rsidRDefault="00003BFA" w:rsidP="00003BFA">
      <w:pPr>
        <w:pStyle w:val="HChG"/>
      </w:pPr>
      <w:r w:rsidRPr="00353DAB">
        <w:tab/>
      </w:r>
      <w:r w:rsidRPr="00353DAB">
        <w:tab/>
      </w:r>
      <w:r>
        <w:t>C</w:t>
      </w:r>
      <w:r w:rsidRPr="00353DAB">
        <w:t>ommunication</w:t>
      </w:r>
    </w:p>
    <w:p w14:paraId="157E7351" w14:textId="6FA6B81A" w:rsidR="00F3595C" w:rsidRPr="00F3595C" w:rsidRDefault="00003BFA" w:rsidP="00003BFA">
      <w:pPr>
        <w:pStyle w:val="SingleTxtG"/>
      </w:pPr>
      <w:r w:rsidRPr="00353DAB">
        <w:t>(Format maximal</w:t>
      </w:r>
      <w:r w:rsidR="006A6E78">
        <w:t> :</w:t>
      </w:r>
      <w:r w:rsidRPr="00353DAB">
        <w:t xml:space="preserve"> A4 (210 x 297</w:t>
      </w:r>
      <w:r>
        <w:t> </w:t>
      </w:r>
      <w:r w:rsidRPr="00353DAB">
        <w:t>mm))</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003BFA" w:rsidRPr="00D96394" w14:paraId="50548CEA" w14:textId="77777777" w:rsidTr="00CF6770">
        <w:tc>
          <w:tcPr>
            <w:tcW w:w="3402" w:type="dxa"/>
          </w:tcPr>
          <w:p w14:paraId="0B6D355C" w14:textId="3AFAE2DA" w:rsidR="00003BFA" w:rsidRPr="00D96394" w:rsidRDefault="00F3595C" w:rsidP="00CF6770">
            <w:pPr>
              <w:pStyle w:val="SingleTxtG"/>
              <w:spacing w:after="0"/>
              <w:ind w:left="0"/>
            </w:pPr>
            <w:bookmarkStart w:id="18" w:name="_MON_1420453756"/>
            <w:bookmarkEnd w:id="18"/>
            <w:r>
              <w:rPr>
                <w:noProof/>
              </w:rPr>
              <w:drawing>
                <wp:inline distT="0" distB="0" distL="0" distR="0" wp14:anchorId="413355E9" wp14:editId="21802416">
                  <wp:extent cx="931229" cy="941631"/>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46621" cy="957195"/>
                          </a:xfrm>
                          <a:prstGeom prst="rect">
                            <a:avLst/>
                          </a:prstGeom>
                        </pic:spPr>
                      </pic:pic>
                    </a:graphicData>
                  </a:graphic>
                </wp:inline>
              </w:drawing>
            </w:r>
            <w:r w:rsidRPr="00F3595C">
              <w:rPr>
                <w:rStyle w:val="FootnoteReference"/>
                <w:color w:val="FFFFFF" w:themeColor="background1"/>
              </w:rPr>
              <w:footnoteReference w:id="5"/>
            </w:r>
          </w:p>
        </w:tc>
        <w:tc>
          <w:tcPr>
            <w:tcW w:w="3969" w:type="dxa"/>
          </w:tcPr>
          <w:p w14:paraId="77A4C829" w14:textId="1B1D0317" w:rsidR="00003BFA" w:rsidRPr="00D96394" w:rsidRDefault="00003BFA" w:rsidP="00CF6770">
            <w:pPr>
              <w:ind w:left="1701" w:hanging="1701"/>
            </w:pPr>
            <w:r w:rsidRPr="00D96394">
              <w:t>Émanant de</w:t>
            </w:r>
            <w:r w:rsidR="006A6E78">
              <w:t> :</w:t>
            </w:r>
            <w:r w:rsidRPr="00D96394">
              <w:tab/>
              <w:t>Nom de l</w:t>
            </w:r>
            <w:r>
              <w:t>’</w:t>
            </w:r>
            <w:r w:rsidRPr="00D96394">
              <w:t>administration</w:t>
            </w:r>
            <w:r w:rsidR="006A6E78">
              <w:t> :</w:t>
            </w:r>
          </w:p>
          <w:p w14:paraId="079FC083" w14:textId="77777777" w:rsidR="00003BFA" w:rsidRPr="00D96394" w:rsidRDefault="00003BFA" w:rsidP="00CF6770">
            <w:pPr>
              <w:pStyle w:val="SingleTxtG"/>
              <w:tabs>
                <w:tab w:val="right" w:leader="dot" w:pos="3686"/>
              </w:tabs>
              <w:spacing w:after="0"/>
              <w:ind w:left="1701" w:right="0"/>
            </w:pPr>
            <w:r w:rsidRPr="00D96394">
              <w:tab/>
            </w:r>
          </w:p>
          <w:p w14:paraId="16A91F8F" w14:textId="77777777" w:rsidR="00003BFA" w:rsidRPr="00D96394" w:rsidRDefault="00003BFA" w:rsidP="00CF6770">
            <w:pPr>
              <w:pStyle w:val="SingleTxtG"/>
              <w:tabs>
                <w:tab w:val="right" w:leader="dot" w:pos="3686"/>
              </w:tabs>
              <w:spacing w:after="0"/>
              <w:ind w:left="1701" w:right="0"/>
            </w:pPr>
            <w:r w:rsidRPr="00D96394">
              <w:tab/>
            </w:r>
          </w:p>
          <w:p w14:paraId="712C6CBD" w14:textId="77777777" w:rsidR="00003BFA" w:rsidRPr="00D96394" w:rsidRDefault="00003BFA" w:rsidP="00CF6770">
            <w:pPr>
              <w:pStyle w:val="SingleTxtG"/>
              <w:tabs>
                <w:tab w:val="right" w:leader="dot" w:pos="3686"/>
              </w:tabs>
              <w:spacing w:after="0"/>
              <w:ind w:left="1701" w:right="0"/>
            </w:pPr>
            <w:r w:rsidRPr="00D96394">
              <w:tab/>
            </w:r>
          </w:p>
        </w:tc>
      </w:tr>
    </w:tbl>
    <w:p w14:paraId="56AEC965" w14:textId="4BF51497" w:rsidR="00003BFA" w:rsidRDefault="00003BFA" w:rsidP="00C10858">
      <w:pPr>
        <w:pStyle w:val="SingleTxtG"/>
        <w:spacing w:before="120" w:after="0"/>
        <w:jc w:val="left"/>
        <w:rPr>
          <w:rFonts w:asciiTheme="majorBidi" w:eastAsiaTheme="minorEastAsia" w:hAnsiTheme="majorBidi" w:cstheme="majorBidi"/>
        </w:rPr>
      </w:pPr>
      <w:r w:rsidRPr="00353DAB">
        <w:t>concernant</w:t>
      </w:r>
      <w:r w:rsidRPr="00CD7431">
        <w:rPr>
          <w:rStyle w:val="FootnoteReference"/>
        </w:rPr>
        <w:footnoteReference w:id="6"/>
      </w:r>
      <w:r w:rsidR="006A6E78">
        <w:t> :</w:t>
      </w:r>
      <w:r w:rsidRPr="00353DAB">
        <w:tab/>
        <w:t>Délivrance d</w:t>
      </w:r>
      <w:r>
        <w:t>’</w:t>
      </w:r>
      <w:r w:rsidRPr="00353DAB">
        <w:t xml:space="preserve">une </w:t>
      </w:r>
      <w:r w:rsidRPr="00353DAB">
        <w:rPr>
          <w:rFonts w:asciiTheme="majorBidi" w:eastAsiaTheme="minorEastAsia" w:hAnsiTheme="majorBidi" w:cstheme="majorBidi"/>
        </w:rPr>
        <w:t>homologation</w:t>
      </w:r>
    </w:p>
    <w:p w14:paraId="0A71001C" w14:textId="77777777" w:rsidR="00003BFA" w:rsidRDefault="00003BFA" w:rsidP="00F3595C">
      <w:pPr>
        <w:pStyle w:val="SingleTxtG"/>
        <w:spacing w:after="0"/>
        <w:ind w:left="2268"/>
        <w:jc w:val="left"/>
      </w:pPr>
      <w:r>
        <w:tab/>
      </w:r>
      <w:r w:rsidRPr="00353DAB">
        <w:t>Extension d</w:t>
      </w:r>
      <w:r>
        <w:t>’</w:t>
      </w:r>
      <w:r w:rsidRPr="00353DAB">
        <w:t>homologation</w:t>
      </w:r>
    </w:p>
    <w:p w14:paraId="2C1DF289" w14:textId="77777777" w:rsidR="00003BFA" w:rsidRPr="00353DAB" w:rsidRDefault="00003BFA" w:rsidP="00F3595C">
      <w:pPr>
        <w:pStyle w:val="SingleTxtG"/>
        <w:spacing w:after="0"/>
        <w:ind w:left="2268"/>
        <w:jc w:val="left"/>
      </w:pPr>
      <w:r w:rsidRPr="00353DAB">
        <w:t>Retrait d</w:t>
      </w:r>
      <w:r>
        <w:t>’</w:t>
      </w:r>
      <w:r w:rsidRPr="00353DAB">
        <w:t>homologation avec effet au jj/mm/</w:t>
      </w:r>
      <w:proofErr w:type="spellStart"/>
      <w:r w:rsidRPr="00353DAB">
        <w:t>aaaa</w:t>
      </w:r>
      <w:proofErr w:type="spellEnd"/>
    </w:p>
    <w:p w14:paraId="13EE4CBC" w14:textId="77777777" w:rsidR="00003BFA" w:rsidRPr="00353DAB" w:rsidRDefault="00003BFA" w:rsidP="00F3595C">
      <w:pPr>
        <w:pStyle w:val="SingleTxtG"/>
        <w:spacing w:after="0"/>
        <w:ind w:left="2268"/>
        <w:jc w:val="left"/>
      </w:pPr>
      <w:r w:rsidRPr="00353DAB">
        <w:t>Refus d</w:t>
      </w:r>
      <w:r>
        <w:t>’</w:t>
      </w:r>
      <w:r w:rsidRPr="00353DAB">
        <w:t>homologation</w:t>
      </w:r>
    </w:p>
    <w:p w14:paraId="38028F68" w14:textId="77777777" w:rsidR="00003BFA" w:rsidRPr="00353DAB" w:rsidRDefault="00003BFA" w:rsidP="00F3595C">
      <w:pPr>
        <w:pStyle w:val="SingleTxtG"/>
        <w:spacing w:after="0"/>
        <w:ind w:left="2268"/>
        <w:jc w:val="left"/>
      </w:pPr>
      <w:r w:rsidRPr="00353DAB">
        <w:t>Arrêt définitif de la production</w:t>
      </w:r>
    </w:p>
    <w:p w14:paraId="55444AB8" w14:textId="77777777" w:rsidR="00003BFA" w:rsidRPr="00353DAB" w:rsidRDefault="00003BFA" w:rsidP="00003BFA">
      <w:pPr>
        <w:pStyle w:val="SingleTxtG"/>
        <w:spacing w:before="120"/>
      </w:pPr>
      <w:r w:rsidRPr="00353DAB">
        <w:t>d</w:t>
      </w:r>
      <w:r>
        <w:t>’</w:t>
      </w:r>
      <w:r w:rsidRPr="00353DAB">
        <w:t xml:space="preserve">un type de </w:t>
      </w:r>
      <w:r w:rsidRPr="00353DAB">
        <w:rPr>
          <w:rFonts w:asciiTheme="majorBidi" w:eastAsiaTheme="minorEastAsia" w:hAnsiTheme="majorBidi" w:cstheme="majorBidi"/>
          <w:lang w:eastAsia="ko-KR"/>
        </w:rPr>
        <w:t>véhicule</w:t>
      </w:r>
      <w:r w:rsidRPr="00353DAB">
        <w:t>, conformément au Règlement n</w:t>
      </w:r>
      <w:r w:rsidRPr="00353DAB">
        <w:rPr>
          <w:vertAlign w:val="superscript"/>
        </w:rPr>
        <w:t>o</w:t>
      </w:r>
      <w:r w:rsidRPr="00353DAB">
        <w:t xml:space="preserve"> </w:t>
      </w:r>
      <w:r>
        <w:t>156</w:t>
      </w:r>
      <w:r w:rsidRPr="00353DAB">
        <w:t>.</w:t>
      </w:r>
      <w:bookmarkStart w:id="19" w:name="_Hlk25856543"/>
      <w:bookmarkEnd w:id="19"/>
    </w:p>
    <w:p w14:paraId="37F348B0" w14:textId="3E09DA40" w:rsidR="00003BFA" w:rsidRPr="00353DAB" w:rsidRDefault="00003BFA" w:rsidP="00003BFA">
      <w:pPr>
        <w:pStyle w:val="SingleTxtG"/>
        <w:tabs>
          <w:tab w:val="left" w:pos="1701"/>
          <w:tab w:val="right" w:leader="dot" w:pos="8505"/>
        </w:tabs>
        <w:ind w:left="1701" w:hanging="567"/>
      </w:pPr>
      <w:r w:rsidRPr="00353DAB">
        <w:t>N</w:t>
      </w:r>
      <w:r w:rsidRPr="00353DAB">
        <w:rPr>
          <w:vertAlign w:val="superscript"/>
        </w:rPr>
        <w:t>o</w:t>
      </w:r>
      <w:r w:rsidRPr="00353DAB">
        <w:t xml:space="preserve"> </w:t>
      </w:r>
      <w:r w:rsidRPr="00353DAB">
        <w:rPr>
          <w:rFonts w:asciiTheme="majorBidi" w:eastAsiaTheme="minorEastAsia" w:hAnsiTheme="majorBidi" w:cstheme="majorBidi"/>
        </w:rPr>
        <w:t>d</w:t>
      </w:r>
      <w:r>
        <w:rPr>
          <w:rFonts w:asciiTheme="majorBidi" w:eastAsiaTheme="minorEastAsia" w:hAnsiTheme="majorBidi" w:cstheme="majorBidi"/>
        </w:rPr>
        <w:t>’</w:t>
      </w:r>
      <w:r w:rsidRPr="00353DAB">
        <w:rPr>
          <w:rFonts w:asciiTheme="majorBidi" w:eastAsiaTheme="minorEastAsia" w:hAnsiTheme="majorBidi" w:cstheme="majorBidi"/>
        </w:rPr>
        <w:t>homologation</w:t>
      </w:r>
      <w:r w:rsidR="006A6E78">
        <w:t> :</w:t>
      </w:r>
      <w:r w:rsidRPr="00353DAB">
        <w:tab/>
      </w:r>
    </w:p>
    <w:p w14:paraId="0B386B98" w14:textId="66EB0F33" w:rsidR="00003BFA" w:rsidRPr="00353DAB" w:rsidRDefault="00003BFA" w:rsidP="00003BFA">
      <w:pPr>
        <w:pStyle w:val="SingleTxtG"/>
        <w:tabs>
          <w:tab w:val="left" w:pos="1701"/>
          <w:tab w:val="right" w:leader="dot" w:pos="8505"/>
        </w:tabs>
        <w:ind w:left="1701" w:hanging="567"/>
      </w:pPr>
      <w:r w:rsidRPr="00353DAB">
        <w:t>N</w:t>
      </w:r>
      <w:r w:rsidRPr="00353DAB">
        <w:rPr>
          <w:vertAlign w:val="superscript"/>
        </w:rPr>
        <w:t>o</w:t>
      </w:r>
      <w:r w:rsidRPr="00353DAB">
        <w:t xml:space="preserve"> d</w:t>
      </w:r>
      <w:r>
        <w:t>’</w:t>
      </w:r>
      <w:r w:rsidRPr="00353DAB">
        <w:t>extension</w:t>
      </w:r>
      <w:r w:rsidR="006A6E78">
        <w:t> :</w:t>
      </w:r>
      <w:r>
        <w:tab/>
      </w:r>
    </w:p>
    <w:p w14:paraId="0E847007" w14:textId="0A2C836C" w:rsidR="00003BFA" w:rsidRPr="00353DAB" w:rsidRDefault="00003BFA" w:rsidP="00003BFA">
      <w:pPr>
        <w:pStyle w:val="SingleTxtG"/>
        <w:tabs>
          <w:tab w:val="left" w:pos="1701"/>
          <w:tab w:val="right" w:leader="dot" w:pos="8505"/>
        </w:tabs>
        <w:ind w:left="1701" w:hanging="567"/>
      </w:pPr>
      <w:r w:rsidRPr="00353DAB">
        <w:t>Motif de l</w:t>
      </w:r>
      <w:r>
        <w:t>’</w:t>
      </w:r>
      <w:r w:rsidRPr="00353DAB">
        <w:t>extension</w:t>
      </w:r>
      <w:r w:rsidR="006A6E78">
        <w:t> :</w:t>
      </w:r>
      <w:r>
        <w:tab/>
      </w:r>
    </w:p>
    <w:p w14:paraId="09CA6CCD" w14:textId="54970FE4" w:rsidR="00003BFA" w:rsidRPr="00353DAB" w:rsidRDefault="00003BFA" w:rsidP="00003BFA">
      <w:pPr>
        <w:pStyle w:val="SingleTxtG"/>
        <w:tabs>
          <w:tab w:val="left" w:pos="1701"/>
          <w:tab w:val="right" w:leader="dot" w:pos="8505"/>
        </w:tabs>
        <w:ind w:left="1701" w:hanging="567"/>
      </w:pPr>
      <w:r w:rsidRPr="00353DAB">
        <w:t>1.</w:t>
      </w:r>
      <w:r w:rsidRPr="00353DAB">
        <w:tab/>
      </w:r>
      <w:r w:rsidRPr="00353DAB">
        <w:rPr>
          <w:rFonts w:asciiTheme="majorBidi" w:eastAsiaTheme="minorEastAsia" w:hAnsiTheme="majorBidi" w:cstheme="majorBidi"/>
        </w:rPr>
        <w:t>Marque</w:t>
      </w:r>
      <w:r w:rsidRPr="00353DAB">
        <w:t xml:space="preserve"> (raison sociale du constructeur)</w:t>
      </w:r>
      <w:r w:rsidR="006A6E78">
        <w:t> :</w:t>
      </w:r>
      <w:r>
        <w:tab/>
      </w:r>
    </w:p>
    <w:p w14:paraId="35BCA70D" w14:textId="1AC2474B" w:rsidR="00003BFA" w:rsidRPr="00353DAB" w:rsidRDefault="00003BFA" w:rsidP="00003BFA">
      <w:pPr>
        <w:pStyle w:val="SingleTxtG"/>
        <w:tabs>
          <w:tab w:val="left" w:pos="1701"/>
          <w:tab w:val="right" w:leader="dot" w:pos="8505"/>
        </w:tabs>
        <w:ind w:left="1701" w:hanging="567"/>
      </w:pPr>
      <w:r w:rsidRPr="00353DAB">
        <w:t>2.</w:t>
      </w:r>
      <w:r w:rsidRPr="00353DAB">
        <w:tab/>
        <w:t>Type et dénomination(s) commerciale(s) générale(s)</w:t>
      </w:r>
      <w:r w:rsidR="006A6E78">
        <w:t> :</w:t>
      </w:r>
      <w:r>
        <w:tab/>
      </w:r>
    </w:p>
    <w:p w14:paraId="21616881" w14:textId="697E04BD" w:rsidR="00003BFA" w:rsidRPr="00353DAB" w:rsidRDefault="00003BFA" w:rsidP="00003BFA">
      <w:pPr>
        <w:pStyle w:val="SingleTxtG"/>
        <w:tabs>
          <w:tab w:val="left" w:pos="1701"/>
          <w:tab w:val="right" w:leader="dot" w:pos="8505"/>
        </w:tabs>
        <w:ind w:left="1701" w:hanging="567"/>
      </w:pPr>
      <w:r w:rsidRPr="00353DAB">
        <w:t>3.</w:t>
      </w:r>
      <w:r w:rsidRPr="00353DAB">
        <w:tab/>
        <w:t>Moyen d</w:t>
      </w:r>
      <w:r>
        <w:t>’</w:t>
      </w:r>
      <w:r w:rsidRPr="00353DAB">
        <w:t>identification du type, s</w:t>
      </w:r>
      <w:r>
        <w:t>’</w:t>
      </w:r>
      <w:r w:rsidRPr="00353DAB">
        <w:t>il est indiqué sur le véhicule</w:t>
      </w:r>
      <w:r w:rsidR="006A6E78">
        <w:t> :</w:t>
      </w:r>
      <w:r>
        <w:tab/>
      </w:r>
    </w:p>
    <w:p w14:paraId="30F2DAFB" w14:textId="74531D2E" w:rsidR="00003BFA" w:rsidRPr="00353DAB" w:rsidRDefault="00003BFA" w:rsidP="00003BFA">
      <w:pPr>
        <w:pStyle w:val="SingleTxtG"/>
        <w:tabs>
          <w:tab w:val="left" w:pos="1701"/>
          <w:tab w:val="right" w:leader="dot" w:pos="8505"/>
        </w:tabs>
        <w:ind w:left="1701" w:hanging="567"/>
      </w:pPr>
      <w:r w:rsidRPr="00353DAB">
        <w:t>3.1</w:t>
      </w:r>
      <w:r w:rsidRPr="00353DAB">
        <w:tab/>
        <w:t>Emplacement de cette marque</w:t>
      </w:r>
      <w:r w:rsidR="006A6E78">
        <w:t> :</w:t>
      </w:r>
      <w:r>
        <w:tab/>
      </w:r>
    </w:p>
    <w:p w14:paraId="6FC798E9" w14:textId="3626A736" w:rsidR="00003BFA" w:rsidRPr="00353DAB" w:rsidRDefault="00003BFA" w:rsidP="00003BFA">
      <w:pPr>
        <w:pStyle w:val="SingleTxtG"/>
        <w:tabs>
          <w:tab w:val="left" w:pos="1701"/>
          <w:tab w:val="right" w:leader="dot" w:pos="8505"/>
        </w:tabs>
        <w:ind w:left="1701" w:hanging="567"/>
      </w:pPr>
      <w:r w:rsidRPr="00353DAB">
        <w:t>4.</w:t>
      </w:r>
      <w:r w:rsidRPr="00353DAB">
        <w:tab/>
        <w:t>Catégorie(s) du véhicule</w:t>
      </w:r>
      <w:r w:rsidR="006A6E78">
        <w:t> :</w:t>
      </w:r>
      <w:r w:rsidRPr="00353DAB">
        <w:tab/>
      </w:r>
    </w:p>
    <w:p w14:paraId="574218A8" w14:textId="2FE856EF" w:rsidR="00003BFA" w:rsidRPr="00353DAB" w:rsidRDefault="00003BFA" w:rsidP="00003BFA">
      <w:pPr>
        <w:pStyle w:val="SingleTxtG"/>
        <w:tabs>
          <w:tab w:val="left" w:pos="1701"/>
          <w:tab w:val="right" w:leader="dot" w:pos="8505"/>
        </w:tabs>
        <w:ind w:left="1701" w:hanging="567"/>
      </w:pPr>
      <w:r w:rsidRPr="00353DAB">
        <w:t>5.</w:t>
      </w:r>
      <w:r w:rsidRPr="00353DAB">
        <w:tab/>
        <w:t>Nom et adresse du constructeur ou de son représentant</w:t>
      </w:r>
      <w:r w:rsidR="006A6E78">
        <w:t> :</w:t>
      </w:r>
      <w:r>
        <w:tab/>
      </w:r>
    </w:p>
    <w:p w14:paraId="1DB8C22B" w14:textId="01059572" w:rsidR="00003BFA" w:rsidRPr="00353DAB" w:rsidRDefault="00003BFA" w:rsidP="00003BFA">
      <w:pPr>
        <w:pStyle w:val="SingleTxtG"/>
        <w:tabs>
          <w:tab w:val="left" w:pos="1701"/>
          <w:tab w:val="right" w:leader="dot" w:pos="8505"/>
        </w:tabs>
        <w:ind w:left="1701" w:hanging="567"/>
      </w:pPr>
      <w:r w:rsidRPr="00353DAB">
        <w:t>6.</w:t>
      </w:r>
      <w:r w:rsidRPr="00353DAB">
        <w:tab/>
        <w:t>Nom(s) et adresse(s) de l</w:t>
      </w:r>
      <w:r>
        <w:t>’</w:t>
      </w:r>
      <w:r w:rsidRPr="00353DAB">
        <w:t>atelier (des ateliers) de montage</w:t>
      </w:r>
      <w:r w:rsidR="006A6E78">
        <w:t> :</w:t>
      </w:r>
      <w:r>
        <w:tab/>
      </w:r>
    </w:p>
    <w:p w14:paraId="53FDBCFE" w14:textId="79781176" w:rsidR="00003BFA" w:rsidRPr="00353DAB" w:rsidRDefault="00003BFA" w:rsidP="00003BFA">
      <w:pPr>
        <w:pStyle w:val="SingleTxtG"/>
        <w:tabs>
          <w:tab w:val="left" w:pos="1701"/>
          <w:tab w:val="right" w:leader="dot" w:pos="8505"/>
        </w:tabs>
        <w:ind w:left="1701" w:hanging="567"/>
        <w:jc w:val="left"/>
      </w:pPr>
      <w:r w:rsidRPr="00353DAB">
        <w:t>7.</w:t>
      </w:r>
      <w:r w:rsidRPr="00353DAB">
        <w:tab/>
        <w:t>Numéro du certificat de conformité du système de gestion des mises à jour logicielles</w:t>
      </w:r>
      <w:r w:rsidR="006A6E78">
        <w:t> :</w:t>
      </w:r>
      <w:r>
        <w:tab/>
      </w:r>
    </w:p>
    <w:p w14:paraId="48484027" w14:textId="35D0928F" w:rsidR="00003BFA" w:rsidRPr="00353DAB" w:rsidRDefault="00003BFA" w:rsidP="00003BFA">
      <w:pPr>
        <w:pStyle w:val="SingleTxtG"/>
        <w:tabs>
          <w:tab w:val="left" w:pos="1701"/>
          <w:tab w:val="right" w:leader="dot" w:pos="8505"/>
        </w:tabs>
        <w:ind w:left="1701" w:hanging="567"/>
      </w:pPr>
      <w:r w:rsidRPr="00353DAB">
        <w:t>8.</w:t>
      </w:r>
      <w:r w:rsidRPr="00353DAB">
        <w:tab/>
        <w:t>Mises à jour logicielles à distance incluses (oui/non)</w:t>
      </w:r>
      <w:r w:rsidR="006A6E78">
        <w:t> :</w:t>
      </w:r>
      <w:r>
        <w:tab/>
      </w:r>
    </w:p>
    <w:p w14:paraId="16D1F6E1" w14:textId="38BB1849" w:rsidR="00003BFA" w:rsidRPr="00353DAB" w:rsidRDefault="00003BFA" w:rsidP="00003BFA">
      <w:pPr>
        <w:pStyle w:val="SingleTxtG"/>
        <w:tabs>
          <w:tab w:val="left" w:pos="1701"/>
          <w:tab w:val="right" w:leader="dot" w:pos="8505"/>
        </w:tabs>
        <w:ind w:left="1701" w:hanging="567"/>
      </w:pPr>
      <w:r w:rsidRPr="00353DAB">
        <w:t>9.</w:t>
      </w:r>
      <w:r w:rsidRPr="00353DAB">
        <w:tab/>
        <w:t>Service technique chargé des essais</w:t>
      </w:r>
      <w:r w:rsidR="006A6E78">
        <w:t> :</w:t>
      </w:r>
      <w:r>
        <w:tab/>
      </w:r>
    </w:p>
    <w:p w14:paraId="0FF8DFFF" w14:textId="0F922700" w:rsidR="00003BFA" w:rsidRPr="00353DAB" w:rsidRDefault="00003BFA" w:rsidP="00003BFA">
      <w:pPr>
        <w:pStyle w:val="SingleTxtG"/>
        <w:tabs>
          <w:tab w:val="left" w:pos="1701"/>
          <w:tab w:val="right" w:leader="dot" w:pos="8505"/>
        </w:tabs>
        <w:ind w:left="1701" w:hanging="567"/>
      </w:pPr>
      <w:r w:rsidRPr="00353DAB">
        <w:t>10.</w:t>
      </w:r>
      <w:r w:rsidRPr="00353DAB">
        <w:tab/>
        <w:t>Date du procès-verbal d</w:t>
      </w:r>
      <w:r>
        <w:t>’</w:t>
      </w:r>
      <w:r w:rsidRPr="00353DAB">
        <w:t>essai</w:t>
      </w:r>
      <w:r w:rsidR="006A6E78">
        <w:t> :</w:t>
      </w:r>
      <w:r>
        <w:tab/>
      </w:r>
    </w:p>
    <w:p w14:paraId="59B5ED56" w14:textId="0C77AD5F" w:rsidR="00003BFA" w:rsidRPr="00353DAB" w:rsidRDefault="00003BFA" w:rsidP="00003BFA">
      <w:pPr>
        <w:pStyle w:val="SingleTxtG"/>
        <w:tabs>
          <w:tab w:val="left" w:pos="1701"/>
          <w:tab w:val="right" w:leader="dot" w:pos="8505"/>
        </w:tabs>
        <w:ind w:left="1701" w:hanging="567"/>
      </w:pPr>
      <w:r w:rsidRPr="00353DAB">
        <w:t>11.</w:t>
      </w:r>
      <w:r w:rsidRPr="00353DAB">
        <w:tab/>
        <w:t>Numéro du procès-verbal d</w:t>
      </w:r>
      <w:r>
        <w:t>’</w:t>
      </w:r>
      <w:r w:rsidRPr="00353DAB">
        <w:t>essai</w:t>
      </w:r>
      <w:r w:rsidR="006A6E78">
        <w:t> :</w:t>
      </w:r>
      <w:r>
        <w:tab/>
      </w:r>
    </w:p>
    <w:p w14:paraId="335EE2D2" w14:textId="2E27C0ED" w:rsidR="00003BFA" w:rsidRPr="00353DAB" w:rsidRDefault="00003BFA" w:rsidP="00003BFA">
      <w:pPr>
        <w:pStyle w:val="SingleTxtG"/>
        <w:tabs>
          <w:tab w:val="left" w:pos="1701"/>
          <w:tab w:val="right" w:leader="dot" w:pos="8505"/>
        </w:tabs>
        <w:ind w:left="1701" w:hanging="567"/>
      </w:pPr>
      <w:r w:rsidRPr="00353DAB">
        <w:t>12.</w:t>
      </w:r>
      <w:r w:rsidRPr="00353DAB">
        <w:tab/>
        <w:t>Remarques (le cas échéant)</w:t>
      </w:r>
      <w:r w:rsidR="006A6E78">
        <w:t> :</w:t>
      </w:r>
      <w:r>
        <w:tab/>
      </w:r>
    </w:p>
    <w:p w14:paraId="5A305F50" w14:textId="7AEBC6E1" w:rsidR="00003BFA" w:rsidRPr="00353DAB" w:rsidRDefault="00003BFA" w:rsidP="00003BFA">
      <w:pPr>
        <w:pStyle w:val="SingleTxtG"/>
        <w:tabs>
          <w:tab w:val="left" w:pos="1701"/>
          <w:tab w:val="right" w:leader="dot" w:pos="8505"/>
        </w:tabs>
        <w:ind w:left="1701" w:hanging="567"/>
      </w:pPr>
      <w:r w:rsidRPr="00353DAB">
        <w:t>13.</w:t>
      </w:r>
      <w:r w:rsidRPr="00353DAB">
        <w:tab/>
        <w:t>Lieu</w:t>
      </w:r>
      <w:r w:rsidR="006A6E78">
        <w:t> :</w:t>
      </w:r>
      <w:r>
        <w:tab/>
      </w:r>
    </w:p>
    <w:p w14:paraId="0CC575C7" w14:textId="38CDDE3B" w:rsidR="00003BFA" w:rsidRPr="00353DAB" w:rsidRDefault="00003BFA" w:rsidP="00003BFA">
      <w:pPr>
        <w:pStyle w:val="SingleTxtG"/>
        <w:tabs>
          <w:tab w:val="left" w:pos="1701"/>
          <w:tab w:val="right" w:leader="dot" w:pos="8505"/>
        </w:tabs>
        <w:ind w:left="1701" w:hanging="567"/>
      </w:pPr>
      <w:r w:rsidRPr="00353DAB">
        <w:t>14.</w:t>
      </w:r>
      <w:r w:rsidRPr="00353DAB">
        <w:tab/>
        <w:t>Date</w:t>
      </w:r>
      <w:r w:rsidR="006A6E78">
        <w:t> :</w:t>
      </w:r>
      <w:r>
        <w:tab/>
      </w:r>
    </w:p>
    <w:p w14:paraId="0E44147C" w14:textId="5FA02E71" w:rsidR="00003BFA" w:rsidRPr="00353DAB" w:rsidRDefault="00003BFA" w:rsidP="00003BFA">
      <w:pPr>
        <w:pStyle w:val="SingleTxtG"/>
        <w:tabs>
          <w:tab w:val="left" w:pos="1701"/>
          <w:tab w:val="right" w:leader="dot" w:pos="8505"/>
        </w:tabs>
        <w:ind w:left="1701" w:hanging="567"/>
      </w:pPr>
      <w:r w:rsidRPr="00353DAB">
        <w:t>15.</w:t>
      </w:r>
      <w:r w:rsidRPr="00353DAB">
        <w:tab/>
        <w:t>Signature</w:t>
      </w:r>
      <w:r w:rsidR="006A6E78">
        <w:t> :</w:t>
      </w:r>
      <w:r>
        <w:tab/>
      </w:r>
    </w:p>
    <w:p w14:paraId="4DE42A7D" w14:textId="68E6C33A" w:rsidR="00476ACF" w:rsidRDefault="00003BFA" w:rsidP="00C10858">
      <w:pPr>
        <w:pStyle w:val="SingleTxtG"/>
        <w:jc w:val="left"/>
      </w:pPr>
      <w:r w:rsidRPr="00353DAB">
        <w:t>16.</w:t>
      </w:r>
      <w:r w:rsidRPr="00353DAB">
        <w:tab/>
        <w:t xml:space="preserve">On trouvera en </w:t>
      </w:r>
      <w:r w:rsidR="00CD7431">
        <w:t xml:space="preserve">annexe </w:t>
      </w:r>
      <w:r w:rsidRPr="00353DAB">
        <w:t>la liste des documents du dossier d</w:t>
      </w:r>
      <w:r>
        <w:t>’</w:t>
      </w:r>
      <w:r w:rsidRPr="00353DAB">
        <w:t>homologation déposé auprès de l</w:t>
      </w:r>
      <w:r>
        <w:t>’</w:t>
      </w:r>
      <w:r w:rsidRPr="00353DAB">
        <w:t>autorité d</w:t>
      </w:r>
      <w:r>
        <w:t>’</w:t>
      </w:r>
      <w:r w:rsidRPr="00353DAB">
        <w:t>homologation, qui peut être obtenu sur demande.</w:t>
      </w:r>
    </w:p>
    <w:p w14:paraId="0F3DC385" w14:textId="5CF21388" w:rsidR="00F3595C" w:rsidRDefault="00F3595C" w:rsidP="008F417A">
      <w:pPr>
        <w:sectPr w:rsidR="00F3595C" w:rsidSect="003D46E4">
          <w:headerReference w:type="even" r:id="rId22"/>
          <w:headerReference w:type="default" r:id="rId23"/>
          <w:footerReference w:type="even" r:id="rId24"/>
          <w:footerReference w:type="default" r:id="rId25"/>
          <w:footnotePr>
            <w:numRestart w:val="eachSect"/>
          </w:footnotePr>
          <w:endnotePr>
            <w:numFmt w:val="decimal"/>
          </w:endnotePr>
          <w:pgSz w:w="11907" w:h="16840" w:code="9"/>
          <w:pgMar w:top="1417" w:right="1134" w:bottom="1134" w:left="1134" w:header="850" w:footer="567" w:gutter="0"/>
          <w:cols w:space="720"/>
          <w:docGrid w:linePitch="272"/>
        </w:sectPr>
      </w:pPr>
    </w:p>
    <w:p w14:paraId="006F4898" w14:textId="7B8CB612" w:rsidR="00476ACF" w:rsidRPr="00353DAB" w:rsidRDefault="00CD7431" w:rsidP="00F3595C">
      <w:pPr>
        <w:pStyle w:val="HChG"/>
      </w:pPr>
      <w:r>
        <w:lastRenderedPageBreak/>
        <w:t xml:space="preserve">Annexe </w:t>
      </w:r>
      <w:r w:rsidR="00476ACF" w:rsidRPr="00353DAB">
        <w:t>3</w:t>
      </w:r>
    </w:p>
    <w:p w14:paraId="48409ECC" w14:textId="77777777" w:rsidR="00476ACF" w:rsidRPr="00353DAB" w:rsidRDefault="00476ACF" w:rsidP="00F3595C">
      <w:pPr>
        <w:pStyle w:val="HChG"/>
      </w:pPr>
      <w:r w:rsidRPr="00353DAB">
        <w:tab/>
      </w:r>
      <w:r w:rsidRPr="00353DAB">
        <w:tab/>
        <w:t>Exemple de marque d</w:t>
      </w:r>
      <w:r>
        <w:t>’</w:t>
      </w:r>
      <w:r w:rsidRPr="00353DAB">
        <w:t>homologation</w:t>
      </w:r>
    </w:p>
    <w:p w14:paraId="3B9AA790" w14:textId="4DEBA2C2" w:rsidR="00F3595C" w:rsidRPr="00F3595C" w:rsidRDefault="00476ACF" w:rsidP="00F3595C">
      <w:pPr>
        <w:pStyle w:val="Heading1"/>
        <w:rPr>
          <w:b/>
          <w:bCs/>
        </w:rPr>
      </w:pPr>
      <w:r w:rsidRPr="00F3595C">
        <w:rPr>
          <w:b/>
          <w:bCs/>
        </w:rPr>
        <w:t>Modèle A</w:t>
      </w:r>
    </w:p>
    <w:p w14:paraId="7218DF0F" w14:textId="244D8E1A" w:rsidR="00476ACF" w:rsidRPr="00F3595C" w:rsidRDefault="00476ACF" w:rsidP="00F3595C">
      <w:pPr>
        <w:pStyle w:val="SingleTxtG"/>
        <w:keepNext/>
      </w:pPr>
      <w:r w:rsidRPr="00F3595C">
        <w:t xml:space="preserve">(Voir le </w:t>
      </w:r>
      <w:r w:rsidR="00CD7431" w:rsidRPr="00F3595C">
        <w:t xml:space="preserve">paragraphe </w:t>
      </w:r>
      <w:r w:rsidRPr="00F3595C">
        <w:t>4.2 du présent Règlement)</w:t>
      </w:r>
    </w:p>
    <w:p w14:paraId="3F323DC8" w14:textId="77777777" w:rsidR="00476ACF" w:rsidRPr="00353DAB" w:rsidRDefault="00476ACF" w:rsidP="00B5157A">
      <w:pPr>
        <w:pStyle w:val="SingleTxtG"/>
      </w:pPr>
      <w:r w:rsidRPr="00353DAB">
        <w:rPr>
          <w:rFonts w:ascii="Calibri" w:eastAsia="Malgun Gothic" w:hAnsi="Calibri"/>
          <w:noProof/>
        </w:rPr>
        <mc:AlternateContent>
          <mc:Choice Requires="wps">
            <w:drawing>
              <wp:anchor distT="0" distB="0" distL="114300" distR="114300" simplePos="0" relativeHeight="251661312" behindDoc="0" locked="0" layoutInCell="1" allowOverlap="1" wp14:anchorId="200C7777" wp14:editId="3B661135">
                <wp:simplePos x="0" y="0"/>
                <wp:positionH relativeFrom="column">
                  <wp:posOffset>2618635</wp:posOffset>
                </wp:positionH>
                <wp:positionV relativeFrom="paragraph">
                  <wp:posOffset>287020</wp:posOffset>
                </wp:positionV>
                <wp:extent cx="1896117" cy="547011"/>
                <wp:effectExtent l="0" t="0" r="27940" b="2476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6117" cy="547011"/>
                        </a:xfrm>
                        <a:prstGeom prst="rect">
                          <a:avLst/>
                        </a:prstGeom>
                        <a:solidFill>
                          <a:sysClr val="window" lastClr="FFFFFF"/>
                        </a:solidFill>
                        <a:ln w="12700" cap="flat" cmpd="sng" algn="ctr">
                          <a:solidFill>
                            <a:sysClr val="window" lastClr="FFFFFF"/>
                          </a:solidFill>
                          <a:prstDash val="solid"/>
                          <a:miter lim="800000"/>
                        </a:ln>
                        <a:effectLst/>
                      </wps:spPr>
                      <wps:txbx>
                        <w:txbxContent>
                          <w:p w14:paraId="69D35811" w14:textId="4EE17C30" w:rsidR="00476ACF" w:rsidRPr="00F3595C" w:rsidRDefault="00476ACF" w:rsidP="00F3595C">
                            <w:pPr>
                              <w:rPr>
                                <w:b/>
                                <w:bCs/>
                                <w:sz w:val="38"/>
                                <w:szCs w:val="38"/>
                              </w:rPr>
                            </w:pPr>
                            <w:r w:rsidRPr="00F3595C">
                              <w:rPr>
                                <w:b/>
                                <w:bCs/>
                                <w:sz w:val="38"/>
                                <w:szCs w:val="38"/>
                              </w:rPr>
                              <w:t>156</w:t>
                            </w:r>
                            <w:r w:rsidR="00F3595C">
                              <w:rPr>
                                <w:b/>
                                <w:bCs/>
                                <w:sz w:val="38"/>
                                <w:szCs w:val="38"/>
                              </w:rPr>
                              <w:t xml:space="preserve">  R  -  001234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C7777" id="Rectangle 35" o:spid="_x0000_s1027" style="position:absolute;left:0;text-align:left;margin-left:206.2pt;margin-top:22.6pt;width:149.3pt;height:4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" fillcolor="window" strokecolor="window" strokeweight="1pt">
                <v:path arrowok="t"/>
                <v:textbox inset="0,0,0,0">
                  <w:txbxContent>
                    <w:p w14:paraId="69D35811" w14:textId="4EE17C30" w:rsidR="00476ACF" w:rsidRPr="00F3595C" w:rsidRDefault="00476ACF" w:rsidP="00F3595C">
                      <w:pPr>
                        <w:rPr>
                          <w:b/>
                          <w:bCs/>
                          <w:sz w:val="38"/>
                          <w:szCs w:val="38"/>
                        </w:rPr>
                      </w:pPr>
                      <w:r w:rsidRPr="00F3595C">
                        <w:rPr>
                          <w:b/>
                          <w:bCs/>
                          <w:sz w:val="38"/>
                          <w:szCs w:val="38"/>
                        </w:rPr>
                        <w:t>156</w:t>
                      </w:r>
                      <w:r w:rsidR="00F3595C">
                        <w:rPr>
                          <w:b/>
                          <w:bCs/>
                          <w:sz w:val="38"/>
                          <w:szCs w:val="38"/>
                        </w:rPr>
                        <w:t xml:space="preserve">  R  -  001234</w:t>
                      </w:r>
                    </w:p>
                  </w:txbxContent>
                </v:textbox>
              </v:rect>
            </w:pict>
          </mc:Fallback>
        </mc:AlternateContent>
      </w:r>
      <w:r w:rsidRPr="00353DAB">
        <w:rPr>
          <w:noProof/>
        </w:rPr>
        <w:drawing>
          <wp:inline distT="0" distB="0" distL="0" distR="0" wp14:anchorId="27A2FF6E" wp14:editId="332DF654">
            <wp:extent cx="4347972" cy="10103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93152" cy="1020877"/>
                    </a:xfrm>
                    <a:prstGeom prst="rect">
                      <a:avLst/>
                    </a:prstGeom>
                    <a:noFill/>
                    <a:ln>
                      <a:noFill/>
                    </a:ln>
                  </pic:spPr>
                </pic:pic>
              </a:graphicData>
            </a:graphic>
          </wp:inline>
        </w:drawing>
      </w:r>
    </w:p>
    <w:p w14:paraId="0578FAE6" w14:textId="77777777" w:rsidR="00476ACF" w:rsidRPr="00353DAB" w:rsidRDefault="00476ACF" w:rsidP="00F3595C">
      <w:pPr>
        <w:pStyle w:val="SingleTxtG"/>
        <w:jc w:val="right"/>
      </w:pPr>
      <w:r w:rsidRPr="00353DAB">
        <w:t>a = 8 mm min.</w:t>
      </w:r>
    </w:p>
    <w:p w14:paraId="0D3E09D9" w14:textId="39BAC790" w:rsidR="00476ACF" w:rsidRDefault="00476ACF" w:rsidP="00476ACF">
      <w:pPr>
        <w:pStyle w:val="SingleTxtG"/>
        <w:ind w:firstLine="567"/>
      </w:pPr>
      <w:r w:rsidRPr="00353DAB">
        <w:t>La marque d</w:t>
      </w:r>
      <w:r>
        <w:t>’</w:t>
      </w:r>
      <w:r w:rsidRPr="00353DAB">
        <w:t>homologation ci-dessus, apposée sur un véhicule, indique que le type de ce véhicule a été homologué aux Pays-Bas (E 4), en application du Règlement n</w:t>
      </w:r>
      <w:r w:rsidRPr="00353DAB">
        <w:rPr>
          <w:vertAlign w:val="superscript"/>
        </w:rPr>
        <w:t>o</w:t>
      </w:r>
      <w:r w:rsidRPr="00353DAB">
        <w:t> </w:t>
      </w:r>
      <w:r>
        <w:rPr>
          <w:lang w:val="fr-FR"/>
        </w:rPr>
        <w:t>156</w:t>
      </w:r>
      <w:r w:rsidRPr="00353DAB">
        <w:t>, sous le numéro d</w:t>
      </w:r>
      <w:r>
        <w:t>’</w:t>
      </w:r>
      <w:r w:rsidRPr="00353DAB">
        <w:t>homologation</w:t>
      </w:r>
      <w:r w:rsidR="00F3595C">
        <w:t xml:space="preserve"> </w:t>
      </w:r>
      <w:r w:rsidRPr="00353DAB">
        <w:t>001234. Les deux premiers chiffres du numéro d</w:t>
      </w:r>
      <w:r>
        <w:t>’</w:t>
      </w:r>
      <w:r w:rsidRPr="00353DAB">
        <w:t>homologation (00) signifient que l</w:t>
      </w:r>
      <w:r>
        <w:t>’</w:t>
      </w:r>
      <w:r w:rsidRPr="00353DAB">
        <w:t>homologation a été délivrée conformément aux prescriptions dudit Règlement sous sa forme originale.</w:t>
      </w:r>
    </w:p>
    <w:p w14:paraId="4D86BBC6" w14:textId="77777777" w:rsidR="00F3595C" w:rsidRDefault="00F3595C" w:rsidP="00476ACF">
      <w:pPr>
        <w:pStyle w:val="SingleTxtG"/>
        <w:ind w:firstLine="567"/>
      </w:pPr>
    </w:p>
    <w:p w14:paraId="211A168C" w14:textId="77777777" w:rsidR="00F64332" w:rsidRDefault="00F64332" w:rsidP="005F0207">
      <w:pPr>
        <w:sectPr w:rsidR="00F64332" w:rsidSect="00476ACF">
          <w:headerReference w:type="even" r:id="rId27"/>
          <w:headerReference w:type="default" r:id="rId28"/>
          <w:footerReference w:type="even" r:id="rId29"/>
          <w:footerReference w:type="default" r:id="rId30"/>
          <w:endnotePr>
            <w:numFmt w:val="decimal"/>
          </w:endnotePr>
          <w:pgSz w:w="11907" w:h="16840" w:code="9"/>
          <w:pgMar w:top="1417" w:right="1134" w:bottom="1134" w:left="1134" w:header="850" w:footer="567" w:gutter="0"/>
          <w:cols w:space="720"/>
          <w:docGrid w:linePitch="272"/>
        </w:sectPr>
      </w:pPr>
    </w:p>
    <w:p w14:paraId="657A7576" w14:textId="49127504" w:rsidR="00F64332" w:rsidRPr="00353DAB" w:rsidRDefault="00CD7431" w:rsidP="00F64332">
      <w:pPr>
        <w:pStyle w:val="HChG"/>
      </w:pPr>
      <w:r>
        <w:lastRenderedPageBreak/>
        <w:t xml:space="preserve">Annexe </w:t>
      </w:r>
      <w:r w:rsidR="00F64332" w:rsidRPr="00353DAB">
        <w:t>4</w:t>
      </w:r>
    </w:p>
    <w:p w14:paraId="25F91459" w14:textId="77777777" w:rsidR="00F64332" w:rsidRPr="00353DAB" w:rsidRDefault="00F64332" w:rsidP="00F64332">
      <w:pPr>
        <w:pStyle w:val="HChG"/>
      </w:pPr>
      <w:r w:rsidRPr="00353DAB">
        <w:tab/>
      </w:r>
      <w:r w:rsidRPr="00353DAB">
        <w:tab/>
        <w:t>Modèle de certificat de conformité du système de gestion des </w:t>
      </w:r>
      <w:bookmarkStart w:id="20" w:name="_Hlk27400213"/>
      <w:r w:rsidRPr="00353DAB">
        <w:t>mises à jour logicielles</w:t>
      </w:r>
      <w:bookmarkEnd w:id="20"/>
    </w:p>
    <w:p w14:paraId="5F8E640F" w14:textId="77777777" w:rsidR="00F64332" w:rsidRPr="00C10858" w:rsidRDefault="00F64332" w:rsidP="00F64332">
      <w:pPr>
        <w:pStyle w:val="SingleTxtG"/>
        <w:spacing w:line="300" w:lineRule="atLeast"/>
        <w:jc w:val="center"/>
        <w:rPr>
          <w:b/>
          <w:sz w:val="24"/>
          <w:szCs w:val="24"/>
        </w:rPr>
      </w:pPr>
      <w:r w:rsidRPr="00C10858">
        <w:rPr>
          <w:b/>
          <w:sz w:val="24"/>
          <w:szCs w:val="24"/>
        </w:rPr>
        <w:t xml:space="preserve">CERTIFICAT DE CONFORMITÉ DU SYSTÈME DE GESTION </w:t>
      </w:r>
      <w:r w:rsidRPr="00C10858">
        <w:rPr>
          <w:b/>
          <w:sz w:val="24"/>
          <w:szCs w:val="24"/>
        </w:rPr>
        <w:br/>
        <w:t>DES MISES À JOUR LOGICIELLES</w:t>
      </w:r>
    </w:p>
    <w:p w14:paraId="74A18975" w14:textId="2C2B1DE4" w:rsidR="00F64332" w:rsidRPr="00353DAB" w:rsidRDefault="00F64332" w:rsidP="00F64332">
      <w:pPr>
        <w:pStyle w:val="SingleTxtG"/>
        <w:jc w:val="center"/>
      </w:pPr>
      <w:r w:rsidRPr="00353DAB">
        <w:t xml:space="preserve">avec le </w:t>
      </w:r>
      <w:r w:rsidRPr="00353DAB">
        <w:rPr>
          <w:rFonts w:eastAsiaTheme="minorEastAsia" w:cstheme="minorBidi"/>
          <w:szCs w:val="22"/>
        </w:rPr>
        <w:t>Règlement</w:t>
      </w:r>
      <w:r w:rsidRPr="00353DAB">
        <w:t xml:space="preserve"> ONU n</w:t>
      </w:r>
      <w:r w:rsidRPr="00353DAB">
        <w:rPr>
          <w:vertAlign w:val="superscript"/>
        </w:rPr>
        <w:t>o</w:t>
      </w:r>
      <w:r w:rsidR="0010479E">
        <w:t> </w:t>
      </w:r>
      <w:r>
        <w:t>156</w:t>
      </w:r>
    </w:p>
    <w:p w14:paraId="742350ED" w14:textId="77777777" w:rsidR="00F64332" w:rsidRPr="00353DAB" w:rsidRDefault="00F64332" w:rsidP="00F64332">
      <w:pPr>
        <w:pStyle w:val="SingleTxtG"/>
        <w:jc w:val="center"/>
      </w:pPr>
      <w:bookmarkStart w:id="21" w:name="_Hlk25675232"/>
      <w:r w:rsidRPr="00353DAB">
        <w:rPr>
          <w:rFonts w:eastAsia="Malgun Gothic" w:cstheme="minorBidi"/>
          <w:szCs w:val="22"/>
        </w:rPr>
        <w:t>Numéro</w:t>
      </w:r>
      <w:r w:rsidRPr="00353DAB">
        <w:t xml:space="preserve"> de certificat [</w:t>
      </w:r>
      <w:r w:rsidRPr="00353DAB">
        <w:rPr>
          <w:i/>
          <w:iCs/>
        </w:rPr>
        <w:t>numéro de référence</w:t>
      </w:r>
      <w:r w:rsidRPr="00353DAB">
        <w:t>]</w:t>
      </w:r>
      <w:bookmarkEnd w:id="21"/>
    </w:p>
    <w:p w14:paraId="09E48505" w14:textId="2E6AFCD6" w:rsidR="00F64332" w:rsidRPr="00353DAB" w:rsidRDefault="00F64332" w:rsidP="0010479E">
      <w:pPr>
        <w:pStyle w:val="SingleTxtG"/>
        <w:tabs>
          <w:tab w:val="right" w:leader="dot" w:pos="4253"/>
        </w:tabs>
        <w:jc w:val="center"/>
      </w:pPr>
      <w:r w:rsidRPr="00353DAB">
        <w:t>[</w:t>
      </w:r>
      <w:r w:rsidR="0010479E">
        <w:tab/>
      </w:r>
      <w:r w:rsidRPr="00353DAB">
        <w:t xml:space="preserve"> </w:t>
      </w:r>
      <w:r w:rsidRPr="00353DAB">
        <w:rPr>
          <w:i/>
          <w:iCs/>
        </w:rPr>
        <w:t>autorité d</w:t>
      </w:r>
      <w:r>
        <w:rPr>
          <w:i/>
          <w:iCs/>
        </w:rPr>
        <w:t>’</w:t>
      </w:r>
      <w:r w:rsidRPr="00353DAB">
        <w:rPr>
          <w:i/>
          <w:iCs/>
        </w:rPr>
        <w:t>homologation</w:t>
      </w:r>
      <w:r w:rsidRPr="00353DAB">
        <w:t>]</w:t>
      </w:r>
    </w:p>
    <w:p w14:paraId="1ECFBA1B" w14:textId="77777777" w:rsidR="00F64332" w:rsidRPr="00353DAB" w:rsidRDefault="00F64332" w:rsidP="00F64332">
      <w:pPr>
        <w:pStyle w:val="SingleTxtG"/>
        <w:jc w:val="center"/>
      </w:pPr>
      <w:r w:rsidRPr="00353DAB">
        <w:t>Certifie que</w:t>
      </w:r>
    </w:p>
    <w:p w14:paraId="22235482" w14:textId="0A6A96FE" w:rsidR="00F64332" w:rsidRPr="00353DAB" w:rsidRDefault="00F64332" w:rsidP="00F64332">
      <w:pPr>
        <w:pStyle w:val="SingleTxtG"/>
        <w:tabs>
          <w:tab w:val="left" w:pos="1701"/>
          <w:tab w:val="right" w:leader="dot" w:pos="8505"/>
        </w:tabs>
        <w:ind w:left="1701" w:hanging="567"/>
      </w:pPr>
      <w:r w:rsidRPr="00353DAB">
        <w:t xml:space="preserve">Nom du </w:t>
      </w:r>
      <w:r w:rsidRPr="00353DAB">
        <w:rPr>
          <w:rFonts w:eastAsiaTheme="minorEastAsia" w:cstheme="minorBidi"/>
          <w:szCs w:val="22"/>
        </w:rPr>
        <w:t>constructeur</w:t>
      </w:r>
      <w:r w:rsidR="006A6E78">
        <w:t> :</w:t>
      </w:r>
      <w:r>
        <w:tab/>
      </w:r>
    </w:p>
    <w:p w14:paraId="406DC9A1" w14:textId="506FB819" w:rsidR="00F64332" w:rsidRPr="00353DAB" w:rsidRDefault="00F64332" w:rsidP="00F64332">
      <w:pPr>
        <w:pStyle w:val="SingleTxtG"/>
        <w:tabs>
          <w:tab w:val="left" w:pos="1701"/>
          <w:tab w:val="right" w:leader="dot" w:pos="8505"/>
        </w:tabs>
        <w:ind w:left="1701" w:hanging="567"/>
      </w:pPr>
      <w:r w:rsidRPr="00353DAB">
        <w:t>Adresse du constructeur</w:t>
      </w:r>
      <w:r w:rsidR="006A6E78">
        <w:t> :</w:t>
      </w:r>
      <w:r>
        <w:tab/>
      </w:r>
    </w:p>
    <w:p w14:paraId="4EDD0D7D" w14:textId="77777777" w:rsidR="00F64332" w:rsidRPr="00353DAB" w:rsidRDefault="00F64332" w:rsidP="00F64332">
      <w:pPr>
        <w:pStyle w:val="SingleTxtG"/>
      </w:pPr>
      <w:r w:rsidRPr="00353DAB">
        <w:t>est en conformité avec les dispositions du Règlement n</w:t>
      </w:r>
      <w:r w:rsidRPr="00353DAB">
        <w:rPr>
          <w:vertAlign w:val="superscript"/>
        </w:rPr>
        <w:t>o</w:t>
      </w:r>
      <w:r>
        <w:t> </w:t>
      </w:r>
      <w:r w:rsidRPr="00353DAB">
        <w:t>[</w:t>
      </w:r>
      <w:r w:rsidRPr="00353DAB">
        <w:rPr>
          <w:i/>
          <w:iCs/>
        </w:rPr>
        <w:t>le présent Règlement</w:t>
      </w:r>
      <w:r w:rsidRPr="00353DAB">
        <w:t>]</w:t>
      </w:r>
    </w:p>
    <w:p w14:paraId="115B52C0" w14:textId="540020C1" w:rsidR="00F64332" w:rsidRPr="00353DAB" w:rsidRDefault="00F64332" w:rsidP="00F64332">
      <w:pPr>
        <w:pStyle w:val="SingleTxtG"/>
        <w:tabs>
          <w:tab w:val="left" w:pos="1701"/>
          <w:tab w:val="right" w:leader="dot" w:pos="8505"/>
        </w:tabs>
        <w:ind w:left="1701" w:hanging="567"/>
      </w:pPr>
      <w:r w:rsidRPr="00353DAB">
        <w:t>Des contrôles ont été effectués le</w:t>
      </w:r>
      <w:r w:rsidR="006A6E78">
        <w:t> :</w:t>
      </w:r>
      <w:r>
        <w:tab/>
      </w:r>
    </w:p>
    <w:p w14:paraId="77823729" w14:textId="1B601045" w:rsidR="00F64332" w:rsidRPr="00353DAB" w:rsidRDefault="00F64332" w:rsidP="00F64332">
      <w:pPr>
        <w:pStyle w:val="SingleTxtG"/>
        <w:tabs>
          <w:tab w:val="left" w:pos="1701"/>
          <w:tab w:val="right" w:leader="dot" w:pos="8505"/>
        </w:tabs>
        <w:ind w:left="1701" w:hanging="567"/>
      </w:pPr>
      <w:r w:rsidRPr="00353DAB">
        <w:t>par (nom et adresse de l</w:t>
      </w:r>
      <w:r>
        <w:t>’</w:t>
      </w:r>
      <w:r w:rsidRPr="00353DAB">
        <w:t>autorité d</w:t>
      </w:r>
      <w:r>
        <w:t>’</w:t>
      </w:r>
      <w:r w:rsidRPr="00353DAB">
        <w:t>homologation ou du service technique)</w:t>
      </w:r>
      <w:r w:rsidR="006A6E78">
        <w:t> :</w:t>
      </w:r>
      <w:r>
        <w:tab/>
      </w:r>
    </w:p>
    <w:p w14:paraId="598B0E90" w14:textId="3783C051" w:rsidR="00F64332" w:rsidRPr="00353DAB" w:rsidRDefault="00F64332" w:rsidP="00F64332">
      <w:pPr>
        <w:pStyle w:val="SingleTxtG"/>
        <w:tabs>
          <w:tab w:val="left" w:pos="1701"/>
          <w:tab w:val="right" w:leader="dot" w:pos="8505"/>
        </w:tabs>
        <w:ind w:left="1701" w:hanging="567"/>
      </w:pPr>
      <w:r w:rsidRPr="00353DAB">
        <w:t>Numéro du procès-verbal</w:t>
      </w:r>
      <w:r w:rsidR="006A6E78">
        <w:t> :</w:t>
      </w:r>
      <w:r>
        <w:tab/>
      </w:r>
    </w:p>
    <w:p w14:paraId="46BA8F17" w14:textId="42835B8A" w:rsidR="00F64332" w:rsidRPr="00353DAB" w:rsidRDefault="00F64332" w:rsidP="00F64332">
      <w:pPr>
        <w:pStyle w:val="SingleTxtG"/>
        <w:tabs>
          <w:tab w:val="left" w:pos="1701"/>
          <w:tab w:val="right" w:leader="dot" w:pos="5812"/>
        </w:tabs>
        <w:ind w:left="1701" w:hanging="567"/>
        <w:jc w:val="center"/>
      </w:pPr>
      <w:bookmarkStart w:id="22" w:name="_Hlk25856958"/>
      <w:r w:rsidRPr="00353DAB">
        <w:t>Le présent certificat est valable jusqu</w:t>
      </w:r>
      <w:r>
        <w:t>’</w:t>
      </w:r>
      <w:r w:rsidRPr="00353DAB">
        <w:t>au</w:t>
      </w:r>
      <w:r w:rsidR="006A6E78">
        <w:t> :</w:t>
      </w:r>
      <w:r w:rsidRPr="00353DAB">
        <w:t xml:space="preserve"> [</w:t>
      </w:r>
      <w:r>
        <w:tab/>
      </w:r>
      <w:r w:rsidRPr="00353DAB">
        <w:rPr>
          <w:i/>
          <w:iCs/>
        </w:rPr>
        <w:t>date</w:t>
      </w:r>
      <w:r w:rsidRPr="00353DAB">
        <w:t>]</w:t>
      </w:r>
    </w:p>
    <w:p w14:paraId="7E104AF4" w14:textId="0B1FE496" w:rsidR="00F64332" w:rsidRPr="00353DAB" w:rsidRDefault="00F64332" w:rsidP="0010479E">
      <w:pPr>
        <w:pStyle w:val="SingleTxtG"/>
        <w:tabs>
          <w:tab w:val="left" w:leader="dot" w:pos="3686"/>
        </w:tabs>
        <w:ind w:left="1701" w:hanging="567"/>
        <w:jc w:val="center"/>
      </w:pPr>
      <w:r w:rsidRPr="00353DAB">
        <w:t>Fait à</w:t>
      </w:r>
      <w:r w:rsidR="006A6E78">
        <w:t> :</w:t>
      </w:r>
      <w:r w:rsidRPr="00353DAB">
        <w:t xml:space="preserve"> [</w:t>
      </w:r>
      <w:r>
        <w:tab/>
      </w:r>
      <w:r>
        <w:rPr>
          <w:i/>
          <w:iCs/>
        </w:rPr>
        <w:t>lieu</w:t>
      </w:r>
      <w:r w:rsidRPr="00353DAB">
        <w:t>]</w:t>
      </w:r>
    </w:p>
    <w:p w14:paraId="52187E88" w14:textId="13A371A8" w:rsidR="00F64332" w:rsidRPr="00353DAB" w:rsidRDefault="00F64332" w:rsidP="00F64332">
      <w:pPr>
        <w:pStyle w:val="SingleTxtG"/>
        <w:tabs>
          <w:tab w:val="left" w:leader="dot" w:pos="3686"/>
        </w:tabs>
        <w:ind w:left="1701" w:hanging="567"/>
        <w:jc w:val="center"/>
      </w:pPr>
      <w:r w:rsidRPr="00353DAB">
        <w:t>Le</w:t>
      </w:r>
      <w:r w:rsidR="006A6E78">
        <w:t> :</w:t>
      </w:r>
      <w:r w:rsidRPr="00353DAB">
        <w:t xml:space="preserve"> [</w:t>
      </w:r>
      <w:r>
        <w:tab/>
      </w:r>
      <w:r>
        <w:tab/>
      </w:r>
      <w:r w:rsidRPr="00353DAB">
        <w:rPr>
          <w:i/>
          <w:iCs/>
        </w:rPr>
        <w:t>date</w:t>
      </w:r>
      <w:r w:rsidRPr="00353DAB">
        <w:t>]</w:t>
      </w:r>
    </w:p>
    <w:bookmarkEnd w:id="22"/>
    <w:p w14:paraId="10BB060B" w14:textId="32FDDCA1" w:rsidR="00F64332" w:rsidRPr="00353DAB" w:rsidRDefault="00C10858" w:rsidP="00C10858">
      <w:pPr>
        <w:pStyle w:val="SingleTxtG"/>
        <w:tabs>
          <w:tab w:val="right" w:leader="dot" w:pos="4253"/>
        </w:tabs>
        <w:jc w:val="center"/>
      </w:pPr>
      <w:r>
        <w:t>[</w:t>
      </w:r>
      <w:r>
        <w:tab/>
      </w:r>
      <w:r w:rsidR="00F64332">
        <w:rPr>
          <w:i/>
          <w:iCs/>
        </w:rPr>
        <w:t>signature</w:t>
      </w:r>
      <w:r w:rsidR="00F64332" w:rsidRPr="00353DAB">
        <w:t>]</w:t>
      </w:r>
    </w:p>
    <w:p w14:paraId="54C3BAAB" w14:textId="45D5FDA0" w:rsidR="00F64332" w:rsidRPr="00F64332" w:rsidRDefault="00F64332" w:rsidP="00F64332">
      <w:pPr>
        <w:pStyle w:val="SingleTxtG"/>
        <w:spacing w:before="240" w:after="0"/>
        <w:jc w:val="center"/>
        <w:rPr>
          <w:u w:val="single"/>
        </w:rPr>
      </w:pPr>
      <w:r>
        <w:rPr>
          <w:u w:val="single"/>
        </w:rPr>
        <w:tab/>
      </w:r>
      <w:r>
        <w:rPr>
          <w:u w:val="single"/>
        </w:rPr>
        <w:tab/>
      </w:r>
      <w:r>
        <w:rPr>
          <w:u w:val="single"/>
        </w:rPr>
        <w:tab/>
      </w:r>
      <w:r>
        <w:rPr>
          <w:u w:val="single"/>
        </w:rPr>
        <w:tab/>
      </w:r>
    </w:p>
    <w:sectPr w:rsidR="00F64332" w:rsidRPr="00F64332" w:rsidSect="00F64332">
      <w:headerReference w:type="even" r:id="rId31"/>
      <w:headerReference w:type="default" r:id="rId32"/>
      <w:footerReference w:type="even" r:id="rId33"/>
      <w:footerReference w:type="default" r:id="rId34"/>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6AD05" w14:textId="77777777" w:rsidR="00DC523F" w:rsidRDefault="00DC523F"/>
  </w:endnote>
  <w:endnote w:type="continuationSeparator" w:id="0">
    <w:p w14:paraId="29A12A92" w14:textId="77777777" w:rsidR="00DC523F" w:rsidRDefault="00DC523F">
      <w:pPr>
        <w:pStyle w:val="Footer"/>
      </w:pPr>
    </w:p>
  </w:endnote>
  <w:endnote w:type="continuationNotice" w:id="1">
    <w:p w14:paraId="1FB7B821" w14:textId="77777777" w:rsidR="00DC523F" w:rsidRPr="00C451B9" w:rsidRDefault="00DC523F"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2B7A" w14:textId="77777777" w:rsidR="00E07249" w:rsidRPr="00E07249" w:rsidRDefault="00E07249" w:rsidP="00E07249">
    <w:pPr>
      <w:pStyle w:val="Footer"/>
      <w:tabs>
        <w:tab w:val="right" w:pos="9638"/>
      </w:tabs>
    </w:pPr>
    <w:r w:rsidRPr="00E07249">
      <w:rPr>
        <w:b/>
        <w:sz w:val="18"/>
      </w:rPr>
      <w:fldChar w:fldCharType="begin"/>
    </w:r>
    <w:r w:rsidRPr="00E07249">
      <w:rPr>
        <w:b/>
        <w:sz w:val="18"/>
      </w:rPr>
      <w:instrText xml:space="preserve"> PAGE  \* MERGEFORMAT </w:instrText>
    </w:r>
    <w:r w:rsidRPr="00E07249">
      <w:rPr>
        <w:b/>
        <w:sz w:val="18"/>
      </w:rPr>
      <w:fldChar w:fldCharType="separate"/>
    </w:r>
    <w:r w:rsidRPr="00E07249">
      <w:rPr>
        <w:b/>
        <w:noProof/>
        <w:sz w:val="18"/>
      </w:rPr>
      <w:t>2</w:t>
    </w:r>
    <w:r w:rsidRPr="00E07249">
      <w:rPr>
        <w:b/>
        <w:sz w:val="18"/>
      </w:rPr>
      <w:fldChar w:fldCharType="end"/>
    </w:r>
    <w:r>
      <w:rPr>
        <w:b/>
        <w:sz w:val="18"/>
      </w:rPr>
      <w:tab/>
    </w:r>
    <w:r>
      <w:t>GE.21-02967</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64B7" w14:textId="6E6976BF" w:rsidR="00476ACF" w:rsidRPr="00476ACF" w:rsidRDefault="00476ACF" w:rsidP="00476ACF">
    <w:pPr>
      <w:pStyle w:val="Footer"/>
      <w:tabs>
        <w:tab w:val="right" w:pos="9638"/>
      </w:tabs>
      <w:rPr>
        <w:b/>
        <w:sz w:val="18"/>
      </w:rPr>
    </w:pPr>
    <w:r>
      <w:t>GE.</w:t>
    </w:r>
    <w:r w:rsidRPr="00476ACF">
      <w:t>21</w:t>
    </w:r>
    <w:r>
      <w:t>-</w:t>
    </w:r>
    <w:r w:rsidRPr="00476ACF">
      <w:t>02967</w:t>
    </w:r>
    <w:r>
      <w:tab/>
    </w: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DFD0" w14:textId="5226AA4B" w:rsidR="00F64332" w:rsidRPr="00F64332" w:rsidRDefault="00F64332" w:rsidP="00F64332">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r>
      <w:rPr>
        <w:b/>
        <w:sz w:val="18"/>
      </w:rPr>
      <w:tab/>
    </w:r>
    <w:r w:rsidRPr="00F64332">
      <w:t>GE.21-02967</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F4BE3" w14:textId="676EFAC0" w:rsidR="00F64332" w:rsidRPr="00F64332" w:rsidRDefault="00F64332" w:rsidP="00F64332">
    <w:pPr>
      <w:pStyle w:val="Footer"/>
      <w:tabs>
        <w:tab w:val="right" w:pos="9638"/>
      </w:tabs>
      <w:rPr>
        <w:b/>
        <w:sz w:val="18"/>
      </w:rPr>
    </w:pPr>
    <w:r>
      <w:t>GE.</w:t>
    </w:r>
    <w:r w:rsidRPr="00F64332">
      <w:t>21</w:t>
    </w:r>
    <w:r>
      <w:t>-</w:t>
    </w:r>
    <w:r w:rsidRPr="00F64332">
      <w:t>02967</w:t>
    </w:r>
    <w:r>
      <w:tab/>
    </w: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806D" w14:textId="77777777" w:rsidR="00E07249" w:rsidRPr="00E07249" w:rsidRDefault="00E07249" w:rsidP="00E07249">
    <w:pPr>
      <w:pStyle w:val="Footer"/>
      <w:tabs>
        <w:tab w:val="right" w:pos="9638"/>
      </w:tabs>
      <w:rPr>
        <w:b/>
        <w:sz w:val="18"/>
      </w:rPr>
    </w:pPr>
    <w:r>
      <w:t>GE.21-02967</w:t>
    </w:r>
    <w:r>
      <w:tab/>
    </w:r>
    <w:r w:rsidRPr="00E07249">
      <w:rPr>
        <w:b/>
        <w:sz w:val="18"/>
      </w:rPr>
      <w:fldChar w:fldCharType="begin"/>
    </w:r>
    <w:r w:rsidRPr="00E07249">
      <w:rPr>
        <w:b/>
        <w:sz w:val="18"/>
      </w:rPr>
      <w:instrText xml:space="preserve"> PAGE  \* MERGEFORMAT </w:instrText>
    </w:r>
    <w:r w:rsidRPr="00E07249">
      <w:rPr>
        <w:b/>
        <w:sz w:val="18"/>
      </w:rPr>
      <w:fldChar w:fldCharType="separate"/>
    </w:r>
    <w:r w:rsidRPr="00E07249">
      <w:rPr>
        <w:b/>
        <w:noProof/>
        <w:sz w:val="18"/>
      </w:rPr>
      <w:t>3</w:t>
    </w:r>
    <w:r w:rsidRPr="00E0724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6769" w14:textId="6827D10D" w:rsidR="00A66781" w:rsidRPr="00E07249" w:rsidRDefault="00E07249" w:rsidP="00E07249">
    <w:pPr>
      <w:spacing w:before="120" w:line="240" w:lineRule="auto"/>
    </w:pPr>
    <w:r>
      <w:t>GE.</w:t>
    </w:r>
    <w:r w:rsidR="00834EB0">
      <w:rPr>
        <w:noProof/>
        <w:lang w:eastAsia="fr-CH"/>
      </w:rPr>
      <w:drawing>
        <wp:anchor distT="0" distB="0" distL="114300" distR="114300" simplePos="0" relativeHeight="251657728" behindDoc="0" locked="0" layoutInCell="1" allowOverlap="1" wp14:anchorId="51E00352" wp14:editId="19EC47F8">
          <wp:simplePos x="0" y="0"/>
          <wp:positionH relativeFrom="margin">
            <wp:posOffset>4319905</wp:posOffset>
          </wp:positionH>
          <wp:positionV relativeFrom="margin">
            <wp:posOffset>9144000</wp:posOffset>
          </wp:positionV>
          <wp:extent cx="1104265" cy="233045"/>
          <wp:effectExtent l="0" t="0" r="635"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t>21-02967  (F)</w:t>
    </w:r>
    <w:r>
      <w:rPr>
        <w:noProof/>
      </w:rPr>
      <w:drawing>
        <wp:anchor distT="0" distB="0" distL="114300" distR="114300" simplePos="0" relativeHeight="251658752" behindDoc="0" locked="0" layoutInCell="1" allowOverlap="1" wp14:anchorId="1891AD25" wp14:editId="27AC12D3">
          <wp:simplePos x="0" y="0"/>
          <wp:positionH relativeFrom="margin">
            <wp:posOffset>5489575</wp:posOffset>
          </wp:positionH>
          <wp:positionV relativeFrom="margin">
            <wp:posOffset>8891905</wp:posOffset>
          </wp:positionV>
          <wp:extent cx="638175" cy="638175"/>
          <wp:effectExtent l="0" t="0" r="9525"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A6E78">
      <w:t xml:space="preserve">    100322    140322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4A86" w14:textId="7437B419" w:rsidR="008B17F9" w:rsidRPr="00D56381" w:rsidRDefault="00D56381" w:rsidP="00D56381">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r>
      <w:rPr>
        <w:b/>
        <w:sz w:val="18"/>
      </w:rPr>
      <w:tab/>
    </w:r>
    <w:r w:rsidRPr="00D56381">
      <w:t>GE.21-02967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131F" w14:textId="54B4CC90" w:rsidR="008B17F9" w:rsidRPr="008B17F9" w:rsidRDefault="008B17F9" w:rsidP="008B17F9">
    <w:pPr>
      <w:pStyle w:val="Footer"/>
      <w:tabs>
        <w:tab w:val="right" w:pos="9638"/>
      </w:tabs>
      <w:rPr>
        <w:b/>
        <w:sz w:val="18"/>
      </w:rPr>
    </w:pPr>
    <w:r>
      <w:t>GE.</w:t>
    </w:r>
    <w:r w:rsidRPr="008B17F9">
      <w:t>21</w:t>
    </w:r>
    <w:r>
      <w:t>-</w:t>
    </w:r>
    <w:r w:rsidRPr="008B17F9">
      <w:t>02967</w:t>
    </w:r>
    <w:r>
      <w:tab/>
    </w: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3E33" w14:textId="39C1384C" w:rsidR="00D56381" w:rsidRPr="00D56381" w:rsidRDefault="00D56381" w:rsidP="00D56381">
    <w:pPr>
      <w:pStyle w:val="Footer"/>
      <w:tabs>
        <w:tab w:val="right" w:pos="9638"/>
      </w:tabs>
      <w:rPr>
        <w:b/>
        <w:sz w:val="18"/>
      </w:rPr>
    </w:pPr>
    <w:r>
      <w:t>GE.</w:t>
    </w:r>
    <w:r w:rsidRPr="00D56381">
      <w:t>21</w:t>
    </w:r>
    <w:r>
      <w:t>-</w:t>
    </w:r>
    <w:r w:rsidRPr="00D56381">
      <w:t>02967</w:t>
    </w:r>
    <w:r>
      <w:tab/>
    </w: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9479" w14:textId="6D0D3290" w:rsidR="003D46E4" w:rsidRPr="003D46E4" w:rsidRDefault="003D46E4" w:rsidP="003D46E4">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r>
      <w:rPr>
        <w:b/>
        <w:sz w:val="18"/>
      </w:rPr>
      <w:tab/>
    </w:r>
    <w:r w:rsidRPr="003D46E4">
      <w:t>GE.21-02967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7AAA" w14:textId="533D5102" w:rsidR="003D46E4" w:rsidRPr="003D46E4" w:rsidRDefault="003D46E4" w:rsidP="003D46E4">
    <w:pPr>
      <w:pStyle w:val="Footer"/>
      <w:tabs>
        <w:tab w:val="right" w:pos="9638"/>
      </w:tabs>
      <w:rPr>
        <w:b/>
        <w:sz w:val="18"/>
      </w:rPr>
    </w:pPr>
    <w:r>
      <w:t>GE.</w:t>
    </w:r>
    <w:r w:rsidRPr="003D46E4">
      <w:t>21</w:t>
    </w:r>
    <w:r>
      <w:t>-</w:t>
    </w:r>
    <w:r w:rsidRPr="003D46E4">
      <w:t>02967</w:t>
    </w:r>
    <w:r>
      <w:tab/>
    </w: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9EE13" w14:textId="0665B4D8" w:rsidR="00476ACF" w:rsidRPr="00476ACF" w:rsidRDefault="00476ACF" w:rsidP="00476ACF">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16</w:t>
    </w:r>
    <w:r>
      <w:rPr>
        <w:b/>
        <w:sz w:val="18"/>
      </w:rPr>
      <w:fldChar w:fldCharType="end"/>
    </w:r>
    <w:r>
      <w:rPr>
        <w:b/>
        <w:sz w:val="18"/>
      </w:rPr>
      <w:tab/>
    </w:r>
    <w:r w:rsidRPr="00476ACF">
      <w:t>GE.21-02967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D5EEE" w14:textId="77777777" w:rsidR="00DC523F" w:rsidRPr="00D27D5E" w:rsidRDefault="00DC523F" w:rsidP="00D27D5E">
      <w:pPr>
        <w:tabs>
          <w:tab w:val="right" w:pos="2155"/>
        </w:tabs>
        <w:spacing w:after="80"/>
        <w:ind w:left="680"/>
        <w:rPr>
          <w:u w:val="single"/>
        </w:rPr>
      </w:pPr>
      <w:r>
        <w:rPr>
          <w:u w:val="single"/>
        </w:rPr>
        <w:tab/>
      </w:r>
    </w:p>
  </w:footnote>
  <w:footnote w:type="continuationSeparator" w:id="0">
    <w:p w14:paraId="1705B4FC" w14:textId="77777777" w:rsidR="00DC523F" w:rsidRPr="00D171D4" w:rsidRDefault="00DC523F" w:rsidP="00D171D4">
      <w:pPr>
        <w:tabs>
          <w:tab w:val="right" w:pos="2155"/>
        </w:tabs>
        <w:spacing w:after="80"/>
        <w:ind w:left="680"/>
        <w:rPr>
          <w:u w:val="single"/>
        </w:rPr>
      </w:pPr>
      <w:r w:rsidRPr="00D171D4">
        <w:rPr>
          <w:u w:val="single"/>
        </w:rPr>
        <w:tab/>
      </w:r>
    </w:p>
  </w:footnote>
  <w:footnote w:type="continuationNotice" w:id="1">
    <w:p w14:paraId="0E37B4B1" w14:textId="77777777" w:rsidR="00DC523F" w:rsidRPr="00C451B9" w:rsidRDefault="00DC523F" w:rsidP="00C451B9">
      <w:pPr>
        <w:spacing w:line="240" w:lineRule="auto"/>
        <w:rPr>
          <w:sz w:val="2"/>
          <w:szCs w:val="2"/>
        </w:rPr>
      </w:pPr>
    </w:p>
  </w:footnote>
  <w:footnote w:id="2">
    <w:p w14:paraId="49064E53" w14:textId="7C594098" w:rsidR="00E07249" w:rsidRPr="00E676E0" w:rsidRDefault="00E07249" w:rsidP="00CD7431">
      <w:pPr>
        <w:pStyle w:val="FootnoteText"/>
        <w:rPr>
          <w:lang w:val="fr-FR"/>
        </w:rPr>
      </w:pPr>
      <w:r w:rsidRPr="00E676E0">
        <w:rPr>
          <w:lang w:val="fr-FR"/>
        </w:rPr>
        <w:tab/>
      </w:r>
      <w:r w:rsidRPr="00BF418A">
        <w:rPr>
          <w:rStyle w:val="FootnoteReference"/>
          <w:sz w:val="20"/>
          <w:vertAlign w:val="baseline"/>
          <w:lang w:val="fr-FR"/>
        </w:rPr>
        <w:t>*</w:t>
      </w:r>
      <w:r w:rsidRPr="00E676E0">
        <w:rPr>
          <w:sz w:val="20"/>
          <w:lang w:val="fr-FR"/>
        </w:rPr>
        <w:tab/>
      </w:r>
      <w:r w:rsidRPr="00E676E0">
        <w:rPr>
          <w:lang w:val="fr-FR"/>
        </w:rPr>
        <w:t>Anciens titres de l’Accord</w:t>
      </w:r>
      <w:r w:rsidR="006A6E78">
        <w:rPr>
          <w:lang w:val="fr-FR"/>
        </w:rPr>
        <w:t> :</w:t>
      </w:r>
    </w:p>
    <w:p w14:paraId="11F79B33" w14:textId="76CE4E74" w:rsidR="00E07249" w:rsidRPr="00E676E0" w:rsidRDefault="00E07249" w:rsidP="00CD7431">
      <w:pPr>
        <w:pStyle w:val="FootnoteText"/>
        <w:rPr>
          <w:sz w:val="20"/>
          <w:lang w:val="fr-FR"/>
        </w:rPr>
      </w:pPr>
      <w:r w:rsidRPr="00E676E0">
        <w:rPr>
          <w:lang w:val="fr-FR"/>
        </w:rPr>
        <w:tab/>
      </w:r>
      <w:r w:rsidRPr="00E676E0">
        <w:rPr>
          <w:lang w:val="fr-FR"/>
        </w:rPr>
        <w:tab/>
      </w:r>
      <w:r w:rsidRPr="00E676E0">
        <w:rPr>
          <w:spacing w:val="-4"/>
          <w:lang w:val="fr-FR"/>
        </w:rPr>
        <w:t>Accord concernant l’adoption de conditions uniformes d’homologation et la reconnaissance réciproque de l’homologation des équipements et pièces de véhicules à moteur, en date, à Genève, du 20 mars 1958 (version originale)</w:t>
      </w:r>
      <w:r w:rsidR="006A6E78">
        <w:rPr>
          <w:spacing w:val="-4"/>
          <w:lang w:val="fr-FR"/>
        </w:rPr>
        <w:t> ;</w:t>
      </w:r>
    </w:p>
    <w:p w14:paraId="6309AD38" w14:textId="44109E5C" w:rsidR="00E07249" w:rsidRPr="00E676E0" w:rsidRDefault="00E07249" w:rsidP="00CD7431">
      <w:pPr>
        <w:pStyle w:val="FootnoteText"/>
        <w:rPr>
          <w:lang w:val="fr-FR"/>
        </w:rPr>
      </w:pPr>
      <w:r w:rsidRPr="00E676E0">
        <w:rPr>
          <w:lang w:val="fr-FR"/>
        </w:rPr>
        <w:tab/>
      </w:r>
      <w:r w:rsidRPr="00E676E0">
        <w:rPr>
          <w:lang w:val="fr-FR"/>
        </w:rPr>
        <w:tab/>
        <w:t>Accord concernant l’adoption de prescriptions techniques uniformes applicables aux véhicules à roues, aux équipements et aux pièces susceptibles d’être montés ou utilisés sur un véhicule à roues et</w:t>
      </w:r>
      <w:r w:rsidR="00133227">
        <w:rPr>
          <w:lang w:val="fr-FR"/>
        </w:rPr>
        <w:t> </w:t>
      </w:r>
      <w:r w:rsidRPr="00E676E0">
        <w:rPr>
          <w:lang w:val="fr-FR"/>
        </w:rPr>
        <w:t>les conditions de reconnaissance réciproque des homologations délivrées conformément à ces prescriptions, en date, à Genève, du 5 octobre 1995 (Révision 2).</w:t>
      </w:r>
    </w:p>
  </w:footnote>
  <w:footnote w:id="3">
    <w:p w14:paraId="57EB105F" w14:textId="2496ECDA" w:rsidR="00E07249" w:rsidRPr="00295AC1" w:rsidRDefault="00E07249" w:rsidP="00CD7431">
      <w:pPr>
        <w:pStyle w:val="FootnoteText"/>
        <w:rPr>
          <w:lang w:val="fr-FR"/>
        </w:rPr>
      </w:pPr>
      <w:r>
        <w:tab/>
      </w:r>
      <w:r w:rsidRPr="00CD7431">
        <w:rPr>
          <w:rStyle w:val="FootnoteReference"/>
        </w:rPr>
        <w:footnoteRef/>
      </w:r>
      <w:r>
        <w:tab/>
      </w:r>
      <w:r w:rsidRPr="00336EC2">
        <w:t>Telles que définies dans la Résolution d’ensemble sur la construction des véhicules (R.E.3)</w:t>
      </w:r>
      <w:r>
        <w:t xml:space="preserve">, </w:t>
      </w:r>
      <w:r w:rsidRPr="00336EC2">
        <w:t xml:space="preserve">document </w:t>
      </w:r>
      <w:r w:rsidRPr="00C21DED">
        <w:t>ECE/TRANS/WP.29/78/Rev.6, par. 2</w:t>
      </w:r>
      <w:r w:rsidR="006A6E78">
        <w:t xml:space="preserve"> − </w:t>
      </w:r>
      <w:hyperlink r:id="rId1" w:history="1">
        <w:r w:rsidRPr="00CD7431">
          <w:rPr>
            <w:rStyle w:val="FollowedHyperlink"/>
          </w:rPr>
          <w:t>www.unece.org/trans/main/wp29/wp29wgs/wp29gen/</w:t>
        </w:r>
        <w:r w:rsidR="006A6E78" w:rsidRPr="00CD7431">
          <w:rPr>
            <w:rStyle w:val="FollowedHyperlink"/>
          </w:rPr>
          <w:t xml:space="preserve"> </w:t>
        </w:r>
        <w:r w:rsidRPr="00CD7431">
          <w:rPr>
            <w:rStyle w:val="FollowedHyperlink"/>
          </w:rPr>
          <w:t>wp29resolutions.html</w:t>
        </w:r>
      </w:hyperlink>
      <w:r w:rsidRPr="00C21DED">
        <w:t>.</w:t>
      </w:r>
    </w:p>
  </w:footnote>
  <w:footnote w:id="4">
    <w:p w14:paraId="6FDFF2A3" w14:textId="26CF82B3" w:rsidR="00E07249" w:rsidRPr="00295AC1" w:rsidRDefault="00E07249" w:rsidP="00CD7431">
      <w:pPr>
        <w:pStyle w:val="FootnoteText"/>
        <w:rPr>
          <w:lang w:val="fr-FR"/>
        </w:rPr>
      </w:pPr>
      <w:r>
        <w:tab/>
      </w:r>
      <w:r w:rsidRPr="00CD7431">
        <w:rPr>
          <w:rStyle w:val="FootnoteReference"/>
        </w:rPr>
        <w:footnoteRef/>
      </w:r>
      <w:r>
        <w:tab/>
      </w:r>
      <w:r w:rsidRPr="00CD7431">
        <w:rPr>
          <w:spacing w:val="-1"/>
        </w:rPr>
        <w:t>La liste des numéros distinctifs des Parties contractantes à l’Accord de 1958 est reproduite à l’</w:t>
      </w:r>
      <w:r w:rsidR="00CD7431">
        <w:rPr>
          <w:spacing w:val="-1"/>
        </w:rPr>
        <w:t xml:space="preserve">annexe </w:t>
      </w:r>
      <w:r w:rsidRPr="00CD7431">
        <w:rPr>
          <w:spacing w:val="-1"/>
        </w:rPr>
        <w:t>3 de la Résolution d’ensemble sur la construction des véhicules (R.E.3), document ECE/TRANS/WP.29/</w:t>
      </w:r>
      <w:r w:rsidR="00CD7431">
        <w:rPr>
          <w:spacing w:val="-1"/>
        </w:rPr>
        <w:t xml:space="preserve"> </w:t>
      </w:r>
      <w:r w:rsidRPr="00CD7431">
        <w:rPr>
          <w:spacing w:val="-1"/>
        </w:rPr>
        <w:t>78/Rev.6</w:t>
      </w:r>
      <w:r w:rsidR="00BF418A">
        <w:rPr>
          <w:spacing w:val="-1"/>
        </w:rPr>
        <w:t xml:space="preserve"> − </w:t>
      </w:r>
      <w:hyperlink r:id="rId2" w:history="1">
        <w:r w:rsidR="00BF418A" w:rsidRPr="00BF418A">
          <w:rPr>
            <w:rStyle w:val="Hyperlink"/>
            <w:spacing w:val="-1"/>
          </w:rPr>
          <w:t>https://unece.org/tra</w:t>
        </w:r>
        <w:r w:rsidR="00BF418A" w:rsidRPr="00BF418A">
          <w:rPr>
            <w:rStyle w:val="Hyperlink"/>
            <w:spacing w:val="-1"/>
          </w:rPr>
          <w:t>n</w:t>
        </w:r>
        <w:r w:rsidR="00BF418A" w:rsidRPr="00BF418A">
          <w:rPr>
            <w:rStyle w:val="Hyperlink"/>
            <w:spacing w:val="-1"/>
          </w:rPr>
          <w:t>sport/vehicle-regulations/wp29/resolutions</w:t>
        </w:r>
      </w:hyperlink>
      <w:r w:rsidR="00BF418A">
        <w:rPr>
          <w:spacing w:val="-1"/>
        </w:rPr>
        <w:t>.</w:t>
      </w:r>
    </w:p>
  </w:footnote>
  <w:footnote w:id="5">
    <w:p w14:paraId="45DDA388" w14:textId="2F1CC1D1" w:rsidR="00F3595C" w:rsidRPr="00F3595C" w:rsidRDefault="00F3595C" w:rsidP="00F3595C">
      <w:pPr>
        <w:pStyle w:val="FootnoteText"/>
      </w:pPr>
      <w:r w:rsidRPr="00295AC1">
        <w:rPr>
          <w:lang w:val="fr-FR"/>
        </w:rPr>
        <w:tab/>
      </w:r>
      <w:r>
        <w:rPr>
          <w:rStyle w:val="FootnoteReference"/>
          <w:rFonts w:asciiTheme="majorBidi" w:hAnsiTheme="majorBidi" w:cstheme="majorBidi"/>
          <w:szCs w:val="18"/>
        </w:rPr>
        <w:t>1</w:t>
      </w:r>
      <w:r>
        <w:tab/>
      </w:r>
      <w:r w:rsidRPr="00F3595C">
        <w:t>Numéro distinctif du pays qui a accordé/étendu/refusé/retiré l’homologation (voir les dispositions du</w:t>
      </w:r>
      <w:r>
        <w:t> </w:t>
      </w:r>
      <w:r w:rsidRPr="00F3595C">
        <w:t>présent Règlement relatives au marquage (voir la note de bas de page dans la section relative au</w:t>
      </w:r>
      <w:r>
        <w:t> </w:t>
      </w:r>
      <w:r w:rsidRPr="00F3595C">
        <w:t>marquage).</w:t>
      </w:r>
    </w:p>
  </w:footnote>
  <w:footnote w:id="6">
    <w:p w14:paraId="6EB79A8D" w14:textId="77777777" w:rsidR="00003BFA" w:rsidRDefault="00003BFA" w:rsidP="00CD7431">
      <w:pPr>
        <w:pStyle w:val="FootnoteText"/>
      </w:pPr>
      <w:r>
        <w:tab/>
      </w:r>
      <w:r w:rsidRPr="00CD7431">
        <w:rPr>
          <w:rStyle w:val="FootnoteReference"/>
        </w:rPr>
        <w:footnoteRef/>
      </w:r>
      <w:r>
        <w:tab/>
      </w:r>
      <w:r w:rsidRPr="000F5953">
        <w:t>Biffer la mention inutile.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5FBC" w14:textId="137F5948" w:rsidR="00E07249" w:rsidRPr="00E07249" w:rsidRDefault="006A6E78" w:rsidP="00020E4C">
    <w:pPr>
      <w:pStyle w:val="Header"/>
      <w:spacing w:after="240"/>
    </w:pPr>
    <w:fldSimple w:instr=" TITLE  \* MERGEFORMAT ">
      <w:r w:rsidR="00133227">
        <w:t>E/ECE/TRANS/505/Rev.3/Add.155</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6435" w14:textId="778C555C" w:rsidR="00476ACF" w:rsidRPr="00476ACF" w:rsidRDefault="00F93220" w:rsidP="00476ACF">
    <w:pPr>
      <w:pStyle w:val="Header"/>
      <w:jc w:val="right"/>
    </w:pPr>
    <w:r>
      <w:fldChar w:fldCharType="begin"/>
    </w:r>
    <w:r>
      <w:instrText xml:space="preserve"> TITLE  \* MERGEFORMAT </w:instrText>
    </w:r>
    <w:r>
      <w:fldChar w:fldCharType="separate"/>
    </w:r>
    <w:r w:rsidR="00133227">
      <w:t>E/ECE/TRANS/505/Rev.3/Add.155</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9038" w14:textId="5001B551" w:rsidR="00F64332" w:rsidRPr="00F64332" w:rsidRDefault="00F93220" w:rsidP="00F64332">
    <w:pPr>
      <w:pStyle w:val="Header"/>
    </w:pPr>
    <w:r>
      <w:fldChar w:fldCharType="begin"/>
    </w:r>
    <w:r>
      <w:instrText xml:space="preserve"> TITLE  \* MERGEFORMAT </w:instrText>
    </w:r>
    <w:r>
      <w:fldChar w:fldCharType="separate"/>
    </w:r>
    <w:r w:rsidR="00133227">
      <w:t>E/ECE/TRANS/505/Rev.3/Add.155</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C63A" w14:textId="4A6B88F3" w:rsidR="00F64332" w:rsidRPr="00CD7431" w:rsidRDefault="00F93220" w:rsidP="00F64332">
    <w:pPr>
      <w:pStyle w:val="Header"/>
      <w:jc w:val="right"/>
      <w:rPr>
        <w:lang w:val="en-US"/>
      </w:rPr>
    </w:pPr>
    <w:r>
      <w:fldChar w:fldCharType="begin"/>
    </w:r>
    <w:r w:rsidRPr="00CD7431">
      <w:rPr>
        <w:lang w:val="en-US"/>
      </w:rPr>
      <w:instrText xml:space="preserve"> TITLE  \* MERGEFORMAT </w:instrText>
    </w:r>
    <w:r>
      <w:fldChar w:fldCharType="separate"/>
    </w:r>
    <w:r w:rsidR="00133227">
      <w:rPr>
        <w:lang w:val="en-US"/>
      </w:rPr>
      <w:t>E/ECE/TRANS/505/Rev.3/Add.155</w:t>
    </w:r>
    <w:r>
      <w:fldChar w:fldCharType="end"/>
    </w:r>
    <w:r w:rsidR="00F64332" w:rsidRPr="00CD7431">
      <w:rPr>
        <w:lang w:val="en-US"/>
      </w:rPr>
      <w:br/>
    </w:r>
    <w:proofErr w:type="spellStart"/>
    <w:r w:rsidR="00CD7431">
      <w:rPr>
        <w:lang w:val="en-US"/>
      </w:rPr>
      <w:t>Annexe</w:t>
    </w:r>
    <w:proofErr w:type="spellEnd"/>
    <w:r w:rsidR="00CD7431">
      <w:rPr>
        <w:lang w:val="en-US"/>
      </w:rPr>
      <w:t xml:space="preserve"> </w:t>
    </w:r>
    <w:r w:rsidR="00F64332" w:rsidRPr="00CD7431">
      <w:rPr>
        <w:lang w:val="en-US"/>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D046" w14:textId="2B2F540A" w:rsidR="00E07249" w:rsidRPr="00E07249" w:rsidRDefault="006A6E78" w:rsidP="00020E4C">
    <w:pPr>
      <w:pStyle w:val="Header"/>
      <w:spacing w:after="240"/>
      <w:jc w:val="right"/>
    </w:pPr>
    <w:fldSimple w:instr=" TITLE  \* MERGEFORMAT ">
      <w:r w:rsidR="00133227">
        <w:t>E/ECE/TRANS/505/Rev.3/Add.155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F71C" w14:textId="1578FF7A" w:rsidR="008B17F9" w:rsidRPr="008B17F9" w:rsidRDefault="006A6E78" w:rsidP="008B17F9">
    <w:pPr>
      <w:pStyle w:val="Header"/>
    </w:pPr>
    <w:fldSimple w:instr=" TITLE  \* MERGEFORMAT ">
      <w:r w:rsidR="00133227">
        <w:t>E/ECE/TRANS/505/Rev.3/Add.155</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2065" w14:textId="01F73282" w:rsidR="00953EB8" w:rsidRPr="00953EB8" w:rsidRDefault="00953EB8" w:rsidP="00E07249">
    <w:pPr>
      <w:pStyle w:val="Header"/>
      <w:jc w:val="right"/>
      <w:rPr>
        <w:lang w:val="en-US"/>
      </w:rPr>
    </w:pPr>
    <w:r>
      <w:fldChar w:fldCharType="begin"/>
    </w:r>
    <w:r w:rsidRPr="00953EB8">
      <w:rPr>
        <w:lang w:val="en-US"/>
      </w:rPr>
      <w:instrText xml:space="preserve"> TITLE  \* MERGEFORMAT </w:instrText>
    </w:r>
    <w:r>
      <w:fldChar w:fldCharType="separate"/>
    </w:r>
    <w:r w:rsidR="00133227">
      <w:rPr>
        <w:lang w:val="en-US"/>
      </w:rPr>
      <w:t>E/ECE/TRANS/505/Rev.3/Add.155</w:t>
    </w:r>
    <w:r>
      <w:fldChar w:fldCharType="end"/>
    </w:r>
    <w:r w:rsidRPr="00953EB8">
      <w:rPr>
        <w:lang w:val="en-US"/>
      </w:rPr>
      <w:br/>
    </w:r>
    <w:proofErr w:type="spellStart"/>
    <w:r w:rsidR="00CD7431">
      <w:rPr>
        <w:lang w:val="en-US"/>
      </w:rPr>
      <w:t>Annexe</w:t>
    </w:r>
    <w:proofErr w:type="spellEnd"/>
    <w:r w:rsidR="00CD7431">
      <w:rPr>
        <w:lang w:val="en-US"/>
      </w:rPr>
      <w:t xml:space="preserve"> </w:t>
    </w:r>
    <w:r w:rsidRPr="00953EB8">
      <w:rPr>
        <w:lang w:val="en-US"/>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1A911" w14:textId="13AD1A16" w:rsidR="00953EB8" w:rsidRPr="00953EB8" w:rsidRDefault="00953EB8" w:rsidP="008B17F9">
    <w:pPr>
      <w:pStyle w:val="Header"/>
      <w:rPr>
        <w:lang w:val="en-US"/>
      </w:rPr>
    </w:pPr>
    <w:r>
      <w:fldChar w:fldCharType="begin"/>
    </w:r>
    <w:r w:rsidRPr="00953EB8">
      <w:rPr>
        <w:lang w:val="en-US"/>
      </w:rPr>
      <w:instrText xml:space="preserve"> TITLE  \* MERGEFORMAT </w:instrText>
    </w:r>
    <w:r>
      <w:fldChar w:fldCharType="separate"/>
    </w:r>
    <w:r w:rsidR="00133227">
      <w:rPr>
        <w:lang w:val="en-US"/>
      </w:rPr>
      <w:t>E/ECE/TRANS/505/Rev.3/Add.155</w:t>
    </w:r>
    <w:r>
      <w:fldChar w:fldCharType="end"/>
    </w:r>
    <w:r w:rsidRPr="00953EB8">
      <w:rPr>
        <w:lang w:val="en-US"/>
      </w:rPr>
      <w:br/>
    </w:r>
    <w:proofErr w:type="spellStart"/>
    <w:r w:rsidR="00CD7431">
      <w:rPr>
        <w:lang w:val="en-US"/>
      </w:rPr>
      <w:t>Annexe</w:t>
    </w:r>
    <w:proofErr w:type="spellEnd"/>
    <w:r w:rsidR="00CD7431">
      <w:rPr>
        <w:lang w:val="en-US"/>
      </w:rPr>
      <w:t xml:space="preserve"> </w:t>
    </w:r>
    <w:r>
      <w:rPr>
        <w:lang w:val="en-US"/>
      </w:rPr>
      <w:t>1</w:t>
    </w:r>
    <w:r w:rsidR="006A6E78">
      <w:rPr>
        <w:lang w:val="en-US"/>
      </w:rPr>
      <w:t xml:space="preserve"> − </w:t>
    </w:r>
    <w:proofErr w:type="spellStart"/>
    <w:r w:rsidR="00CD7431">
      <w:rPr>
        <w:lang w:val="en-US"/>
      </w:rPr>
      <w:t>Appendice</w:t>
    </w:r>
    <w:proofErr w:type="spellEnd"/>
    <w:r w:rsidR="00CD7431">
      <w:rPr>
        <w:lang w:val="en-US"/>
      </w:rPr>
      <w:t xml:space="preserve"> </w:t>
    </w:r>
    <w:r>
      <w:rPr>
        <w:lang w:val="en-US"/>
      </w:rP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A875A" w14:textId="78F6EF58" w:rsidR="00D56381" w:rsidRPr="00D56381" w:rsidRDefault="00D56381" w:rsidP="00D56381">
    <w:pPr>
      <w:pStyle w:val="Header"/>
      <w:jc w:val="right"/>
      <w:rPr>
        <w:lang w:val="en-US"/>
      </w:rPr>
    </w:pPr>
    <w:r>
      <w:fldChar w:fldCharType="begin"/>
    </w:r>
    <w:r w:rsidRPr="00D56381">
      <w:rPr>
        <w:lang w:val="en-US"/>
      </w:rPr>
      <w:instrText xml:space="preserve"> TITLE  \* MERGEFORMAT </w:instrText>
    </w:r>
    <w:r>
      <w:fldChar w:fldCharType="separate"/>
    </w:r>
    <w:r w:rsidR="00133227">
      <w:rPr>
        <w:lang w:val="en-US"/>
      </w:rPr>
      <w:t>E/ECE/TRANS/505/Rev.3/Add.155</w:t>
    </w:r>
    <w:r>
      <w:fldChar w:fldCharType="end"/>
    </w:r>
    <w:r w:rsidRPr="00D56381">
      <w:rPr>
        <w:lang w:val="en-US"/>
      </w:rPr>
      <w:br/>
    </w:r>
    <w:proofErr w:type="spellStart"/>
    <w:r w:rsidR="00CD7431">
      <w:rPr>
        <w:lang w:val="en-US"/>
      </w:rPr>
      <w:t>Annexe</w:t>
    </w:r>
    <w:proofErr w:type="spellEnd"/>
    <w:r w:rsidR="00CD7431">
      <w:rPr>
        <w:lang w:val="en-US"/>
      </w:rPr>
      <w:t xml:space="preserve"> </w:t>
    </w:r>
    <w:r>
      <w:rPr>
        <w:lang w:val="en-US"/>
      </w:rPr>
      <w:t>1</w:t>
    </w:r>
    <w:r w:rsidR="006A6E78">
      <w:rPr>
        <w:lang w:val="en-US"/>
      </w:rPr>
      <w:t xml:space="preserve"> − </w:t>
    </w:r>
    <w:proofErr w:type="spellStart"/>
    <w:r w:rsidR="00CD7431">
      <w:rPr>
        <w:lang w:val="en-US"/>
      </w:rPr>
      <w:t>Appendice</w:t>
    </w:r>
    <w:proofErr w:type="spellEnd"/>
    <w:r w:rsidR="00CD7431">
      <w:rPr>
        <w:lang w:val="en-US"/>
      </w:rPr>
      <w:t xml:space="preserve"> </w:t>
    </w:r>
    <w:r>
      <w:rPr>
        <w:lang w:val="en-US"/>
      </w:rPr>
      <w:t>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4AAA" w14:textId="6D599FC4" w:rsidR="003D46E4" w:rsidRPr="003D46E4" w:rsidRDefault="00F93220" w:rsidP="003D46E4">
    <w:pPr>
      <w:pStyle w:val="Header"/>
    </w:pPr>
    <w:r>
      <w:fldChar w:fldCharType="begin"/>
    </w:r>
    <w:r>
      <w:instrText xml:space="preserve"> TITLE  \* MERGEFORMAT </w:instrText>
    </w:r>
    <w:r>
      <w:fldChar w:fldCharType="separate"/>
    </w:r>
    <w:r w:rsidR="00133227">
      <w:t>E/ECE/TRANS/505/Rev.3/Add.155</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88F1" w14:textId="6A13E4D5" w:rsidR="003D46E4" w:rsidRPr="003D46E4" w:rsidRDefault="003D46E4" w:rsidP="003D46E4">
    <w:pPr>
      <w:pStyle w:val="Header"/>
      <w:jc w:val="right"/>
      <w:rPr>
        <w:lang w:val="en-US"/>
      </w:rPr>
    </w:pPr>
    <w:r>
      <w:fldChar w:fldCharType="begin"/>
    </w:r>
    <w:r w:rsidRPr="003D46E4">
      <w:rPr>
        <w:lang w:val="en-US"/>
      </w:rPr>
      <w:instrText xml:space="preserve"> TITLE  \* MERGEFORMAT </w:instrText>
    </w:r>
    <w:r>
      <w:fldChar w:fldCharType="separate"/>
    </w:r>
    <w:r w:rsidR="00133227">
      <w:rPr>
        <w:lang w:val="en-US"/>
      </w:rPr>
      <w:t>E/ECE/TRANS/505/Rev.3/Add.155</w:t>
    </w:r>
    <w:r>
      <w:fldChar w:fldCharType="end"/>
    </w:r>
    <w:r w:rsidRPr="003D46E4">
      <w:rPr>
        <w:lang w:val="en-US"/>
      </w:rPr>
      <w:br/>
    </w:r>
    <w:proofErr w:type="spellStart"/>
    <w:r w:rsidR="00CD7431">
      <w:rPr>
        <w:lang w:val="en-US"/>
      </w:rPr>
      <w:t>Annexe</w:t>
    </w:r>
    <w:proofErr w:type="spellEnd"/>
    <w:r w:rsidR="00CD7431">
      <w:rPr>
        <w:lang w:val="en-US"/>
      </w:rPr>
      <w:t xml:space="preserve"> </w:t>
    </w:r>
    <w:r>
      <w:rPr>
        <w:lang w:val="en-US"/>
      </w:rPr>
      <w:t>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A0A4" w14:textId="3A7F2658" w:rsidR="00476ACF" w:rsidRPr="00476ACF" w:rsidRDefault="00476ACF" w:rsidP="00476ACF">
    <w:pPr>
      <w:pStyle w:val="Header"/>
      <w:rPr>
        <w:lang w:val="en-US"/>
      </w:rPr>
    </w:pPr>
    <w:r>
      <w:fldChar w:fldCharType="begin"/>
    </w:r>
    <w:r w:rsidRPr="00476ACF">
      <w:rPr>
        <w:lang w:val="en-US"/>
      </w:rPr>
      <w:instrText xml:space="preserve"> TITLE  \* MERGEFORMAT </w:instrText>
    </w:r>
    <w:r>
      <w:fldChar w:fldCharType="separate"/>
    </w:r>
    <w:r w:rsidR="00133227">
      <w:rPr>
        <w:lang w:val="en-US"/>
      </w:rPr>
      <w:t>E/ECE/TRANS/505/Rev.3/Add.155</w:t>
    </w:r>
    <w:r>
      <w:fldChar w:fldCharType="end"/>
    </w:r>
    <w:r w:rsidRPr="00476ACF">
      <w:rPr>
        <w:lang w:val="en-US"/>
      </w:rPr>
      <w:br/>
    </w:r>
    <w:proofErr w:type="spellStart"/>
    <w:r w:rsidR="00CD7431">
      <w:rPr>
        <w:lang w:val="en-US"/>
      </w:rPr>
      <w:t>Annexe</w:t>
    </w:r>
    <w:proofErr w:type="spellEnd"/>
    <w:r w:rsidR="00CD7431">
      <w:rPr>
        <w:lang w:val="en-US"/>
      </w:rPr>
      <w:t xml:space="preserve"> </w:t>
    </w:r>
    <w:r>
      <w:rPr>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3F"/>
    <w:rsid w:val="00003BFA"/>
    <w:rsid w:val="00010850"/>
    <w:rsid w:val="0001470D"/>
    <w:rsid w:val="000153A4"/>
    <w:rsid w:val="00015953"/>
    <w:rsid w:val="00016165"/>
    <w:rsid w:val="00016AC5"/>
    <w:rsid w:val="00020E4C"/>
    <w:rsid w:val="00021126"/>
    <w:rsid w:val="00021907"/>
    <w:rsid w:val="000233A5"/>
    <w:rsid w:val="0002445D"/>
    <w:rsid w:val="00024C50"/>
    <w:rsid w:val="00025E92"/>
    <w:rsid w:val="000276A3"/>
    <w:rsid w:val="00032060"/>
    <w:rsid w:val="00040539"/>
    <w:rsid w:val="00040598"/>
    <w:rsid w:val="00047F10"/>
    <w:rsid w:val="00052157"/>
    <w:rsid w:val="0005346D"/>
    <w:rsid w:val="00055FE4"/>
    <w:rsid w:val="000641CE"/>
    <w:rsid w:val="00067310"/>
    <w:rsid w:val="000725B5"/>
    <w:rsid w:val="00077E35"/>
    <w:rsid w:val="0008669E"/>
    <w:rsid w:val="00090599"/>
    <w:rsid w:val="000A1501"/>
    <w:rsid w:val="000A2494"/>
    <w:rsid w:val="000A6B7E"/>
    <w:rsid w:val="000B0996"/>
    <w:rsid w:val="000C6CDB"/>
    <w:rsid w:val="000C76A8"/>
    <w:rsid w:val="000D5C25"/>
    <w:rsid w:val="000E4F06"/>
    <w:rsid w:val="000E5601"/>
    <w:rsid w:val="000F41F2"/>
    <w:rsid w:val="000F782E"/>
    <w:rsid w:val="0010373B"/>
    <w:rsid w:val="0010479E"/>
    <w:rsid w:val="0011415F"/>
    <w:rsid w:val="00125446"/>
    <w:rsid w:val="00133227"/>
    <w:rsid w:val="001358D9"/>
    <w:rsid w:val="00141E26"/>
    <w:rsid w:val="00143EB9"/>
    <w:rsid w:val="00152C5A"/>
    <w:rsid w:val="0015389C"/>
    <w:rsid w:val="00160540"/>
    <w:rsid w:val="00166C68"/>
    <w:rsid w:val="00174814"/>
    <w:rsid w:val="00181A90"/>
    <w:rsid w:val="00190996"/>
    <w:rsid w:val="00190D5D"/>
    <w:rsid w:val="00192EEB"/>
    <w:rsid w:val="00194484"/>
    <w:rsid w:val="001A2040"/>
    <w:rsid w:val="001A20FB"/>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3449"/>
    <w:rsid w:val="00204B66"/>
    <w:rsid w:val="002059CE"/>
    <w:rsid w:val="00206AD4"/>
    <w:rsid w:val="00224B8B"/>
    <w:rsid w:val="00225A8C"/>
    <w:rsid w:val="00227437"/>
    <w:rsid w:val="00230ED3"/>
    <w:rsid w:val="00231A7F"/>
    <w:rsid w:val="00242BBD"/>
    <w:rsid w:val="00244817"/>
    <w:rsid w:val="0024586F"/>
    <w:rsid w:val="00246BC8"/>
    <w:rsid w:val="00251F95"/>
    <w:rsid w:val="00252317"/>
    <w:rsid w:val="002659F1"/>
    <w:rsid w:val="00267CF8"/>
    <w:rsid w:val="00271E41"/>
    <w:rsid w:val="00284C19"/>
    <w:rsid w:val="00286E23"/>
    <w:rsid w:val="002876A1"/>
    <w:rsid w:val="00287CA6"/>
    <w:rsid w:val="00287E79"/>
    <w:rsid w:val="002928F9"/>
    <w:rsid w:val="00294D5B"/>
    <w:rsid w:val="0029791D"/>
    <w:rsid w:val="002A2A2C"/>
    <w:rsid w:val="002A5D07"/>
    <w:rsid w:val="002B1B50"/>
    <w:rsid w:val="002D25CA"/>
    <w:rsid w:val="002D3DA4"/>
    <w:rsid w:val="002E2F5C"/>
    <w:rsid w:val="002E3835"/>
    <w:rsid w:val="002F0C48"/>
    <w:rsid w:val="003016B7"/>
    <w:rsid w:val="0030754C"/>
    <w:rsid w:val="00317E54"/>
    <w:rsid w:val="00322DF1"/>
    <w:rsid w:val="00324EBF"/>
    <w:rsid w:val="0032556C"/>
    <w:rsid w:val="00330508"/>
    <w:rsid w:val="0033286A"/>
    <w:rsid w:val="00333130"/>
    <w:rsid w:val="00346E32"/>
    <w:rsid w:val="00347360"/>
    <w:rsid w:val="003515AA"/>
    <w:rsid w:val="003559BE"/>
    <w:rsid w:val="00364F13"/>
    <w:rsid w:val="0036776C"/>
    <w:rsid w:val="00372A7A"/>
    <w:rsid w:val="00372D1D"/>
    <w:rsid w:val="00374106"/>
    <w:rsid w:val="0037679A"/>
    <w:rsid w:val="0038047C"/>
    <w:rsid w:val="00382062"/>
    <w:rsid w:val="00387BE2"/>
    <w:rsid w:val="00390EEF"/>
    <w:rsid w:val="00394410"/>
    <w:rsid w:val="00394B5C"/>
    <w:rsid w:val="003976D5"/>
    <w:rsid w:val="003B53B6"/>
    <w:rsid w:val="003D46E4"/>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42E2"/>
    <w:rsid w:val="00434354"/>
    <w:rsid w:val="00440BC8"/>
    <w:rsid w:val="004479E7"/>
    <w:rsid w:val="00454F8D"/>
    <w:rsid w:val="004567EB"/>
    <w:rsid w:val="00460E72"/>
    <w:rsid w:val="00464191"/>
    <w:rsid w:val="00467412"/>
    <w:rsid w:val="00476265"/>
    <w:rsid w:val="00476ACF"/>
    <w:rsid w:val="00490F56"/>
    <w:rsid w:val="00491F39"/>
    <w:rsid w:val="004A49A5"/>
    <w:rsid w:val="004A66A2"/>
    <w:rsid w:val="004B07A3"/>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1DC7"/>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B4DCA"/>
    <w:rsid w:val="005C549A"/>
    <w:rsid w:val="005D0035"/>
    <w:rsid w:val="005D7719"/>
    <w:rsid w:val="005E1B9B"/>
    <w:rsid w:val="005E32D1"/>
    <w:rsid w:val="005E5D1F"/>
    <w:rsid w:val="005F0207"/>
    <w:rsid w:val="006025BC"/>
    <w:rsid w:val="0061113B"/>
    <w:rsid w:val="00611D43"/>
    <w:rsid w:val="00612D48"/>
    <w:rsid w:val="00613A5E"/>
    <w:rsid w:val="00616B45"/>
    <w:rsid w:val="006241C6"/>
    <w:rsid w:val="00630D9B"/>
    <w:rsid w:val="00631953"/>
    <w:rsid w:val="0063208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24AD"/>
    <w:rsid w:val="006A6B31"/>
    <w:rsid w:val="006A6C95"/>
    <w:rsid w:val="006A6E78"/>
    <w:rsid w:val="006A7B29"/>
    <w:rsid w:val="006B0EB2"/>
    <w:rsid w:val="006B0FF8"/>
    <w:rsid w:val="006B4590"/>
    <w:rsid w:val="006C340C"/>
    <w:rsid w:val="006F1D0B"/>
    <w:rsid w:val="006F27A8"/>
    <w:rsid w:val="006F3493"/>
    <w:rsid w:val="006F3544"/>
    <w:rsid w:val="0070347C"/>
    <w:rsid w:val="007102D2"/>
    <w:rsid w:val="00714A66"/>
    <w:rsid w:val="0071658C"/>
    <w:rsid w:val="007176C1"/>
    <w:rsid w:val="00720BC0"/>
    <w:rsid w:val="0072116B"/>
    <w:rsid w:val="00725063"/>
    <w:rsid w:val="00732E72"/>
    <w:rsid w:val="00734447"/>
    <w:rsid w:val="00741D90"/>
    <w:rsid w:val="00743314"/>
    <w:rsid w:val="007524A4"/>
    <w:rsid w:val="007607B1"/>
    <w:rsid w:val="00765296"/>
    <w:rsid w:val="00766D28"/>
    <w:rsid w:val="007723C2"/>
    <w:rsid w:val="007815B9"/>
    <w:rsid w:val="00785F1F"/>
    <w:rsid w:val="007869B6"/>
    <w:rsid w:val="00790B9D"/>
    <w:rsid w:val="00796316"/>
    <w:rsid w:val="007A1C58"/>
    <w:rsid w:val="007A20D2"/>
    <w:rsid w:val="007A79CD"/>
    <w:rsid w:val="007D2668"/>
    <w:rsid w:val="007D3119"/>
    <w:rsid w:val="007E7734"/>
    <w:rsid w:val="007F1867"/>
    <w:rsid w:val="007F1EC4"/>
    <w:rsid w:val="007F55CB"/>
    <w:rsid w:val="007F768E"/>
    <w:rsid w:val="008021D4"/>
    <w:rsid w:val="008149F9"/>
    <w:rsid w:val="008245B7"/>
    <w:rsid w:val="0082755E"/>
    <w:rsid w:val="00831A18"/>
    <w:rsid w:val="00834EB0"/>
    <w:rsid w:val="00837345"/>
    <w:rsid w:val="00844750"/>
    <w:rsid w:val="00851A74"/>
    <w:rsid w:val="00853AB8"/>
    <w:rsid w:val="00854C34"/>
    <w:rsid w:val="0085586A"/>
    <w:rsid w:val="00856DB2"/>
    <w:rsid w:val="00895DE5"/>
    <w:rsid w:val="008A0FA8"/>
    <w:rsid w:val="008A1EC0"/>
    <w:rsid w:val="008B17F9"/>
    <w:rsid w:val="008B44C4"/>
    <w:rsid w:val="008C322B"/>
    <w:rsid w:val="008C4B74"/>
    <w:rsid w:val="008D1156"/>
    <w:rsid w:val="008D59DB"/>
    <w:rsid w:val="008E0319"/>
    <w:rsid w:val="008E4DE2"/>
    <w:rsid w:val="008E7CE2"/>
    <w:rsid w:val="008E7FAE"/>
    <w:rsid w:val="008F417A"/>
    <w:rsid w:val="00911BF7"/>
    <w:rsid w:val="0091594A"/>
    <w:rsid w:val="009230F1"/>
    <w:rsid w:val="00926925"/>
    <w:rsid w:val="00935490"/>
    <w:rsid w:val="009418DE"/>
    <w:rsid w:val="00942052"/>
    <w:rsid w:val="009516B7"/>
    <w:rsid w:val="00953EB8"/>
    <w:rsid w:val="009545F1"/>
    <w:rsid w:val="00957CE5"/>
    <w:rsid w:val="009624E2"/>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5060"/>
    <w:rsid w:val="00A56945"/>
    <w:rsid w:val="00A57027"/>
    <w:rsid w:val="00A5750C"/>
    <w:rsid w:val="00A66781"/>
    <w:rsid w:val="00A72C35"/>
    <w:rsid w:val="00A752BB"/>
    <w:rsid w:val="00A81F93"/>
    <w:rsid w:val="00A9247E"/>
    <w:rsid w:val="00AA0DCA"/>
    <w:rsid w:val="00AA7796"/>
    <w:rsid w:val="00AC3BD0"/>
    <w:rsid w:val="00AC67A1"/>
    <w:rsid w:val="00AC7977"/>
    <w:rsid w:val="00AC7E56"/>
    <w:rsid w:val="00AE2617"/>
    <w:rsid w:val="00AE352C"/>
    <w:rsid w:val="00AE4CCA"/>
    <w:rsid w:val="00AE79AC"/>
    <w:rsid w:val="00AF068B"/>
    <w:rsid w:val="00B01AAD"/>
    <w:rsid w:val="00B101DB"/>
    <w:rsid w:val="00B21751"/>
    <w:rsid w:val="00B256F0"/>
    <w:rsid w:val="00B25EA9"/>
    <w:rsid w:val="00B31D7D"/>
    <w:rsid w:val="00B32E2D"/>
    <w:rsid w:val="00B4005D"/>
    <w:rsid w:val="00B416B8"/>
    <w:rsid w:val="00B42351"/>
    <w:rsid w:val="00B43741"/>
    <w:rsid w:val="00B45642"/>
    <w:rsid w:val="00B5157A"/>
    <w:rsid w:val="00B52F29"/>
    <w:rsid w:val="00B5388D"/>
    <w:rsid w:val="00B61990"/>
    <w:rsid w:val="00B6249B"/>
    <w:rsid w:val="00B70CCD"/>
    <w:rsid w:val="00B724E6"/>
    <w:rsid w:val="00B75E66"/>
    <w:rsid w:val="00B773BF"/>
    <w:rsid w:val="00BC3F20"/>
    <w:rsid w:val="00BC76F0"/>
    <w:rsid w:val="00BD13E6"/>
    <w:rsid w:val="00BD28B2"/>
    <w:rsid w:val="00BD5A8D"/>
    <w:rsid w:val="00BD7343"/>
    <w:rsid w:val="00BE7C74"/>
    <w:rsid w:val="00BF0556"/>
    <w:rsid w:val="00BF346F"/>
    <w:rsid w:val="00BF37EE"/>
    <w:rsid w:val="00BF418A"/>
    <w:rsid w:val="00C024A1"/>
    <w:rsid w:val="00C02C42"/>
    <w:rsid w:val="00C10858"/>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B1B"/>
    <w:rsid w:val="00C67D23"/>
    <w:rsid w:val="00C71827"/>
    <w:rsid w:val="00C75D25"/>
    <w:rsid w:val="00C825E5"/>
    <w:rsid w:val="00C95EB8"/>
    <w:rsid w:val="00C97EC1"/>
    <w:rsid w:val="00CB02C5"/>
    <w:rsid w:val="00CB0D41"/>
    <w:rsid w:val="00CB39CD"/>
    <w:rsid w:val="00CC2A62"/>
    <w:rsid w:val="00CC7CE6"/>
    <w:rsid w:val="00CD044C"/>
    <w:rsid w:val="00CD1A71"/>
    <w:rsid w:val="00CD1FBB"/>
    <w:rsid w:val="00CD7431"/>
    <w:rsid w:val="00CE033D"/>
    <w:rsid w:val="00CE08E5"/>
    <w:rsid w:val="00D016B5"/>
    <w:rsid w:val="00D034F1"/>
    <w:rsid w:val="00D05828"/>
    <w:rsid w:val="00D062F1"/>
    <w:rsid w:val="00D06712"/>
    <w:rsid w:val="00D14C21"/>
    <w:rsid w:val="00D14F42"/>
    <w:rsid w:val="00D171D4"/>
    <w:rsid w:val="00D20BFE"/>
    <w:rsid w:val="00D244CB"/>
    <w:rsid w:val="00D27D5E"/>
    <w:rsid w:val="00D32B08"/>
    <w:rsid w:val="00D407D1"/>
    <w:rsid w:val="00D43E5F"/>
    <w:rsid w:val="00D51CE6"/>
    <w:rsid w:val="00D56381"/>
    <w:rsid w:val="00D639BD"/>
    <w:rsid w:val="00D65777"/>
    <w:rsid w:val="00D66E0D"/>
    <w:rsid w:val="00D7425A"/>
    <w:rsid w:val="00D74F7E"/>
    <w:rsid w:val="00D7695F"/>
    <w:rsid w:val="00D9039B"/>
    <w:rsid w:val="00D93582"/>
    <w:rsid w:val="00DA41A2"/>
    <w:rsid w:val="00DA43A1"/>
    <w:rsid w:val="00DA5E1D"/>
    <w:rsid w:val="00DC3628"/>
    <w:rsid w:val="00DC4F43"/>
    <w:rsid w:val="00DC523F"/>
    <w:rsid w:val="00DE083E"/>
    <w:rsid w:val="00DE6D90"/>
    <w:rsid w:val="00DF002F"/>
    <w:rsid w:val="00E0244D"/>
    <w:rsid w:val="00E026DF"/>
    <w:rsid w:val="00E02F48"/>
    <w:rsid w:val="00E03712"/>
    <w:rsid w:val="00E06B3F"/>
    <w:rsid w:val="00E07249"/>
    <w:rsid w:val="00E10A73"/>
    <w:rsid w:val="00E14F27"/>
    <w:rsid w:val="00E171D2"/>
    <w:rsid w:val="00E221F3"/>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50C1"/>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595C"/>
    <w:rsid w:val="00F37E12"/>
    <w:rsid w:val="00F424BD"/>
    <w:rsid w:val="00F45D41"/>
    <w:rsid w:val="00F515AD"/>
    <w:rsid w:val="00F57DD7"/>
    <w:rsid w:val="00F636AD"/>
    <w:rsid w:val="00F64332"/>
    <w:rsid w:val="00F734D9"/>
    <w:rsid w:val="00F73F83"/>
    <w:rsid w:val="00F74902"/>
    <w:rsid w:val="00F85A4E"/>
    <w:rsid w:val="00F93220"/>
    <w:rsid w:val="00F9353A"/>
    <w:rsid w:val="00F965C2"/>
    <w:rsid w:val="00FA27D4"/>
    <w:rsid w:val="00FA5A79"/>
    <w:rsid w:val="00FB0BFE"/>
    <w:rsid w:val="00FB4300"/>
    <w:rsid w:val="00FB4C51"/>
    <w:rsid w:val="00FB734D"/>
    <w:rsid w:val="00FD02A2"/>
    <w:rsid w:val="00FD5E64"/>
    <w:rsid w:val="00FD7985"/>
    <w:rsid w:val="00FE0067"/>
    <w:rsid w:val="00FE2B33"/>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F5AECD7"/>
  <w15:docId w15:val="{85AC0F0A-B721-427E-B9C2-A8CD4841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431"/>
    <w:pPr>
      <w:suppressAutoHyphens/>
      <w:kinsoku w:val="0"/>
      <w:overflowPunct w:val="0"/>
      <w:autoSpaceDE w:val="0"/>
      <w:autoSpaceDN w:val="0"/>
      <w:adjustRightInd w:val="0"/>
      <w:snapToGrid w:val="0"/>
      <w:spacing w:line="240" w:lineRule="atLeast"/>
    </w:pPr>
    <w:rPr>
      <w:rFonts w:eastAsia="SimSun"/>
      <w:lang w:val="fr-CH" w:eastAsia="en-US"/>
    </w:rPr>
  </w:style>
  <w:style w:type="paragraph" w:styleId="Heading1">
    <w:name w:val="heading 1"/>
    <w:aliases w:val="Table_G"/>
    <w:basedOn w:val="SingleTxtG"/>
    <w:next w:val="SingleTxtG"/>
    <w:link w:val="Heading1Char"/>
    <w:qFormat/>
    <w:rsid w:val="00CD7431"/>
    <w:pPr>
      <w:keepNext/>
      <w:keepLines/>
      <w:spacing w:after="0" w:line="240" w:lineRule="auto"/>
      <w:ind w:right="0"/>
      <w:jc w:val="left"/>
      <w:outlineLvl w:val="0"/>
    </w:pPr>
  </w:style>
  <w:style w:type="paragraph" w:styleId="Heading2">
    <w:name w:val="heading 2"/>
    <w:basedOn w:val="Normal"/>
    <w:next w:val="Normal"/>
    <w:link w:val="Heading2Char"/>
    <w:semiHidden/>
    <w:qFormat/>
    <w:rsid w:val="00CD7431"/>
    <w:pPr>
      <w:outlineLvl w:val="1"/>
    </w:pPr>
  </w:style>
  <w:style w:type="paragraph" w:styleId="Heading3">
    <w:name w:val="heading 3"/>
    <w:basedOn w:val="Normal"/>
    <w:next w:val="Normal"/>
    <w:link w:val="Heading3Char"/>
    <w:semiHidden/>
    <w:qFormat/>
    <w:rsid w:val="00CD7431"/>
    <w:pPr>
      <w:outlineLvl w:val="2"/>
    </w:pPr>
  </w:style>
  <w:style w:type="paragraph" w:styleId="Heading4">
    <w:name w:val="heading 4"/>
    <w:basedOn w:val="Normal"/>
    <w:next w:val="Normal"/>
    <w:link w:val="Heading4Char"/>
    <w:semiHidden/>
    <w:qFormat/>
    <w:rsid w:val="00CD7431"/>
    <w:pPr>
      <w:outlineLvl w:val="3"/>
    </w:pPr>
  </w:style>
  <w:style w:type="paragraph" w:styleId="Heading5">
    <w:name w:val="heading 5"/>
    <w:basedOn w:val="Normal"/>
    <w:next w:val="Normal"/>
    <w:link w:val="Heading5Char"/>
    <w:semiHidden/>
    <w:qFormat/>
    <w:rsid w:val="00CD7431"/>
    <w:pPr>
      <w:outlineLvl w:val="4"/>
    </w:pPr>
  </w:style>
  <w:style w:type="paragraph" w:styleId="Heading6">
    <w:name w:val="heading 6"/>
    <w:basedOn w:val="Normal"/>
    <w:next w:val="Normal"/>
    <w:link w:val="Heading6Char"/>
    <w:semiHidden/>
    <w:qFormat/>
    <w:rsid w:val="00CD7431"/>
    <w:pPr>
      <w:outlineLvl w:val="5"/>
    </w:pPr>
  </w:style>
  <w:style w:type="paragraph" w:styleId="Heading7">
    <w:name w:val="heading 7"/>
    <w:basedOn w:val="Normal"/>
    <w:next w:val="Normal"/>
    <w:link w:val="Heading7Char"/>
    <w:semiHidden/>
    <w:qFormat/>
    <w:rsid w:val="00CD7431"/>
    <w:pPr>
      <w:outlineLvl w:val="6"/>
    </w:pPr>
  </w:style>
  <w:style w:type="paragraph" w:styleId="Heading8">
    <w:name w:val="heading 8"/>
    <w:basedOn w:val="Normal"/>
    <w:next w:val="Normal"/>
    <w:link w:val="Heading8Char"/>
    <w:semiHidden/>
    <w:qFormat/>
    <w:rsid w:val="00CD7431"/>
    <w:pPr>
      <w:outlineLvl w:val="7"/>
    </w:pPr>
  </w:style>
  <w:style w:type="paragraph" w:styleId="Heading9">
    <w:name w:val="heading 9"/>
    <w:basedOn w:val="Normal"/>
    <w:next w:val="Normal"/>
    <w:link w:val="Heading9Char"/>
    <w:semiHidden/>
    <w:qFormat/>
    <w:rsid w:val="00CD7431"/>
    <w:pPr>
      <w:outlineLvl w:val="8"/>
    </w:pPr>
  </w:style>
  <w:style w:type="character" w:default="1" w:styleId="DefaultParagraphFont">
    <w:name w:val="Default Paragraph Font"/>
    <w:uiPriority w:val="1"/>
    <w:semiHidden/>
    <w:unhideWhenUsed/>
    <w:rsid w:val="00CD74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D7431"/>
  </w:style>
  <w:style w:type="paragraph" w:customStyle="1" w:styleId="SingleTxtG">
    <w:name w:val="_ Single Txt_G"/>
    <w:basedOn w:val="Normal"/>
    <w:link w:val="SingleTxtGChar"/>
    <w:qFormat/>
    <w:rsid w:val="00CD7431"/>
    <w:pPr>
      <w:spacing w:after="120"/>
      <w:ind w:left="1134" w:right="1134"/>
      <w:jc w:val="both"/>
    </w:pPr>
  </w:style>
  <w:style w:type="paragraph" w:styleId="EndnoteText">
    <w:name w:val="endnote text"/>
    <w:aliases w:val="2_G"/>
    <w:basedOn w:val="FootnoteText"/>
    <w:link w:val="EndnoteTextChar"/>
    <w:qFormat/>
    <w:rsid w:val="00CD7431"/>
  </w:style>
  <w:style w:type="paragraph" w:styleId="FootnoteText">
    <w:name w:val="footnote text"/>
    <w:aliases w:val="5_G"/>
    <w:basedOn w:val="Normal"/>
    <w:link w:val="FootnoteTextChar"/>
    <w:qFormat/>
    <w:rsid w:val="00CD7431"/>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CD7431"/>
    <w:pPr>
      <w:spacing w:line="240" w:lineRule="auto"/>
    </w:pPr>
    <w:rPr>
      <w:sz w:val="16"/>
    </w:rPr>
  </w:style>
  <w:style w:type="character" w:styleId="EndnoteReference">
    <w:name w:val="endnote reference"/>
    <w:aliases w:val="1_G"/>
    <w:qFormat/>
    <w:rsid w:val="00CD7431"/>
  </w:style>
  <w:style w:type="character" w:styleId="FootnoteReference">
    <w:name w:val="footnote reference"/>
    <w:aliases w:val="4_G,(Footnote Reference),-E Fußnotenzeichen,BVI fnr, BVI fnr,Footnote symbol,Footnote,Footnote Reference Superscript,SUPERS,4_GR,Fußnotenzeichen"/>
    <w:qFormat/>
    <w:rsid w:val="00CD7431"/>
    <w:rPr>
      <w:rFonts w:ascii="Times New Roman" w:hAnsi="Times New Roman"/>
      <w:sz w:val="18"/>
      <w:vertAlign w:val="superscript"/>
      <w:lang w:val="fr-CH"/>
    </w:rPr>
  </w:style>
  <w:style w:type="character" w:styleId="PageNumber">
    <w:name w:val="page number"/>
    <w:aliases w:val="7_G"/>
    <w:qFormat/>
    <w:rsid w:val="00CD7431"/>
    <w:rPr>
      <w:rFonts w:ascii="Times New Roman" w:hAnsi="Times New Roman"/>
      <w:b/>
      <w:sz w:val="18"/>
      <w:lang w:val="fr-CH"/>
    </w:rPr>
  </w:style>
  <w:style w:type="paragraph" w:styleId="Header">
    <w:name w:val="header"/>
    <w:aliases w:val="6_G"/>
    <w:basedOn w:val="Normal"/>
    <w:next w:val="Normal"/>
    <w:link w:val="HeaderChar"/>
    <w:qFormat/>
    <w:rsid w:val="00CD7431"/>
    <w:pPr>
      <w:pBdr>
        <w:bottom w:val="single" w:sz="4" w:space="4" w:color="auto"/>
      </w:pBdr>
      <w:spacing w:line="240" w:lineRule="auto"/>
    </w:pPr>
    <w:rPr>
      <w:b/>
      <w:sz w:val="18"/>
    </w:rPr>
  </w:style>
  <w:style w:type="paragraph" w:customStyle="1" w:styleId="H1G">
    <w:name w:val="_ H_1_G"/>
    <w:basedOn w:val="Normal"/>
    <w:next w:val="Normal"/>
    <w:qFormat/>
    <w:rsid w:val="00CD7431"/>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CD7431"/>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CD7431"/>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CD743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CD743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CD7431"/>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CD7431"/>
    <w:pPr>
      <w:keepNext/>
      <w:keepLines/>
      <w:spacing w:before="240" w:after="240" w:line="420" w:lineRule="exact"/>
      <w:ind w:left="1134" w:right="1134"/>
    </w:pPr>
    <w:rPr>
      <w:b/>
      <w:sz w:val="40"/>
    </w:rPr>
  </w:style>
  <w:style w:type="paragraph" w:customStyle="1" w:styleId="SLG">
    <w:name w:val="__S_L_G"/>
    <w:basedOn w:val="Normal"/>
    <w:next w:val="Normal"/>
    <w:rsid w:val="00CD7431"/>
    <w:pPr>
      <w:keepNext/>
      <w:keepLines/>
      <w:spacing w:before="240" w:after="240" w:line="580" w:lineRule="exact"/>
      <w:ind w:left="1134" w:right="1134"/>
    </w:pPr>
    <w:rPr>
      <w:b/>
      <w:sz w:val="56"/>
    </w:rPr>
  </w:style>
  <w:style w:type="paragraph" w:customStyle="1" w:styleId="SSG">
    <w:name w:val="__S_S_G"/>
    <w:basedOn w:val="Normal"/>
    <w:next w:val="Normal"/>
    <w:rsid w:val="00CD7431"/>
    <w:pPr>
      <w:keepNext/>
      <w:keepLines/>
      <w:spacing w:before="240" w:after="240" w:line="300" w:lineRule="exact"/>
      <w:ind w:left="1134" w:right="1134"/>
    </w:pPr>
    <w:rPr>
      <w:b/>
      <w:sz w:val="28"/>
    </w:rPr>
  </w:style>
  <w:style w:type="paragraph" w:customStyle="1" w:styleId="XLargeG">
    <w:name w:val="__XLarge_G"/>
    <w:basedOn w:val="Normal"/>
    <w:next w:val="Normal"/>
    <w:rsid w:val="00CD7431"/>
    <w:pPr>
      <w:keepNext/>
      <w:keepLines/>
      <w:spacing w:before="240" w:after="240" w:line="420" w:lineRule="exact"/>
      <w:ind w:left="1134" w:right="1134"/>
    </w:pPr>
    <w:rPr>
      <w:b/>
      <w:sz w:val="40"/>
    </w:rPr>
  </w:style>
  <w:style w:type="paragraph" w:customStyle="1" w:styleId="Bullet1G">
    <w:name w:val="_Bullet 1_G"/>
    <w:basedOn w:val="Normal"/>
    <w:qFormat/>
    <w:rsid w:val="00CD7431"/>
    <w:pPr>
      <w:numPr>
        <w:numId w:val="1"/>
      </w:numPr>
      <w:spacing w:after="120"/>
      <w:ind w:right="1134"/>
      <w:jc w:val="both"/>
    </w:pPr>
  </w:style>
  <w:style w:type="paragraph" w:customStyle="1" w:styleId="Bullet2G">
    <w:name w:val="_Bullet 2_G"/>
    <w:basedOn w:val="Normal"/>
    <w:qFormat/>
    <w:rsid w:val="00CD7431"/>
    <w:pPr>
      <w:numPr>
        <w:numId w:val="2"/>
      </w:numPr>
      <w:spacing w:after="120"/>
      <w:ind w:right="1134"/>
      <w:jc w:val="both"/>
    </w:pPr>
  </w:style>
  <w:style w:type="table" w:styleId="TableGrid">
    <w:name w:val="Table Grid"/>
    <w:basedOn w:val="TableNormal"/>
    <w:rsid w:val="00CD7431"/>
    <w:pPr>
      <w:suppressAutoHyphens/>
      <w:spacing w:line="240" w:lineRule="atLeast"/>
    </w:pPr>
    <w:rPr>
      <w:rFonts w:eastAsia="SimSun"/>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CD7431"/>
    <w:rPr>
      <w:rFonts w:eastAsia="SimSun"/>
      <w:lang w:val="fr-CH" w:eastAsia="en-US"/>
    </w:rPr>
  </w:style>
  <w:style w:type="character" w:styleId="Hyperlink">
    <w:name w:val="Hyperlink"/>
    <w:semiHidden/>
    <w:rsid w:val="00CD7431"/>
    <w:rPr>
      <w:color w:val="0000FF"/>
      <w:u w:val="none"/>
    </w:rPr>
  </w:style>
  <w:style w:type="character" w:styleId="FollowedHyperlink">
    <w:name w:val="FollowedHyperlink"/>
    <w:rsid w:val="00CD7431"/>
    <w:rPr>
      <w:color w:val="0000FF"/>
      <w:u w:val="none"/>
    </w:rPr>
  </w:style>
  <w:style w:type="paragraph" w:customStyle="1" w:styleId="ParNoG">
    <w:name w:val="_ParNo_G"/>
    <w:basedOn w:val="Normal"/>
    <w:qFormat/>
    <w:rsid w:val="00CD7431"/>
    <w:pPr>
      <w:numPr>
        <w:numId w:val="3"/>
      </w:numPr>
      <w:tabs>
        <w:tab w:val="clear" w:pos="1701"/>
      </w:tabs>
      <w:spacing w:after="120"/>
      <w:ind w:right="1134"/>
      <w:jc w:val="both"/>
    </w:pPr>
  </w:style>
  <w:style w:type="character" w:customStyle="1" w:styleId="HeaderChar">
    <w:name w:val="Header Char"/>
    <w:aliases w:val="6_G Char"/>
    <w:link w:val="Header"/>
    <w:rsid w:val="00CD7431"/>
    <w:rPr>
      <w:rFonts w:eastAsia="SimSun"/>
      <w:b/>
      <w:sz w:val="18"/>
      <w:lang w:val="fr-CH" w:eastAsia="en-US"/>
    </w:rPr>
  </w:style>
  <w:style w:type="character" w:customStyle="1" w:styleId="FootnoteTextChar">
    <w:name w:val="Footnote Text Char"/>
    <w:aliases w:val="5_G Char"/>
    <w:link w:val="FootnoteText"/>
    <w:rsid w:val="00CD7431"/>
    <w:rPr>
      <w:rFonts w:eastAsia="SimSun"/>
      <w:sz w:val="18"/>
      <w:lang w:val="fr-CH" w:eastAsia="en-US"/>
    </w:rPr>
  </w:style>
  <w:style w:type="character" w:customStyle="1" w:styleId="EndnoteTextChar">
    <w:name w:val="Endnote Text Char"/>
    <w:aliases w:val="2_G Char"/>
    <w:link w:val="EndnoteText"/>
    <w:rsid w:val="00CD7431"/>
    <w:rPr>
      <w:rFonts w:eastAsia="SimSun"/>
      <w:sz w:val="18"/>
      <w:lang w:val="fr-CH" w:eastAsia="en-US"/>
    </w:rPr>
  </w:style>
  <w:style w:type="character" w:customStyle="1" w:styleId="FooterChar">
    <w:name w:val="Footer Char"/>
    <w:aliases w:val="3_G Char"/>
    <w:link w:val="Footer"/>
    <w:rsid w:val="00CD7431"/>
    <w:rPr>
      <w:rFonts w:eastAsia="SimSun"/>
      <w:sz w:val="16"/>
      <w:lang w:val="fr-CH" w:eastAsia="en-US"/>
    </w:rPr>
  </w:style>
  <w:style w:type="character" w:customStyle="1" w:styleId="Heading1Char">
    <w:name w:val="Heading 1 Char"/>
    <w:aliases w:val="Table_G Char"/>
    <w:link w:val="Heading1"/>
    <w:rsid w:val="00CD7431"/>
    <w:rPr>
      <w:rFonts w:eastAsia="SimSun"/>
      <w:lang w:val="fr-CH" w:eastAsia="en-US"/>
    </w:rPr>
  </w:style>
  <w:style w:type="character" w:customStyle="1" w:styleId="Heading2Char">
    <w:name w:val="Heading 2 Char"/>
    <w:link w:val="Heading2"/>
    <w:semiHidden/>
    <w:rsid w:val="00CD7431"/>
    <w:rPr>
      <w:rFonts w:eastAsia="SimSun"/>
      <w:lang w:val="fr-CH" w:eastAsia="en-US"/>
    </w:rPr>
  </w:style>
  <w:style w:type="character" w:customStyle="1" w:styleId="Heading3Char">
    <w:name w:val="Heading 3 Char"/>
    <w:link w:val="Heading3"/>
    <w:semiHidden/>
    <w:rsid w:val="00CD7431"/>
    <w:rPr>
      <w:rFonts w:eastAsia="SimSun"/>
      <w:lang w:val="fr-CH" w:eastAsia="en-US"/>
    </w:rPr>
  </w:style>
  <w:style w:type="character" w:customStyle="1" w:styleId="Heading4Char">
    <w:name w:val="Heading 4 Char"/>
    <w:link w:val="Heading4"/>
    <w:semiHidden/>
    <w:rsid w:val="00CD7431"/>
    <w:rPr>
      <w:rFonts w:eastAsia="SimSun"/>
      <w:lang w:val="fr-CH" w:eastAsia="en-US"/>
    </w:rPr>
  </w:style>
  <w:style w:type="character" w:customStyle="1" w:styleId="Heading5Char">
    <w:name w:val="Heading 5 Char"/>
    <w:link w:val="Heading5"/>
    <w:semiHidden/>
    <w:rsid w:val="00CD7431"/>
    <w:rPr>
      <w:rFonts w:eastAsia="SimSun"/>
      <w:lang w:val="fr-CH" w:eastAsia="en-US"/>
    </w:rPr>
  </w:style>
  <w:style w:type="character" w:customStyle="1" w:styleId="Heading6Char">
    <w:name w:val="Heading 6 Char"/>
    <w:link w:val="Heading6"/>
    <w:semiHidden/>
    <w:rsid w:val="00CD7431"/>
    <w:rPr>
      <w:rFonts w:eastAsia="SimSun"/>
      <w:lang w:val="fr-CH" w:eastAsia="en-US"/>
    </w:rPr>
  </w:style>
  <w:style w:type="character" w:customStyle="1" w:styleId="Heading7Char">
    <w:name w:val="Heading 7 Char"/>
    <w:link w:val="Heading7"/>
    <w:semiHidden/>
    <w:rsid w:val="00CD7431"/>
    <w:rPr>
      <w:rFonts w:eastAsia="SimSun"/>
      <w:lang w:val="fr-CH" w:eastAsia="en-US"/>
    </w:rPr>
  </w:style>
  <w:style w:type="character" w:customStyle="1" w:styleId="Heading8Char">
    <w:name w:val="Heading 8 Char"/>
    <w:link w:val="Heading8"/>
    <w:semiHidden/>
    <w:rsid w:val="00CD7431"/>
    <w:rPr>
      <w:rFonts w:eastAsia="SimSun"/>
      <w:lang w:val="fr-CH" w:eastAsia="en-US"/>
    </w:rPr>
  </w:style>
  <w:style w:type="character" w:customStyle="1" w:styleId="Heading9Char">
    <w:name w:val="Heading 9 Char"/>
    <w:link w:val="Heading9"/>
    <w:semiHidden/>
    <w:rsid w:val="00CD7431"/>
    <w:rPr>
      <w:rFonts w:eastAsia="SimSun"/>
      <w:lang w:val="fr-CH" w:eastAsia="en-US"/>
    </w:rPr>
  </w:style>
  <w:style w:type="paragraph" w:styleId="BalloonText">
    <w:name w:val="Balloon Text"/>
    <w:basedOn w:val="Normal"/>
    <w:link w:val="BalloonTextChar"/>
    <w:semiHidden/>
    <w:rsid w:val="00CD74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D7431"/>
    <w:rPr>
      <w:rFonts w:ascii="Tahoma" w:eastAsia="SimSun" w:hAnsi="Tahoma" w:cs="Tahoma"/>
      <w:sz w:val="16"/>
      <w:szCs w:val="16"/>
      <w:lang w:val="fr-CH" w:eastAsia="en-US"/>
    </w:rPr>
  </w:style>
  <w:style w:type="character" w:styleId="UnresolvedMention">
    <w:name w:val="Unresolved Mention"/>
    <w:basedOn w:val="DefaultParagraphFont"/>
    <w:uiPriority w:val="99"/>
    <w:semiHidden/>
    <w:unhideWhenUsed/>
    <w:rsid w:val="00BF4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image" Target="media/image5.png"/><Relationship Id="rId21" Type="http://schemas.openxmlformats.org/officeDocument/2006/relationships/image" Target="media/image4.png"/><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footer" Target="footer11.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ece.org/transport/vehicle-regulations/wp29/resolutions" TargetMode="External"/><Relationship Id="rId1" Type="http://schemas.openxmlformats.org/officeDocument/2006/relationships/hyperlink" Target="https://undocs.org/fr/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CE_TRANS_180.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814C5A-D8BE-4195-84E0-12051B32A7E8}">
  <ds:schemaRefs>
    <ds:schemaRef ds:uri="http://schemas.openxmlformats.org/officeDocument/2006/bibliography"/>
  </ds:schemaRefs>
</ds:datastoreItem>
</file>

<file path=customXml/itemProps2.xml><?xml version="1.0" encoding="utf-8"?>
<ds:datastoreItem xmlns:ds="http://schemas.openxmlformats.org/officeDocument/2006/customXml" ds:itemID="{DC609C1C-738E-4E03-8391-F186106C3DAE}"/>
</file>

<file path=customXml/itemProps3.xml><?xml version="1.0" encoding="utf-8"?>
<ds:datastoreItem xmlns:ds="http://schemas.openxmlformats.org/officeDocument/2006/customXml" ds:itemID="{CB13D229-D494-4B84-BD38-A49804B9233D}"/>
</file>

<file path=docProps/app.xml><?xml version="1.0" encoding="utf-8"?>
<Properties xmlns="http://schemas.openxmlformats.org/officeDocument/2006/extended-properties" xmlns:vt="http://schemas.openxmlformats.org/officeDocument/2006/docPropsVTypes">
  <Template>ECE_TRANS_180.dotm</Template>
  <TotalTime>0</TotalTime>
  <Pages>17</Pages>
  <Words>5375</Words>
  <Characters>28704</Characters>
  <Application>Microsoft Office Word</Application>
  <DocSecurity>0</DocSecurity>
  <Lines>598</Lines>
  <Paragraphs>301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E/ECE/TRANS/505/Rev.3/Add.155</vt:lpstr>
      <vt:lpstr>ECE/TRANS/180</vt:lpstr>
    </vt:vector>
  </TitlesOfParts>
  <Manager>Corinne</Manager>
  <Company>CSD</Company>
  <LinksUpToDate>false</LinksUpToDate>
  <CharactersWithSpaces>33778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E/ECE/TRANS/505/Rev.3/Add.155</dc:title>
  <dc:subject/>
  <dc:creator>Nicolas MORIN</dc:creator>
  <cp:keywords/>
  <cp:lastModifiedBy>Nicolas Morin</cp:lastModifiedBy>
  <cp:revision>2</cp:revision>
  <cp:lastPrinted>2008-11-04T16:54:00Z</cp:lastPrinted>
  <dcterms:created xsi:type="dcterms:W3CDTF">2022-03-14T10:49:00Z</dcterms:created>
  <dcterms:modified xsi:type="dcterms:W3CDTF">2022-03-14T10:49:00Z</dcterms:modified>
</cp:coreProperties>
</file>