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928CA" w14:paraId="4E62A481" w14:textId="77777777" w:rsidTr="00A27C92">
        <w:trPr>
          <w:trHeight w:hRule="exact" w:val="851"/>
        </w:trPr>
        <w:tc>
          <w:tcPr>
            <w:tcW w:w="9639" w:type="dxa"/>
            <w:gridSpan w:val="2"/>
            <w:tcBorders>
              <w:bottom w:val="single" w:sz="4" w:space="0" w:color="auto"/>
            </w:tcBorders>
            <w:shd w:val="clear" w:color="auto" w:fill="auto"/>
            <w:vAlign w:val="bottom"/>
          </w:tcPr>
          <w:p w14:paraId="57E02E72" w14:textId="341EED24" w:rsidR="007928CA" w:rsidRPr="007928CA" w:rsidRDefault="007928CA" w:rsidP="007928CA">
            <w:pPr>
              <w:jc w:val="right"/>
              <w:rPr>
                <w:lang w:val="en-US"/>
              </w:rPr>
            </w:pPr>
            <w:r w:rsidRPr="007928CA">
              <w:rPr>
                <w:sz w:val="40"/>
                <w:lang w:val="en-US"/>
              </w:rPr>
              <w:t>E</w:t>
            </w:r>
            <w:r w:rsidRPr="007928CA">
              <w:rPr>
                <w:lang w:val="en-US"/>
              </w:rPr>
              <w:t>/ECE/TRANS/505/Rev.3/Add.150/Amend.4</w:t>
            </w:r>
          </w:p>
        </w:tc>
      </w:tr>
      <w:tr w:rsidR="00421A10" w:rsidRPr="00DB58B5" w14:paraId="0ECD1BD8" w14:textId="77777777" w:rsidTr="00A27C92">
        <w:trPr>
          <w:trHeight w:hRule="exact" w:val="2835"/>
        </w:trPr>
        <w:tc>
          <w:tcPr>
            <w:tcW w:w="6804" w:type="dxa"/>
            <w:tcBorders>
              <w:top w:val="single" w:sz="4" w:space="0" w:color="auto"/>
              <w:bottom w:val="single" w:sz="12" w:space="0" w:color="auto"/>
            </w:tcBorders>
            <w:shd w:val="clear" w:color="auto" w:fill="auto"/>
          </w:tcPr>
          <w:p w14:paraId="394DC194" w14:textId="77777777" w:rsidR="00421A10" w:rsidRPr="007928C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7082700" w14:textId="77777777" w:rsidR="00421A10" w:rsidRPr="00DB58B5" w:rsidRDefault="007928CA" w:rsidP="00A27C92">
            <w:pPr>
              <w:spacing w:before="480" w:line="240" w:lineRule="exact"/>
            </w:pPr>
            <w:r>
              <w:t>16 juin 2023</w:t>
            </w:r>
          </w:p>
        </w:tc>
      </w:tr>
    </w:tbl>
    <w:p w14:paraId="6DB1F639" w14:textId="77777777" w:rsidR="00421A10" w:rsidRPr="006549FF" w:rsidRDefault="0029791D" w:rsidP="0029791D">
      <w:pPr>
        <w:pStyle w:val="HChG"/>
      </w:pPr>
      <w:r>
        <w:tab/>
      </w:r>
      <w:r>
        <w:tab/>
      </w:r>
      <w:r w:rsidR="00421A10" w:rsidRPr="006549FF">
        <w:t>Accord</w:t>
      </w:r>
    </w:p>
    <w:p w14:paraId="5F3FD0DB" w14:textId="208AA640" w:rsidR="00421A10" w:rsidRPr="00583D68" w:rsidRDefault="0029791D" w:rsidP="0029791D">
      <w:pPr>
        <w:pStyle w:val="H1G"/>
      </w:pPr>
      <w:r>
        <w:tab/>
      </w:r>
      <w:r>
        <w:tab/>
      </w:r>
      <w:r w:rsidR="00421A10" w:rsidRPr="00583D68">
        <w:t xml:space="preserve">Concernant l’adoption </w:t>
      </w:r>
      <w:r w:rsidR="007928CA" w:rsidRPr="007928CA">
        <w:rPr>
          <w:bCs/>
          <w:lang w:val="fr-FR"/>
        </w:rPr>
        <w:t xml:space="preserve">de Règlements techniques harmonisés de l’ONU applicables aux véhicules à roues et aux équipements et pièces susceptibles d’être montés ou utilisés sur les véhicules à roues </w:t>
      </w:r>
      <w:r w:rsidR="007928CA">
        <w:rPr>
          <w:bCs/>
          <w:lang w:val="fr-FR"/>
        </w:rPr>
        <w:br/>
      </w:r>
      <w:r w:rsidR="007928CA" w:rsidRPr="007928CA">
        <w:rPr>
          <w:bCs/>
          <w:lang w:val="fr-FR"/>
        </w:rPr>
        <w:t>et les conditions de reconnaissance réciproque des homologations délivrées conformément à ces Règlements</w:t>
      </w:r>
      <w:r w:rsidR="00442E31" w:rsidRPr="007928CA">
        <w:rPr>
          <w:rStyle w:val="Appelnotedebasdep"/>
          <w:b w:val="0"/>
          <w:bCs/>
          <w:sz w:val="20"/>
          <w:vertAlign w:val="baseline"/>
        </w:rPr>
        <w:footnoteReference w:customMarkFollows="1" w:id="2"/>
        <w:t>*</w:t>
      </w:r>
    </w:p>
    <w:p w14:paraId="2E3C4DFB" w14:textId="378CAD04" w:rsidR="00421A10" w:rsidRPr="00A12483" w:rsidRDefault="00421A10" w:rsidP="0029791D">
      <w:pPr>
        <w:pStyle w:val="SingleTxtG"/>
        <w:jc w:val="left"/>
        <w:rPr>
          <w:b/>
          <w:sz w:val="24"/>
          <w:szCs w:val="24"/>
        </w:rPr>
      </w:pPr>
      <w:r w:rsidRPr="006549FF">
        <w:t>(</w:t>
      </w:r>
      <w:r w:rsidR="007928CA" w:rsidRPr="007928CA">
        <w:rPr>
          <w:lang w:val="fr-FR"/>
        </w:rPr>
        <w:t>Révision 3, comprenant les amendements entrés en vigueur le 14 septembre 2017</w:t>
      </w:r>
      <w:r w:rsidRPr="006549FF">
        <w:t>)</w:t>
      </w:r>
    </w:p>
    <w:p w14:paraId="5A8869A7" w14:textId="77777777" w:rsidR="00421A10" w:rsidRPr="006549FF" w:rsidRDefault="0029791D" w:rsidP="0029791D">
      <w:pPr>
        <w:jc w:val="center"/>
      </w:pPr>
      <w:r>
        <w:t>_______________</w:t>
      </w:r>
    </w:p>
    <w:p w14:paraId="3E4A12D8" w14:textId="53B921EF" w:rsidR="00421A10" w:rsidRPr="006549FF" w:rsidRDefault="0029791D" w:rsidP="0029791D">
      <w:pPr>
        <w:pStyle w:val="HChG"/>
      </w:pPr>
      <w:r>
        <w:tab/>
      </w:r>
      <w:r>
        <w:tab/>
      </w:r>
      <w:r w:rsidR="007928CA" w:rsidRPr="007928CA">
        <w:rPr>
          <w:bCs/>
          <w:lang w:val="fr-FR"/>
        </w:rPr>
        <w:t xml:space="preserve">Additif 150 − Règlement ONU </w:t>
      </w:r>
      <w:r w:rsidR="007928CA" w:rsidRPr="007928CA">
        <w:rPr>
          <w:rFonts w:eastAsia="MS Mincho"/>
          <w:bCs/>
          <w:lang w:val="fr-FR"/>
        </w:rPr>
        <w:t>n</w:t>
      </w:r>
      <w:r w:rsidR="007928CA" w:rsidRPr="007928CA">
        <w:rPr>
          <w:rFonts w:eastAsia="MS Mincho"/>
          <w:bCs/>
          <w:vertAlign w:val="superscript"/>
          <w:lang w:val="fr-FR"/>
        </w:rPr>
        <w:t>o</w:t>
      </w:r>
      <w:r w:rsidR="007928CA" w:rsidRPr="007928CA">
        <w:rPr>
          <w:bCs/>
          <w:lang w:val="fr-FR"/>
        </w:rPr>
        <w:t xml:space="preserve"> 151</w:t>
      </w:r>
    </w:p>
    <w:p w14:paraId="3AC1C6E1" w14:textId="605D387D" w:rsidR="00421A10" w:rsidRPr="006549FF" w:rsidRDefault="0029791D" w:rsidP="0029791D">
      <w:pPr>
        <w:pStyle w:val="H1G"/>
      </w:pPr>
      <w:r>
        <w:tab/>
      </w:r>
      <w:r>
        <w:tab/>
      </w:r>
      <w:r w:rsidR="007928CA" w:rsidRPr="007928CA">
        <w:rPr>
          <w:bCs/>
          <w:lang w:val="fr-FR"/>
        </w:rPr>
        <w:t>Amendement 4</w:t>
      </w:r>
    </w:p>
    <w:p w14:paraId="36F77A7C" w14:textId="4ECB3763" w:rsidR="00421A10" w:rsidRPr="004A7E44" w:rsidRDefault="007928CA" w:rsidP="0029791D">
      <w:pPr>
        <w:pStyle w:val="SingleTxtG"/>
        <w:spacing w:after="0"/>
      </w:pPr>
      <w:r w:rsidRPr="007928CA">
        <w:rPr>
          <w:lang w:val="fr-FR"/>
        </w:rPr>
        <w:t xml:space="preserve">Complément 4 à la version originale du Règlement </w:t>
      </w:r>
      <w:r>
        <w:rPr>
          <w:lang w:val="fr-FR"/>
        </w:rPr>
        <w:t>−</w:t>
      </w:r>
      <w:r w:rsidRPr="007928CA">
        <w:rPr>
          <w:lang w:val="fr-FR"/>
        </w:rPr>
        <w:t xml:space="preserve"> Date d’entrée en vigueur</w:t>
      </w:r>
      <w:r>
        <w:rPr>
          <w:lang w:val="fr-FR"/>
        </w:rPr>
        <w:t> </w:t>
      </w:r>
      <w:r w:rsidRPr="007928CA">
        <w:rPr>
          <w:lang w:val="fr-FR"/>
        </w:rPr>
        <w:t>: 5 juin 2023</w:t>
      </w:r>
    </w:p>
    <w:p w14:paraId="000FDB84" w14:textId="6518B8C7" w:rsidR="00421A10" w:rsidRDefault="0029791D" w:rsidP="0029791D">
      <w:pPr>
        <w:pStyle w:val="H1G"/>
      </w:pPr>
      <w:r>
        <w:tab/>
      </w:r>
      <w:r>
        <w:tab/>
      </w:r>
      <w:r w:rsidR="00421A10" w:rsidRPr="007619D3">
        <w:t xml:space="preserve">Prescriptions uniformes relatives </w:t>
      </w:r>
      <w:r w:rsidR="007928CA" w:rsidRPr="007928CA">
        <w:rPr>
          <w:bCs/>
          <w:lang w:val="fr-FR"/>
        </w:rPr>
        <w:t xml:space="preserve">à l’homologation des véhicules </w:t>
      </w:r>
      <w:r w:rsidR="007928CA">
        <w:rPr>
          <w:bCs/>
          <w:lang w:val="fr-FR"/>
        </w:rPr>
        <w:br/>
      </w:r>
      <w:r w:rsidR="007928CA" w:rsidRPr="007928CA">
        <w:rPr>
          <w:bCs/>
          <w:lang w:val="fr-FR"/>
        </w:rPr>
        <w:t>à moteur en ce qui concerne le système de surveillance de l’angle mort pour la détection des vélos</w:t>
      </w:r>
    </w:p>
    <w:p w14:paraId="7B650BB3" w14:textId="00758A5B" w:rsidR="007928CA" w:rsidRDefault="007928CA" w:rsidP="007928CA">
      <w:pPr>
        <w:pStyle w:val="SingleTxtG"/>
        <w:ind w:firstLine="567"/>
      </w:pPr>
      <w:r w:rsidRPr="007928CA">
        <w:rPr>
          <w:lang w:val="fr-FR"/>
        </w:rPr>
        <w:t>Le présent document est communiqué uniquement à titre d’information. Le texte authentique, juridiquement contraignant, est celui du document ECE/TRANS/WP.29/</w:t>
      </w:r>
      <w:r>
        <w:rPr>
          <w:lang w:val="fr-FR"/>
        </w:rPr>
        <w:br/>
      </w:r>
      <w:r w:rsidRPr="007928CA">
        <w:rPr>
          <w:lang w:val="fr-FR"/>
        </w:rPr>
        <w:t>2022/147.</w:t>
      </w:r>
      <w:r w:rsidR="00442E31">
        <w:rPr>
          <w:noProof/>
          <w:lang w:eastAsia="fr-CH"/>
        </w:rPr>
        <mc:AlternateContent>
          <mc:Choice Requires="wps">
            <w:drawing>
              <wp:anchor distT="0" distB="0" distL="114300" distR="114300" simplePos="0" relativeHeight="251658240" behindDoc="0" locked="0" layoutInCell="1" allowOverlap="1" wp14:anchorId="119C0919" wp14:editId="2A15BB9B">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5678C41" w14:textId="77777777" w:rsidR="00442E31" w:rsidRPr="0029791D" w:rsidRDefault="00442E31" w:rsidP="00C9521D">
                            <w:pPr>
                              <w:ind w:left="1134" w:right="1134"/>
                              <w:jc w:val="center"/>
                            </w:pPr>
                            <w:r>
                              <w:t>_______________</w:t>
                            </w:r>
                          </w:p>
                          <w:p w14:paraId="407C4B11" w14:textId="77777777" w:rsidR="00442E31" w:rsidRDefault="00442E31" w:rsidP="00C9521D">
                            <w:pPr>
                              <w:jc w:val="center"/>
                              <w:rPr>
                                <w:b/>
                                <w:bCs/>
                                <w:sz w:val="22"/>
                              </w:rPr>
                            </w:pPr>
                            <w:r>
                              <w:rPr>
                                <w:noProof/>
                                <w:lang w:eastAsia="fr-CH"/>
                              </w:rPr>
                              <w:drawing>
                                <wp:inline distT="0" distB="0" distL="0" distR="0" wp14:anchorId="5DA7D452" wp14:editId="0A8947D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B58AC04"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C0919"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15678C41" w14:textId="77777777" w:rsidR="00442E31" w:rsidRPr="0029791D" w:rsidRDefault="00442E31" w:rsidP="00C9521D">
                      <w:pPr>
                        <w:ind w:left="1134" w:right="1134"/>
                        <w:jc w:val="center"/>
                      </w:pPr>
                      <w:r>
                        <w:t>_______________</w:t>
                      </w:r>
                    </w:p>
                    <w:p w14:paraId="407C4B11" w14:textId="77777777" w:rsidR="00442E31" w:rsidRDefault="00442E31" w:rsidP="00C9521D">
                      <w:pPr>
                        <w:jc w:val="center"/>
                        <w:rPr>
                          <w:b/>
                          <w:bCs/>
                          <w:sz w:val="22"/>
                        </w:rPr>
                      </w:pPr>
                      <w:r>
                        <w:rPr>
                          <w:noProof/>
                          <w:lang w:eastAsia="fr-CH"/>
                        </w:rPr>
                        <w:drawing>
                          <wp:inline distT="0" distB="0" distL="0" distR="0" wp14:anchorId="5DA7D452" wp14:editId="0A8947D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B58AC04"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E7ECD6F" w14:textId="109B936F" w:rsidR="007928CA" w:rsidRDefault="007928CA">
      <w:pPr>
        <w:suppressAutoHyphens w:val="0"/>
        <w:kinsoku/>
        <w:overflowPunct/>
        <w:autoSpaceDE/>
        <w:autoSpaceDN/>
        <w:adjustRightInd/>
        <w:snapToGrid/>
        <w:spacing w:line="240" w:lineRule="auto"/>
      </w:pPr>
      <w:r>
        <w:br w:type="page"/>
      </w:r>
    </w:p>
    <w:p w14:paraId="612735ED" w14:textId="358C7C4C" w:rsidR="007928CA" w:rsidRPr="00EB26AE" w:rsidRDefault="007928CA" w:rsidP="007928CA">
      <w:pPr>
        <w:pStyle w:val="SingleTxtG"/>
      </w:pPr>
      <w:r>
        <w:rPr>
          <w:i/>
          <w:iCs/>
          <w:lang w:val="fr-FR"/>
        </w:rPr>
        <w:lastRenderedPageBreak/>
        <w:t>Table des matières du Règlement</w:t>
      </w:r>
      <w:r>
        <w:rPr>
          <w:i/>
          <w:iCs/>
          <w:lang w:val="fr-FR"/>
        </w:rPr>
        <w:t xml:space="preserve"> ONU</w:t>
      </w:r>
      <w:r>
        <w:rPr>
          <w:i/>
          <w:iCs/>
          <w:lang w:val="fr-FR"/>
        </w:rPr>
        <w:t>,</w:t>
      </w:r>
      <w:r>
        <w:rPr>
          <w:lang w:val="fr-FR"/>
        </w:rPr>
        <w:t xml:space="preserve"> </w:t>
      </w:r>
    </w:p>
    <w:p w14:paraId="384CBE8F" w14:textId="50A8CB69" w:rsidR="007928CA" w:rsidRDefault="007928CA" w:rsidP="007928CA">
      <w:pPr>
        <w:pStyle w:val="SingleTxtG"/>
        <w:rPr>
          <w:lang w:val="fr-FR"/>
        </w:rPr>
      </w:pPr>
      <w:r>
        <w:rPr>
          <w:i/>
          <w:iCs/>
          <w:lang w:val="fr-FR"/>
        </w:rPr>
        <w:t>Ajouter la nouvelle annexe 4</w:t>
      </w:r>
      <w:r>
        <w:rPr>
          <w:lang w:val="fr-FR"/>
        </w:rPr>
        <w:t>, comme suit</w:t>
      </w:r>
      <w:r>
        <w:rPr>
          <w:lang w:val="fr-FR"/>
        </w:rPr>
        <w:t> </w:t>
      </w:r>
      <w:r>
        <w:rPr>
          <w:lang w:val="fr-FR"/>
        </w:rPr>
        <w:t>:</w:t>
      </w:r>
    </w:p>
    <w:p w14:paraId="73373848" w14:textId="77777777" w:rsidR="007928CA" w:rsidRPr="00EB26AE" w:rsidRDefault="007928CA" w:rsidP="007928CA">
      <w:pPr>
        <w:pStyle w:val="SingleTxtG"/>
        <w:rPr>
          <w:rFonts w:eastAsia="MS Mincho"/>
          <w:sz w:val="28"/>
        </w:rPr>
      </w:pPr>
      <w:r>
        <w:rPr>
          <w:lang w:val="fr-FR"/>
        </w:rPr>
        <w:t>« </w:t>
      </w:r>
      <w:r w:rsidRPr="00850181">
        <w:rPr>
          <w:sz w:val="28"/>
        </w:rPr>
        <w:t>Table des matières</w:t>
      </w:r>
    </w:p>
    <w:p w14:paraId="2877152C" w14:textId="77777777" w:rsidR="007928CA" w:rsidRPr="00EB26AE" w:rsidRDefault="007928CA" w:rsidP="007928CA">
      <w:pPr>
        <w:tabs>
          <w:tab w:val="right" w:pos="9638"/>
        </w:tabs>
        <w:spacing w:after="120"/>
        <w:ind w:left="283"/>
        <w:rPr>
          <w:sz w:val="18"/>
        </w:rPr>
      </w:pPr>
      <w:r>
        <w:rPr>
          <w:lang w:val="fr-FR"/>
        </w:rPr>
        <w:tab/>
      </w:r>
      <w:r>
        <w:rPr>
          <w:i/>
          <w:iCs/>
          <w:lang w:val="fr-FR"/>
        </w:rPr>
        <w:t>Page</w:t>
      </w:r>
    </w:p>
    <w:p w14:paraId="7B740BED" w14:textId="77777777" w:rsidR="007928CA" w:rsidRPr="00EB26AE" w:rsidRDefault="007928CA" w:rsidP="007928CA">
      <w:pPr>
        <w:pStyle w:val="SingleTxtG"/>
        <w:tabs>
          <w:tab w:val="left" w:pos="567"/>
          <w:tab w:val="left" w:pos="1134"/>
          <w:tab w:val="right" w:leader="dot" w:pos="8505"/>
          <w:tab w:val="right" w:pos="9639"/>
        </w:tabs>
        <w:ind w:left="1170" w:right="238"/>
      </w:pPr>
      <w:r>
        <w:rPr>
          <w:lang w:val="fr-FR"/>
        </w:rPr>
        <w:t>Règlement</w:t>
      </w:r>
    </w:p>
    <w:p w14:paraId="2DFA8639" w14:textId="77777777" w:rsidR="007928CA" w:rsidRPr="00EB26AE" w:rsidRDefault="007928CA" w:rsidP="007928CA">
      <w:pPr>
        <w:tabs>
          <w:tab w:val="right" w:pos="850"/>
          <w:tab w:val="right" w:leader="dot" w:pos="8787"/>
          <w:tab w:val="right" w:pos="9638"/>
        </w:tabs>
        <w:spacing w:after="120"/>
        <w:ind w:left="1701" w:hanging="567"/>
      </w:pPr>
      <w:r>
        <w:rPr>
          <w:lang w:val="fr-FR"/>
        </w:rPr>
        <w:t>0.</w:t>
      </w:r>
      <w:r>
        <w:rPr>
          <w:lang w:val="fr-FR"/>
        </w:rPr>
        <w:tab/>
        <w:t>Introduction (pour information)</w:t>
      </w:r>
      <w:r>
        <w:rPr>
          <w:lang w:val="fr-FR"/>
        </w:rPr>
        <w:tab/>
      </w:r>
      <w:r>
        <w:rPr>
          <w:lang w:val="fr-FR"/>
        </w:rPr>
        <w:tab/>
      </w:r>
    </w:p>
    <w:p w14:paraId="7EFC0DBF" w14:textId="77777777" w:rsidR="007928CA" w:rsidRPr="00EB26AE" w:rsidRDefault="007928CA" w:rsidP="007928CA">
      <w:pPr>
        <w:pStyle w:val="SingleTxtG"/>
      </w:pPr>
      <w:r>
        <w:rPr>
          <w:lang w:val="fr-FR"/>
        </w:rPr>
        <w:t>…</w:t>
      </w:r>
    </w:p>
    <w:p w14:paraId="26A85ECF" w14:textId="77777777" w:rsidR="007928CA" w:rsidRPr="00EB26AE" w:rsidRDefault="007928CA" w:rsidP="007928CA">
      <w:pPr>
        <w:pStyle w:val="SingleTxtG"/>
        <w:rPr>
          <w:rFonts w:eastAsia="MS Mincho"/>
        </w:rPr>
      </w:pPr>
      <w:r>
        <w:rPr>
          <w:lang w:val="fr-FR"/>
        </w:rPr>
        <w:t>Annexes</w:t>
      </w:r>
    </w:p>
    <w:p w14:paraId="2449FFF2" w14:textId="77777777" w:rsidR="007928CA" w:rsidRPr="00EB26AE" w:rsidRDefault="007928CA" w:rsidP="007928CA">
      <w:pPr>
        <w:pStyle w:val="SingleTxtG"/>
      </w:pPr>
      <w:r>
        <w:rPr>
          <w:lang w:val="fr-FR"/>
        </w:rPr>
        <w:t>…</w:t>
      </w:r>
    </w:p>
    <w:p w14:paraId="45ECAB19" w14:textId="77777777" w:rsidR="007928CA" w:rsidRPr="00EB26AE" w:rsidRDefault="007928CA" w:rsidP="007928CA">
      <w:pPr>
        <w:tabs>
          <w:tab w:val="right" w:pos="850"/>
          <w:tab w:val="right" w:leader="dot" w:pos="8787"/>
          <w:tab w:val="right" w:pos="9638"/>
        </w:tabs>
        <w:spacing w:after="120"/>
        <w:ind w:left="1701" w:hanging="567"/>
      </w:pPr>
      <w:r>
        <w:rPr>
          <w:lang w:val="fr-FR"/>
        </w:rPr>
        <w:t>4.</w:t>
      </w:r>
      <w:r>
        <w:rPr>
          <w:lang w:val="fr-FR"/>
        </w:rPr>
        <w:tab/>
        <w:t>Épreuve dynamique du signal d’information sur l’angle mort (épreuve de substitution)</w:t>
      </w:r>
      <w:r>
        <w:rPr>
          <w:lang w:val="fr-FR"/>
        </w:rPr>
        <w:tab/>
      </w:r>
      <w:r>
        <w:rPr>
          <w:lang w:val="fr-FR"/>
        </w:rPr>
        <w:tab/>
      </w:r>
    </w:p>
    <w:p w14:paraId="236CC32A" w14:textId="187E0BB7" w:rsidR="007928CA" w:rsidRPr="00EB26AE" w:rsidRDefault="007928CA" w:rsidP="007928CA">
      <w:pPr>
        <w:tabs>
          <w:tab w:val="right" w:pos="850"/>
          <w:tab w:val="right" w:leader="dot" w:pos="8787"/>
          <w:tab w:val="right" w:pos="9638"/>
        </w:tabs>
        <w:spacing w:after="120"/>
        <w:ind w:left="1701" w:hanging="567"/>
      </w:pPr>
      <w:r>
        <w:rPr>
          <w:lang w:val="fr-FR"/>
        </w:rPr>
        <w:tab/>
        <w:t>Appendice</w:t>
      </w:r>
      <w:r>
        <w:rPr>
          <w:lang w:val="fr-FR"/>
        </w:rPr>
        <w:t> </w:t>
      </w:r>
      <w:r>
        <w:rPr>
          <w:lang w:val="fr-FR"/>
        </w:rPr>
        <w:t>: Enveloppes et points correspondants</w:t>
      </w:r>
      <w:r>
        <w:rPr>
          <w:lang w:val="fr-FR"/>
        </w:rPr>
        <w:tab/>
        <w:t> </w:t>
      </w:r>
      <w:r>
        <w:t>»</w:t>
      </w:r>
      <w:r>
        <w:rPr>
          <w:lang w:val="fr-FR"/>
        </w:rPr>
        <w:t>.</w:t>
      </w:r>
    </w:p>
    <w:p w14:paraId="1E87D702" w14:textId="77777777" w:rsidR="007928CA" w:rsidRPr="00EB26AE" w:rsidRDefault="007928CA" w:rsidP="007928CA">
      <w:pPr>
        <w:pStyle w:val="SingleTxtG"/>
      </w:pPr>
      <w:r w:rsidRPr="00850181">
        <w:rPr>
          <w:i/>
          <w:iCs/>
          <w:lang w:val="fr-FR"/>
        </w:rPr>
        <w:t>Ajouter le nouveau paragraphe 2.19</w:t>
      </w:r>
      <w:r>
        <w:rPr>
          <w:lang w:val="fr-FR"/>
        </w:rPr>
        <w:t xml:space="preserve">, libellé comme suit : </w:t>
      </w:r>
    </w:p>
    <w:p w14:paraId="5C503CC5" w14:textId="40EEDED1" w:rsidR="007928CA" w:rsidRPr="00EB26AE" w:rsidRDefault="007928CA" w:rsidP="007928CA">
      <w:pPr>
        <w:pStyle w:val="SingleTxtG"/>
        <w:ind w:left="2268" w:hanging="1134"/>
      </w:pPr>
      <w:r>
        <w:rPr>
          <w:lang w:val="fr-FR"/>
        </w:rPr>
        <w:t>« </w:t>
      </w:r>
      <w:r>
        <w:rPr>
          <w:lang w:val="fr-FR"/>
        </w:rPr>
        <w:t>2.19</w:t>
      </w:r>
      <w:r>
        <w:rPr>
          <w:lang w:val="fr-FR"/>
        </w:rPr>
        <w:tab/>
        <w:t>“TTC”, le temps restant avant la collision, calculé entre le point de référence du vélo et le point d’impact (théorique). Aux fins du présent Règlement, l’équation peut être formulée comme suit</w:t>
      </w:r>
      <w:r>
        <w:rPr>
          <w:lang w:val="fr-FR"/>
        </w:rPr>
        <w:t> </w:t>
      </w:r>
      <w:r>
        <w:rPr>
          <w:lang w:val="fr-FR"/>
        </w:rPr>
        <w:t xml:space="preserve">: </w:t>
      </w:r>
      <m:oMath>
        <m:r>
          <w:rPr>
            <w:rFonts w:ascii="Cambria Math" w:hAnsi="Cambria Math"/>
          </w:rPr>
          <m:t>TTC=</m:t>
        </m:r>
        <m:sSub>
          <m:sSubPr>
            <m:ctrlPr>
              <w:rPr>
                <w:rFonts w:ascii="Cambria Math" w:hAnsi="Cambria Math"/>
                <w:i/>
              </w:rPr>
            </m:ctrlPr>
          </m:sSubPr>
          <m:e>
            <m:r>
              <w:rPr>
                <w:rFonts w:ascii="Cambria Math" w:hAnsi="Cambria Math"/>
              </w:rPr>
              <m:t>x</m:t>
            </m:r>
          </m:e>
          <m:sub>
            <m:r>
              <w:rPr>
                <w:rFonts w:ascii="Cambria Math" w:hAnsi="Cambria Math"/>
              </w:rPr>
              <m:t>bicycle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bicycle</m:t>
            </m:r>
          </m:sub>
        </m:sSub>
      </m:oMath>
      <w:r>
        <w:t> ; »</w:t>
      </w:r>
      <w:r w:rsidRPr="00EB26AE">
        <w:t>.</w:t>
      </w:r>
    </w:p>
    <w:p w14:paraId="0D3831A1" w14:textId="005D7A21" w:rsidR="007928CA" w:rsidRPr="00EB26AE" w:rsidRDefault="007928CA" w:rsidP="007928CA">
      <w:pPr>
        <w:pStyle w:val="SingleTxtG"/>
        <w:rPr>
          <w:iCs/>
        </w:rPr>
      </w:pPr>
      <w:r>
        <w:rPr>
          <w:i/>
          <w:iCs/>
          <w:lang w:val="fr-FR"/>
        </w:rPr>
        <w:t>Paragraphe 5.1</w:t>
      </w:r>
      <w:r>
        <w:rPr>
          <w:lang w:val="fr-FR"/>
        </w:rPr>
        <w:t>, lire</w:t>
      </w:r>
      <w:r>
        <w:rPr>
          <w:lang w:val="fr-FR"/>
        </w:rPr>
        <w:t> </w:t>
      </w:r>
      <w:r>
        <w:rPr>
          <w:lang w:val="fr-FR"/>
        </w:rPr>
        <w:t>:</w:t>
      </w:r>
    </w:p>
    <w:p w14:paraId="3FD49BB8" w14:textId="53C9F3F2" w:rsidR="007928CA" w:rsidRPr="00EB26AE" w:rsidRDefault="007928CA" w:rsidP="007928CA">
      <w:pPr>
        <w:pStyle w:val="SingleTxtG"/>
        <w:ind w:left="2268" w:hanging="1134"/>
        <w:rPr>
          <w:strike/>
        </w:rPr>
      </w:pPr>
      <w:r>
        <w:rPr>
          <w:lang w:val="fr-FR"/>
        </w:rPr>
        <w:t>« </w:t>
      </w:r>
      <w:r>
        <w:rPr>
          <w:lang w:val="fr-FR"/>
        </w:rPr>
        <w:t>5.1</w:t>
      </w:r>
      <w:r>
        <w:rPr>
          <w:lang w:val="fr-FR"/>
        </w:rPr>
        <w:tab/>
        <w:t>Tout véhicule … du présent Règlement.</w:t>
      </w:r>
    </w:p>
    <w:p w14:paraId="5A66BE74" w14:textId="78C6E96F" w:rsidR="007928CA" w:rsidRPr="00EB26AE" w:rsidRDefault="007928CA" w:rsidP="007928CA">
      <w:pPr>
        <w:pStyle w:val="SingleTxtG"/>
        <w:ind w:left="2268"/>
      </w:pPr>
      <w:r>
        <w:rPr>
          <w:lang w:val="fr-FR"/>
        </w:rPr>
        <w:tab/>
        <w:t>Lorsqu’un véhicule est équipé d’un dispositif permettant de désactiver automatiquement la fonction de surveillance de l’angle mort dans certaines situations, par exemple lorsque du matériel de nettoyage des rues ou de déneigement est fixé au véhicule, ou encore dans le cas du vidage de poubelles ou de l’ouverture des portes d’un autobus, les dispositions suivantes s’appliquent, selon le cas</w:t>
      </w:r>
      <w:r>
        <w:rPr>
          <w:lang w:val="fr-FR"/>
        </w:rPr>
        <w:t> </w:t>
      </w:r>
      <w:r>
        <w:rPr>
          <w:lang w:val="fr-FR"/>
        </w:rPr>
        <w:t>:</w:t>
      </w:r>
    </w:p>
    <w:p w14:paraId="32A55576" w14:textId="77777777" w:rsidR="007928CA" w:rsidRPr="00EB26AE" w:rsidRDefault="007928CA" w:rsidP="007928CA">
      <w:pPr>
        <w:pStyle w:val="SingleTxtG"/>
        <w:ind w:left="2268"/>
      </w:pPr>
      <w:r>
        <w:rPr>
          <w:lang w:val="fr-FR"/>
        </w:rPr>
        <w:tab/>
        <w:t>Le constructeur du véhicule doit communiquer au service technique, au moment de l’homologation de type, la liste de ces situations et les critères correspondants de désactivation de la fonction de surveillance de l’angle mort, et cette liste doit être annexée au procès-verbal d’épreuve.</w:t>
      </w:r>
    </w:p>
    <w:p w14:paraId="0BCC6A3C" w14:textId="77777777" w:rsidR="007928CA" w:rsidRPr="00EB26AE" w:rsidRDefault="007928CA" w:rsidP="007928CA">
      <w:pPr>
        <w:pStyle w:val="SingleTxtG"/>
        <w:ind w:left="2268"/>
      </w:pPr>
      <w:r>
        <w:rPr>
          <w:lang w:val="fr-FR"/>
        </w:rPr>
        <w:tab/>
        <w:t>La fonction de surveillance de l’angle mort doit être réactivée automatiquement dès que les conditions ayant entraîné sa désactivation automatique ne sont plus réunies.</w:t>
      </w:r>
    </w:p>
    <w:p w14:paraId="3C143585" w14:textId="03ED0363" w:rsidR="007928CA" w:rsidRPr="00EB26AE" w:rsidRDefault="007928CA" w:rsidP="007928CA">
      <w:pPr>
        <w:pStyle w:val="SingleTxtG"/>
        <w:ind w:left="2268"/>
      </w:pPr>
      <w:r>
        <w:rPr>
          <w:lang w:val="fr-FR"/>
        </w:rPr>
        <w:tab/>
        <w:t>Un signal d’avertissement visuel continu doit informer le conducteur que la fonction a été désactivée. Le signal de défaillance de couleur jaune mentionné au paragraphe 5.6 ci-après peut être utilisé à cette fin.</w:t>
      </w:r>
      <w:r>
        <w:rPr>
          <w:lang w:val="fr-FR"/>
        </w:rPr>
        <w:t> »</w:t>
      </w:r>
      <w:r>
        <w:rPr>
          <w:lang w:val="fr-FR"/>
        </w:rPr>
        <w:t>.</w:t>
      </w:r>
    </w:p>
    <w:p w14:paraId="6E561238" w14:textId="58DC940C" w:rsidR="007928CA" w:rsidRPr="00EB26AE" w:rsidRDefault="007928CA" w:rsidP="007928CA">
      <w:pPr>
        <w:pStyle w:val="SingleTxtG"/>
      </w:pPr>
      <w:r>
        <w:rPr>
          <w:i/>
          <w:iCs/>
          <w:lang w:val="fr-FR"/>
        </w:rPr>
        <w:t>Paragraphe 5.3.1.4</w:t>
      </w:r>
      <w:r>
        <w:rPr>
          <w:lang w:val="fr-FR"/>
        </w:rPr>
        <w:t>, lire</w:t>
      </w:r>
      <w:r>
        <w:rPr>
          <w:lang w:val="fr-FR"/>
        </w:rPr>
        <w:t> </w:t>
      </w:r>
      <w:r>
        <w:rPr>
          <w:lang w:val="fr-FR"/>
        </w:rPr>
        <w:t>:</w:t>
      </w:r>
    </w:p>
    <w:p w14:paraId="7705E58D" w14:textId="05521674" w:rsidR="007928CA" w:rsidRPr="00EB26AE" w:rsidRDefault="007928CA" w:rsidP="007928CA">
      <w:pPr>
        <w:pStyle w:val="SingleTxtG"/>
        <w:ind w:left="2268" w:hanging="1134"/>
        <w:rPr>
          <w:iCs/>
        </w:rPr>
      </w:pPr>
      <w:r>
        <w:rPr>
          <w:lang w:val="fr-FR"/>
        </w:rPr>
        <w:t>« </w:t>
      </w:r>
      <w:r>
        <w:rPr>
          <w:lang w:val="fr-FR"/>
        </w:rPr>
        <w:t>5.3.1.4</w:t>
      </w:r>
      <w:r>
        <w:rPr>
          <w:lang w:val="fr-FR"/>
        </w:rPr>
        <w:tab/>
        <w:t xml:space="preserve">Le système de surveillance de l’angle mort doit donner un signal d’information au dernier point d’information concernant tout vélo se déplaçant à une vitesse comprise entre 5 et 20 km/h, à une distance latérale entre le vélo et le véhicule comprise entre 0,9 et 4,25 m, ce qui, si le conducteur du véhicule appliquait un mouvement de direction normal, pourrait entraîner une collision entre le vélo et le véhicule, le point d’impact étant situé entre 0 et 6 m par rapport à l’angle avant droit du véhicule. </w:t>
      </w:r>
    </w:p>
    <w:p w14:paraId="38445220" w14:textId="77777777" w:rsidR="007928CA" w:rsidRPr="00EB26AE" w:rsidRDefault="007928CA" w:rsidP="007928CA">
      <w:pPr>
        <w:pStyle w:val="SingleTxtG"/>
        <w:ind w:left="2268"/>
        <w:rPr>
          <w:iCs/>
        </w:rPr>
      </w:pPr>
      <w:r>
        <w:rPr>
          <w:lang w:val="fr-FR"/>
        </w:rPr>
        <w:t xml:space="preserve">Le signal d’information ne doit pas être visible avant le premier point d’information. Il doit être donné entre le premier point d’information et le dernier point d’information. </w:t>
      </w:r>
    </w:p>
    <w:p w14:paraId="300F71DD" w14:textId="77777777" w:rsidR="007928CA" w:rsidRPr="00EB26AE" w:rsidRDefault="007928CA" w:rsidP="007928CA">
      <w:pPr>
        <w:pStyle w:val="SingleTxtG"/>
        <w:ind w:left="2268"/>
        <w:rPr>
          <w:iCs/>
        </w:rPr>
      </w:pPr>
      <w:r>
        <w:rPr>
          <w:lang w:val="fr-FR"/>
        </w:rPr>
        <w:t xml:space="preserve">Le système doit également émettre un signal d’information si un vélo se déplace à une vitesse comprise entre 5 et 20 km/h, à une distance latérale comprise entre 0,25 et 0,9 m, et se situe dans le plan longitudinal à une distance </w:t>
      </w:r>
      <w:r>
        <w:rPr>
          <w:lang w:val="fr-FR"/>
        </w:rPr>
        <w:lastRenderedPageBreak/>
        <w:t>comprise entre -0,6 et +0,6 m par rapport au centre de la roue avant la plus en avant pendant la conduite en ligne droite.</w:t>
      </w:r>
    </w:p>
    <w:p w14:paraId="5B8FF5C3" w14:textId="6BF23E34" w:rsidR="007928CA" w:rsidRPr="00EB26AE" w:rsidRDefault="007928CA" w:rsidP="007928CA">
      <w:pPr>
        <w:pStyle w:val="SingleTxtG"/>
        <w:ind w:left="2268"/>
        <w:rPr>
          <w:bCs/>
          <w:iCs/>
        </w:rPr>
      </w:pPr>
      <w:r>
        <w:rPr>
          <w:lang w:val="fr-FR"/>
        </w:rPr>
        <w:t>Toutefois, le signal d’information n’est pas exigé lorsque la distance relative entre le vélo et l’angle avant droit du véhicule dans le sens longitudinal est supérieure à 30 m vers l’arrière ou à 7 m vers l’avant. Il n’est pas exigé non plus si le TTC est supérieur à 9 s.</w:t>
      </w:r>
      <w:r>
        <w:rPr>
          <w:lang w:val="fr-FR"/>
        </w:rPr>
        <w:t> »</w:t>
      </w:r>
      <w:r>
        <w:rPr>
          <w:lang w:val="fr-FR"/>
        </w:rPr>
        <w:t>.</w:t>
      </w:r>
    </w:p>
    <w:p w14:paraId="3CD428CF" w14:textId="5F9C9B5D" w:rsidR="007928CA" w:rsidRPr="00EB26AE" w:rsidRDefault="007928CA" w:rsidP="007928CA">
      <w:pPr>
        <w:pStyle w:val="SingleTxtG"/>
        <w:rPr>
          <w:bCs/>
        </w:rPr>
      </w:pPr>
      <w:r>
        <w:rPr>
          <w:i/>
          <w:iCs/>
          <w:lang w:val="fr-FR"/>
        </w:rPr>
        <w:t>Ajouter un nouveau paragraphe 6.3.4</w:t>
      </w:r>
      <w:r>
        <w:rPr>
          <w:lang w:val="fr-FR"/>
        </w:rPr>
        <w:t>, libellé comme suit</w:t>
      </w:r>
      <w:r>
        <w:rPr>
          <w:lang w:val="fr-FR"/>
        </w:rPr>
        <w:t> </w:t>
      </w:r>
      <w:r>
        <w:rPr>
          <w:lang w:val="fr-FR"/>
        </w:rPr>
        <w:t xml:space="preserve">: </w:t>
      </w:r>
    </w:p>
    <w:p w14:paraId="322E676A" w14:textId="58B00E9E" w:rsidR="007928CA" w:rsidRPr="00EB26AE" w:rsidRDefault="007928CA" w:rsidP="007928CA">
      <w:pPr>
        <w:pStyle w:val="SingleTxtG"/>
        <w:ind w:left="2268" w:hanging="1134"/>
        <w:rPr>
          <w:bCs/>
        </w:rPr>
      </w:pPr>
      <w:r>
        <w:rPr>
          <w:lang w:val="fr-FR"/>
        </w:rPr>
        <w:t>« </w:t>
      </w:r>
      <w:r>
        <w:rPr>
          <w:lang w:val="fr-FR"/>
        </w:rPr>
        <w:t>6.3.4</w:t>
      </w:r>
      <w:r>
        <w:rPr>
          <w:lang w:val="fr-FR"/>
        </w:rPr>
        <w:tab/>
        <w:t>Conditionnement préalable à l’épreuve</w:t>
      </w:r>
    </w:p>
    <w:p w14:paraId="39421BA9" w14:textId="5D17A001" w:rsidR="007928CA" w:rsidRPr="00EB26AE" w:rsidRDefault="007928CA" w:rsidP="007928CA">
      <w:pPr>
        <w:pStyle w:val="SingleTxtG"/>
        <w:ind w:left="2268"/>
        <w:rPr>
          <w:bCs/>
        </w:rPr>
      </w:pPr>
      <w:r>
        <w:rPr>
          <w:lang w:val="fr-FR"/>
        </w:rPr>
        <w:tab/>
        <w:t>À la demande du constructeur, le véhicule peut être conduit pendant 100 km au maximum sur une combinaison de routes urbaines et rurales, dans des conditions de circulation différentes et en présence d’équipement routiers, afin d’initialiser le système de capteurs.</w:t>
      </w:r>
      <w:r>
        <w:rPr>
          <w:lang w:val="fr-FR"/>
        </w:rPr>
        <w:t> »</w:t>
      </w:r>
      <w:r>
        <w:rPr>
          <w:lang w:val="fr-FR"/>
        </w:rPr>
        <w:t>.</w:t>
      </w:r>
    </w:p>
    <w:p w14:paraId="382BE72E" w14:textId="46C4CDB1" w:rsidR="007928CA" w:rsidRPr="00EB26AE" w:rsidRDefault="007928CA" w:rsidP="007928CA">
      <w:pPr>
        <w:pStyle w:val="SingleTxtG"/>
        <w:rPr>
          <w:bCs/>
          <w:iCs/>
        </w:rPr>
      </w:pPr>
      <w:r>
        <w:rPr>
          <w:i/>
          <w:iCs/>
          <w:lang w:val="fr-FR"/>
        </w:rPr>
        <w:t>Paragraphe 6.5.7</w:t>
      </w:r>
      <w:r>
        <w:rPr>
          <w:lang w:val="fr-FR"/>
        </w:rPr>
        <w:t>, lire</w:t>
      </w:r>
      <w:r>
        <w:rPr>
          <w:lang w:val="fr-FR"/>
        </w:rPr>
        <w:t> </w:t>
      </w:r>
      <w:r>
        <w:rPr>
          <w:lang w:val="fr-FR"/>
        </w:rPr>
        <w:t>:</w:t>
      </w:r>
    </w:p>
    <w:p w14:paraId="07509FD0" w14:textId="3E6E5397" w:rsidR="007928CA" w:rsidRPr="00EB26AE" w:rsidRDefault="007928CA" w:rsidP="007928CA">
      <w:pPr>
        <w:pStyle w:val="SingleTxtG"/>
        <w:ind w:left="2268" w:hanging="1134"/>
        <w:rPr>
          <w:bCs/>
        </w:rPr>
      </w:pPr>
      <w:r>
        <w:rPr>
          <w:lang w:val="fr-FR"/>
        </w:rPr>
        <w:t>« </w:t>
      </w:r>
      <w:r>
        <w:rPr>
          <w:lang w:val="fr-FR"/>
        </w:rPr>
        <w:t>6.5.7</w:t>
      </w:r>
      <w:r>
        <w:rPr>
          <w:lang w:val="fr-FR"/>
        </w:rPr>
        <w:tab/>
        <w:t>Vérification du signal d’information sur l’angle mort</w:t>
      </w:r>
    </w:p>
    <w:p w14:paraId="3B0FA8B5" w14:textId="77777777" w:rsidR="007928CA" w:rsidRPr="00EB26AE" w:rsidRDefault="007928CA" w:rsidP="007928CA">
      <w:pPr>
        <w:pStyle w:val="SingleTxtG"/>
        <w:ind w:left="2268"/>
        <w:rPr>
          <w:bCs/>
        </w:rPr>
      </w:pPr>
      <w:r>
        <w:rPr>
          <w:lang w:val="fr-FR"/>
        </w:rPr>
        <w:tab/>
        <w:t xml:space="preserve">Le signal d’information sur l’angle mort peut être vérifié selon deux méthodes, à la discrétion du constructeur : </w:t>
      </w:r>
    </w:p>
    <w:p w14:paraId="62C7FFCB" w14:textId="77777777" w:rsidR="007928CA" w:rsidRPr="00EB26AE" w:rsidRDefault="007928CA" w:rsidP="007928CA">
      <w:pPr>
        <w:spacing w:after="120"/>
        <w:ind w:left="2988" w:right="1134" w:hanging="720"/>
        <w:jc w:val="both"/>
        <w:rPr>
          <w:bCs/>
        </w:rPr>
      </w:pPr>
      <w:r>
        <w:rPr>
          <w:lang w:val="fr-FR"/>
        </w:rPr>
        <w:t>a)</w:t>
      </w:r>
      <w:r>
        <w:rPr>
          <w:lang w:val="fr-FR"/>
        </w:rPr>
        <w:tab/>
        <w:t>Vérifier que le signal d’information sur l’angle mort a été activé avant que le véhicule franchisse la ligne C de la figure 1 de l’appendice 1 du présent Règlement, et qu’il n’a pas été activé avant que le véhicule franchisse la ligne D de la figure 1 ;</w:t>
      </w:r>
    </w:p>
    <w:p w14:paraId="2DACF8FF" w14:textId="46C1BDAB" w:rsidR="007928CA" w:rsidRPr="00EB26AE" w:rsidRDefault="007928CA" w:rsidP="007928CA">
      <w:pPr>
        <w:spacing w:after="120"/>
        <w:ind w:left="2988" w:right="1134" w:hanging="720"/>
        <w:jc w:val="both"/>
        <w:rPr>
          <w:bCs/>
        </w:rPr>
      </w:pPr>
      <w:r>
        <w:rPr>
          <w:lang w:val="fr-FR"/>
        </w:rPr>
        <w:t>b)</w:t>
      </w:r>
      <w:r>
        <w:rPr>
          <w:lang w:val="fr-FR"/>
        </w:rPr>
        <w:tab/>
        <w:t>L’activation du signal d’information sur l’angle mort peut être vérifiée au moyen de la procédure d’épreuve décrite dans l’annexe 4 du présent Règlement.</w:t>
      </w:r>
      <w:r>
        <w:rPr>
          <w:lang w:val="fr-FR"/>
        </w:rPr>
        <w:t> »</w:t>
      </w:r>
      <w:r>
        <w:rPr>
          <w:lang w:val="fr-FR"/>
        </w:rPr>
        <w:t>.</w:t>
      </w:r>
    </w:p>
    <w:p w14:paraId="5FD917D7" w14:textId="48F5DB76" w:rsidR="007928CA" w:rsidRPr="00EB26AE" w:rsidRDefault="007928CA" w:rsidP="007928CA">
      <w:pPr>
        <w:pStyle w:val="SingleTxtG"/>
        <w:rPr>
          <w:rFonts w:eastAsia="MS Mincho"/>
          <w:bCs/>
        </w:rPr>
      </w:pPr>
      <w:r>
        <w:rPr>
          <w:i/>
          <w:iCs/>
          <w:lang w:val="fr-FR"/>
        </w:rPr>
        <w:t>Paragraphe 6.5.10</w:t>
      </w:r>
      <w:r>
        <w:rPr>
          <w:lang w:val="fr-FR"/>
        </w:rPr>
        <w:t>, lire</w:t>
      </w:r>
      <w:r>
        <w:rPr>
          <w:lang w:val="fr-FR"/>
        </w:rPr>
        <w:t> </w:t>
      </w:r>
      <w:r>
        <w:rPr>
          <w:lang w:val="fr-FR"/>
        </w:rPr>
        <w:t>:</w:t>
      </w:r>
    </w:p>
    <w:p w14:paraId="26747EB4" w14:textId="1D6854B7" w:rsidR="007928CA" w:rsidRPr="00EB26AE" w:rsidRDefault="007928CA" w:rsidP="007928CA">
      <w:pPr>
        <w:pStyle w:val="SingleTxtG"/>
        <w:ind w:left="2268" w:hanging="1134"/>
        <w:rPr>
          <w:bCs/>
        </w:rPr>
      </w:pPr>
      <w:r>
        <w:rPr>
          <w:lang w:val="fr-FR"/>
        </w:rPr>
        <w:t>« </w:t>
      </w:r>
      <w:r>
        <w:rPr>
          <w:lang w:val="fr-FR"/>
        </w:rPr>
        <w:t>6.5.10</w:t>
      </w:r>
      <w:r>
        <w:rPr>
          <w:lang w:val="fr-FR"/>
        </w:rPr>
        <w:tab/>
        <w:t>L’épreuve est considérée comme réussie si le signal d’information sur l’angle mort s’est déclenché dans tous les cas prévus au tableau 1 de l’appendice 1 du présent Règlement avant que le véhicule ait franchi la ligne C (voir le paragraphe</w:t>
      </w:r>
      <w:r>
        <w:rPr>
          <w:lang w:val="fr-FR"/>
        </w:rPr>
        <w:t> </w:t>
      </w:r>
      <w:r>
        <w:rPr>
          <w:lang w:val="fr-FR"/>
        </w:rPr>
        <w:t>6.5.7 ci-dessus), ou si l’activation du signal d’information sur l’angle mort a été vérifiée au moyen de la procédure d’épreuve décrite dans l’annexe</w:t>
      </w:r>
      <w:r>
        <w:rPr>
          <w:lang w:val="fr-FR"/>
        </w:rPr>
        <w:t> </w:t>
      </w:r>
      <w:r>
        <w:rPr>
          <w:lang w:val="fr-FR"/>
        </w:rPr>
        <w:t>4, et s’il ne s’est pas déclenché une seule fois lorsque le véhicule a franchi le panneau de signalisation (voir le paragraphe 6.5.8 ci-dessus).</w:t>
      </w:r>
    </w:p>
    <w:p w14:paraId="5E2D92EF" w14:textId="447ECB3D" w:rsidR="007928CA" w:rsidRPr="00EB26AE" w:rsidRDefault="007928CA" w:rsidP="007928CA">
      <w:pPr>
        <w:pStyle w:val="SingleTxtG"/>
        <w:ind w:left="2268"/>
        <w:rPr>
          <w:bCs/>
        </w:rPr>
      </w:pPr>
      <w:r>
        <w:rPr>
          <w:lang w:val="fr-FR"/>
        </w:rPr>
        <w:tab/>
        <w:t>…</w:t>
      </w:r>
      <w:r>
        <w:rPr>
          <w:lang w:val="fr-FR"/>
        </w:rPr>
        <w:t> »</w:t>
      </w:r>
      <w:r>
        <w:rPr>
          <w:lang w:val="fr-FR"/>
        </w:rPr>
        <w:t>.</w:t>
      </w:r>
    </w:p>
    <w:p w14:paraId="156AC8F9" w14:textId="0D86A20C" w:rsidR="007928CA" w:rsidRPr="00EB26AE" w:rsidRDefault="007928CA" w:rsidP="007928CA">
      <w:pPr>
        <w:pStyle w:val="SingleTxtG"/>
        <w:rPr>
          <w:i/>
        </w:rPr>
      </w:pPr>
      <w:r>
        <w:rPr>
          <w:i/>
          <w:iCs/>
          <w:lang w:val="fr-FR"/>
        </w:rPr>
        <w:t>Ajouter la nouvelle annexe 4</w:t>
      </w:r>
      <w:r>
        <w:rPr>
          <w:lang w:val="fr-FR"/>
        </w:rPr>
        <w:t>, comme suit</w:t>
      </w:r>
      <w:r>
        <w:rPr>
          <w:lang w:val="fr-FR"/>
        </w:rPr>
        <w:t> </w:t>
      </w:r>
      <w:r>
        <w:rPr>
          <w:lang w:val="fr-FR"/>
        </w:rPr>
        <w:t>:</w:t>
      </w:r>
    </w:p>
    <w:p w14:paraId="3CACAC62" w14:textId="77777777" w:rsidR="007928CA" w:rsidRPr="00EB26AE" w:rsidRDefault="007928CA" w:rsidP="007928CA">
      <w:pPr>
        <w:pStyle w:val="HChG"/>
      </w:pPr>
      <w:r>
        <w:rPr>
          <w:lang w:val="fr-FR"/>
        </w:rPr>
        <w:tab/>
      </w:r>
      <w:r>
        <w:rPr>
          <w:lang w:val="fr-FR"/>
        </w:rPr>
        <w:tab/>
      </w:r>
      <w:r w:rsidRPr="00850181">
        <w:rPr>
          <w:b w:val="0"/>
          <w:bCs/>
          <w:sz w:val="20"/>
          <w:lang w:val="fr-FR"/>
        </w:rPr>
        <w:t>«</w:t>
      </w:r>
      <w:r>
        <w:rPr>
          <w:b w:val="0"/>
          <w:bCs/>
          <w:sz w:val="20"/>
          <w:lang w:val="fr-FR"/>
        </w:rPr>
        <w:t> </w:t>
      </w:r>
      <w:r>
        <w:rPr>
          <w:lang w:val="fr-FR"/>
        </w:rPr>
        <w:t>Annexe 4</w:t>
      </w:r>
    </w:p>
    <w:p w14:paraId="475E00B8" w14:textId="77777777" w:rsidR="007928CA" w:rsidRPr="00764E64" w:rsidRDefault="007928CA" w:rsidP="007928CA">
      <w:pPr>
        <w:pStyle w:val="HChG"/>
      </w:pPr>
      <w:r>
        <w:rPr>
          <w:lang w:val="fr-FR"/>
        </w:rPr>
        <w:tab/>
      </w:r>
      <w:r>
        <w:rPr>
          <w:lang w:val="fr-FR"/>
        </w:rPr>
        <w:tab/>
      </w:r>
      <w:r w:rsidRPr="00764E64">
        <w:rPr>
          <w:lang w:val="fr-FR"/>
        </w:rPr>
        <w:t>Épreuve dynamique du signal d</w:t>
      </w:r>
      <w:r>
        <w:rPr>
          <w:lang w:val="fr-FR"/>
        </w:rPr>
        <w:t>’</w:t>
      </w:r>
      <w:r w:rsidRPr="00764E64">
        <w:rPr>
          <w:lang w:val="fr-FR"/>
        </w:rPr>
        <w:t>information sur l</w:t>
      </w:r>
      <w:r>
        <w:rPr>
          <w:lang w:val="fr-FR"/>
        </w:rPr>
        <w:t>’</w:t>
      </w:r>
      <w:r w:rsidRPr="00764E64">
        <w:rPr>
          <w:lang w:val="fr-FR"/>
        </w:rPr>
        <w:t>angle mort (épreuve de substitution)</w:t>
      </w:r>
    </w:p>
    <w:p w14:paraId="7C4E79DE" w14:textId="01035E1C" w:rsidR="007928CA" w:rsidRPr="00EB26AE" w:rsidRDefault="007928CA" w:rsidP="007928CA">
      <w:pPr>
        <w:pStyle w:val="SingleTxtG"/>
        <w:ind w:left="2268" w:hanging="1134"/>
        <w:rPr>
          <w:bCs/>
        </w:rPr>
      </w:pPr>
      <w:r>
        <w:rPr>
          <w:lang w:val="fr-FR"/>
        </w:rPr>
        <w:t>0.</w:t>
      </w:r>
      <w:r>
        <w:rPr>
          <w:lang w:val="fr-FR"/>
        </w:rPr>
        <w:tab/>
        <w:t>Méthode d’épreuve et prescriptions applicables (non juridiquement contraignantes)</w:t>
      </w:r>
    </w:p>
    <w:p w14:paraId="69A6307C" w14:textId="7E806086" w:rsidR="007928CA" w:rsidRPr="00EB26AE" w:rsidRDefault="007928CA" w:rsidP="007928CA">
      <w:pPr>
        <w:pStyle w:val="SingleTxtG"/>
        <w:ind w:left="2268"/>
        <w:rPr>
          <w:bCs/>
        </w:rPr>
      </w:pPr>
      <w:r>
        <w:rPr>
          <w:lang w:val="fr-FR"/>
        </w:rPr>
        <w:t>La présente épreuve de substitution peut servir à vérifier que le système de surveillance de l’angle mort est conforme aux prescriptions énoncées au paragraphe</w:t>
      </w:r>
      <w:r>
        <w:rPr>
          <w:lang w:val="fr-FR"/>
        </w:rPr>
        <w:t> </w:t>
      </w:r>
      <w:r>
        <w:rPr>
          <w:lang w:val="fr-FR"/>
        </w:rPr>
        <w:t>5.3.1.4 en ce qui concerne le moment de son activation au sens des paragraphes</w:t>
      </w:r>
      <w:r>
        <w:rPr>
          <w:lang w:val="fr-FR"/>
        </w:rPr>
        <w:t> </w:t>
      </w:r>
      <w:r>
        <w:rPr>
          <w:lang w:val="fr-FR"/>
        </w:rPr>
        <w:t xml:space="preserve">6.5.7 et 6.5.10, sous réserve que les épreuves soient effectuées à l’aide d’un matériel permettant de contrôler, à tout moment et avec une précision absolue de ±0,5 m, la position du véhicule soumis à l’épreuve et celle du mannequin cycliste. Ce matériel doit comprendre un dispositif capable de commander le mouvement du véhicule, tel qu’un robot de conduite ou un système de conduite ayant accès aux actionneurs du véhicule, une plateforme </w:t>
      </w:r>
      <w:r>
        <w:rPr>
          <w:lang w:val="fr-FR"/>
        </w:rPr>
        <w:lastRenderedPageBreak/>
        <w:t>commandée par robot pour le mannequin cycliste, ainsi qu’un système de positionnement s’appuyant sur un système mondial de navigation par satellite différentiel et une unité de mesure inertielle. On notera que les autres prescriptions du paragraphe 5.3.1.4, particulièrement en ce qui concerne les faux positifs et le premier point d’information, restent à vérifier conformément à la procédure décrite au paragraphe 6.5.</w:t>
      </w:r>
    </w:p>
    <w:p w14:paraId="1557F673" w14:textId="15D9B640" w:rsidR="007928CA" w:rsidRPr="00EB26AE" w:rsidRDefault="007928CA" w:rsidP="007928CA">
      <w:pPr>
        <w:pStyle w:val="SingleTxtG"/>
        <w:ind w:left="2268" w:hanging="1134"/>
        <w:rPr>
          <w:bCs/>
        </w:rPr>
      </w:pPr>
      <w:r>
        <w:rPr>
          <w:lang w:val="fr-FR"/>
        </w:rPr>
        <w:t>1.</w:t>
      </w:r>
      <w:r>
        <w:rPr>
          <w:lang w:val="fr-FR"/>
        </w:rPr>
        <w:tab/>
        <w:t>Procédure de l’épreuve</w:t>
      </w:r>
    </w:p>
    <w:p w14:paraId="6A96574B" w14:textId="77777777" w:rsidR="007928CA" w:rsidRPr="00EB26AE" w:rsidRDefault="007928CA" w:rsidP="007928CA">
      <w:pPr>
        <w:pStyle w:val="SingleTxtG"/>
        <w:ind w:left="2268" w:hanging="1134"/>
        <w:rPr>
          <w:bCs/>
        </w:rPr>
      </w:pPr>
      <w:r>
        <w:rPr>
          <w:lang w:val="fr-FR"/>
        </w:rPr>
        <w:t>1.1</w:t>
      </w:r>
      <w:r>
        <w:rPr>
          <w:lang w:val="fr-FR"/>
        </w:rPr>
        <w:tab/>
        <w:t>Vérifier que le véhicule et la piste d’épreuve satisfont aux conditions décrites dans la section 6.</w:t>
      </w:r>
    </w:p>
    <w:p w14:paraId="249FB6F5" w14:textId="77777777" w:rsidR="007928CA" w:rsidRPr="00EB26AE" w:rsidRDefault="007928CA" w:rsidP="007928CA">
      <w:pPr>
        <w:pStyle w:val="SingleTxtG"/>
        <w:ind w:left="2268" w:hanging="1134"/>
        <w:rPr>
          <w:bCs/>
        </w:rPr>
      </w:pPr>
      <w:r>
        <w:rPr>
          <w:lang w:val="fr-FR"/>
        </w:rPr>
        <w:t>1.2</w:t>
      </w:r>
      <w:r>
        <w:rPr>
          <w:lang w:val="fr-FR"/>
        </w:rPr>
        <w:tab/>
        <w:t>Équiper le véhicule du matériel suivant :</w:t>
      </w:r>
    </w:p>
    <w:p w14:paraId="1E3A9F43" w14:textId="77777777" w:rsidR="007928CA" w:rsidRPr="00EB26AE" w:rsidRDefault="007928CA" w:rsidP="007928CA">
      <w:pPr>
        <w:pStyle w:val="SingleTxtG"/>
        <w:ind w:left="2268" w:hanging="1134"/>
        <w:rPr>
          <w:bCs/>
        </w:rPr>
      </w:pPr>
      <w:r>
        <w:rPr>
          <w:lang w:val="fr-FR"/>
        </w:rPr>
        <w:t>1.2.1</w:t>
      </w:r>
      <w:r>
        <w:rPr>
          <w:lang w:val="fr-FR"/>
        </w:rPr>
        <w:tab/>
        <w:t>Un système de positionnement capable de déterminer la position du véhicule avec une précision de 5 cm, tel qu’un système mondial de navigation par satellite (GNSS) différentiel couplé à une unité de mesure inertielle, ayant un taux d’échantillonnage minimal de 100 Hz.</w:t>
      </w:r>
    </w:p>
    <w:p w14:paraId="49FC810A" w14:textId="77777777" w:rsidR="007928CA" w:rsidRPr="00EB26AE" w:rsidRDefault="007928CA" w:rsidP="007928CA">
      <w:pPr>
        <w:pStyle w:val="SingleTxtG"/>
        <w:ind w:left="2268" w:hanging="1134"/>
        <w:rPr>
          <w:bCs/>
        </w:rPr>
      </w:pPr>
      <w:r>
        <w:rPr>
          <w:lang w:val="fr-FR"/>
        </w:rPr>
        <w:t>1.2.2</w:t>
      </w:r>
      <w:r>
        <w:rPr>
          <w:lang w:val="fr-FR"/>
        </w:rPr>
        <w:tab/>
        <w:t xml:space="preserve">Un système de conduite capable de moduler la direction, la décélération et l’accélération du véhicule soumis à l’épreuve, afin de suivre des trajectoires enregistrées avec une précision de 50 cm par rapport aux trajectoires réelles. </w:t>
      </w:r>
    </w:p>
    <w:p w14:paraId="76EF4335" w14:textId="77777777" w:rsidR="007928CA" w:rsidRPr="00EB26AE" w:rsidRDefault="007928CA" w:rsidP="007928CA">
      <w:pPr>
        <w:pStyle w:val="SingleTxtG"/>
        <w:ind w:left="2268"/>
        <w:rPr>
          <w:bCs/>
        </w:rPr>
      </w:pPr>
      <w:r>
        <w:rPr>
          <w:lang w:val="fr-FR"/>
        </w:rPr>
        <w:tab/>
        <w:t>Si le système de conduite ne permet pas d’exercer un contrôle manuel suffisant, on peut en faire l’économie au moment de l’enregistrement de la trajectoire conformément au paragraphe 1.3 ci-dessous.</w:t>
      </w:r>
    </w:p>
    <w:p w14:paraId="53F23BA5" w14:textId="77777777" w:rsidR="007928CA" w:rsidRPr="00EB26AE" w:rsidRDefault="007928CA" w:rsidP="007928CA">
      <w:pPr>
        <w:pStyle w:val="SingleTxtG"/>
        <w:ind w:left="2268" w:hanging="1134"/>
        <w:rPr>
          <w:bCs/>
        </w:rPr>
      </w:pPr>
      <w:r>
        <w:rPr>
          <w:lang w:val="fr-FR"/>
        </w:rPr>
        <w:t>1.2.3</w:t>
      </w:r>
      <w:r>
        <w:rPr>
          <w:lang w:val="fr-FR"/>
        </w:rPr>
        <w:tab/>
        <w:t>Un système permettant de détecter, dans un délai inférieur ou égal à 25 ms, les signaux d’information et les signaux d’avertissement qui sont activés.</w:t>
      </w:r>
    </w:p>
    <w:p w14:paraId="0EE6F84B" w14:textId="38492D0D" w:rsidR="007928CA" w:rsidRPr="00EB26AE" w:rsidRDefault="007928CA" w:rsidP="007928CA">
      <w:pPr>
        <w:pStyle w:val="SingleTxtG"/>
        <w:ind w:left="2268" w:hanging="1134"/>
        <w:rPr>
          <w:bCs/>
        </w:rPr>
      </w:pPr>
      <w:r>
        <w:rPr>
          <w:lang w:val="fr-FR"/>
        </w:rPr>
        <w:t>1.3</w:t>
      </w:r>
      <w:r>
        <w:rPr>
          <w:lang w:val="fr-FR"/>
        </w:rPr>
        <w:tab/>
        <w:t>Conduire manuellement le véhicule et enregistrer sa position dans le temps pour toutes les enveloppes pertinentes décrites dans l’appendice 1 pour le véhicule soumis à l’épreuve. Moduler la vitesse selon les besoins pendant la manœuvre de virage, tout en respectant les prescriptions fonctionnelles énoncées au paragraphe 5.3.1 vitesse du véhicule inférieure ou égale à 30 km/h, (par exemple). La vitesse initiale spécifiée dans l’appendice 1 doit être maintenue jusqu’à ce que le véhicule franchisse une ligne correspondant à x = -30 dans le système de coordonnées défini dans ce même appendice.</w:t>
      </w:r>
    </w:p>
    <w:p w14:paraId="4DD0166F" w14:textId="77777777" w:rsidR="007928CA" w:rsidRPr="00EB26AE" w:rsidRDefault="007928CA" w:rsidP="007928CA">
      <w:pPr>
        <w:pStyle w:val="SingleTxtG"/>
        <w:ind w:left="2268"/>
        <w:rPr>
          <w:bCs/>
        </w:rPr>
      </w:pPr>
      <w:r>
        <w:rPr>
          <w:lang w:val="fr-FR"/>
        </w:rPr>
        <w:tab/>
        <w:t xml:space="preserve">Le véhicule doit être conduit de manière que son avant se trouve à tout moment dans une zone délimitée par les points indiqués pour les enveloppes définies dans l’appendice 1. Cette prescription doit être vérifiée à la lumière des données résultant des mesures. </w:t>
      </w:r>
    </w:p>
    <w:p w14:paraId="42F97B36" w14:textId="77777777" w:rsidR="007928CA" w:rsidRPr="00EB26AE" w:rsidRDefault="007928CA" w:rsidP="007928CA">
      <w:pPr>
        <w:pStyle w:val="SingleTxtG"/>
        <w:ind w:left="2268"/>
        <w:rPr>
          <w:bCs/>
        </w:rPr>
      </w:pPr>
      <w:r>
        <w:rPr>
          <w:lang w:val="fr-FR"/>
        </w:rPr>
        <w:tab/>
        <w:t>Le marquage des positions à l’aide de marqueurs est autorisé, mais pas nécessaire.</w:t>
      </w:r>
    </w:p>
    <w:p w14:paraId="77F8AD1E" w14:textId="77777777" w:rsidR="007928CA" w:rsidRPr="00EB26AE" w:rsidRDefault="007928CA" w:rsidP="007928CA">
      <w:pPr>
        <w:pStyle w:val="SingleTxtG"/>
        <w:ind w:left="2268"/>
        <w:rPr>
          <w:bCs/>
        </w:rPr>
      </w:pPr>
      <w:r>
        <w:rPr>
          <w:lang w:val="fr-FR"/>
        </w:rPr>
        <w:tab/>
        <w:t>Si le service technique estime que cela se justifie, toutes les autres trajectoires susceptibles d’être empruntées par le véhicule pour négocier un virage à 90° peuvent être essayées également.</w:t>
      </w:r>
    </w:p>
    <w:p w14:paraId="1A164453" w14:textId="77777777" w:rsidR="007928CA" w:rsidRPr="00EB26AE" w:rsidRDefault="007928CA" w:rsidP="007928CA">
      <w:pPr>
        <w:pStyle w:val="SingleTxtG"/>
        <w:ind w:left="2268" w:hanging="1134"/>
        <w:rPr>
          <w:bCs/>
        </w:rPr>
      </w:pPr>
      <w:r>
        <w:rPr>
          <w:lang w:val="fr-FR"/>
        </w:rPr>
        <w:t>1.4</w:t>
      </w:r>
      <w:r>
        <w:rPr>
          <w:lang w:val="fr-FR"/>
        </w:rPr>
        <w:tab/>
        <w:t xml:space="preserve">Effectuer les épreuves conformément au tableau de l’appendice 1, en utilisant le système de conduite et les trajectoires enregistrées lors de l’exécution du présent paragraphe 1.4, et en veillant à ce que le mannequin cycliste soit synchronisé de manière à heurter le véhicule à la position prévue (l’angle avant droit (-0, +0,5 m) ou une position située à 6 m (+0, -0,5 m) à l’arrière de l’angle avant droit du véhicule) et se déplace le long de l’axe y. </w:t>
      </w:r>
    </w:p>
    <w:p w14:paraId="6347D155" w14:textId="77777777" w:rsidR="007928CA" w:rsidRPr="00EB26AE" w:rsidRDefault="007928CA" w:rsidP="007928CA">
      <w:pPr>
        <w:pStyle w:val="SingleTxtG"/>
        <w:ind w:left="2268"/>
        <w:rPr>
          <w:bCs/>
        </w:rPr>
      </w:pPr>
      <w:r>
        <w:rPr>
          <w:lang w:val="fr-FR"/>
        </w:rPr>
        <w:tab/>
        <w:t>Il pourra s’avérer nécessaire, et cela doit être autorisé, de synchroniser le mannequin au moyen des trajectoires empruntées par le véhicule soumis à l’épreuve (lorsque le système de conduite contrôle totalement la vitesse et la direction), plutôt que de la trajectoire enregistrée initialement en conduite manuelle.</w:t>
      </w:r>
    </w:p>
    <w:p w14:paraId="55369806" w14:textId="77777777" w:rsidR="007928CA" w:rsidRPr="00EB26AE" w:rsidRDefault="007928CA" w:rsidP="007928CA">
      <w:pPr>
        <w:pStyle w:val="SingleTxtG"/>
        <w:ind w:left="2268"/>
        <w:rPr>
          <w:bCs/>
        </w:rPr>
      </w:pPr>
      <w:r>
        <w:rPr>
          <w:lang w:val="fr-FR"/>
        </w:rPr>
        <w:tab/>
        <w:t xml:space="preserve">La vitesse du mannequin doit correspondre à tout moment à la vitesse atteinte, avec une tolérance de ±2 km/h. Sa position de départ devrait être X = -65 m. </w:t>
      </w:r>
      <w:r>
        <w:rPr>
          <w:lang w:val="fr-FR"/>
        </w:rPr>
        <w:lastRenderedPageBreak/>
        <w:t>L’accélération du mannequin doit être telle que celui-ci doit avoir atteint la vitesse prescrite pour l’épreuve visée, comme indiqué dans le tableau 1 de l’appendice 1 de la présente annexe, à une distance ne dépassant pas 5,66 m. Après l’accélération, le mannequin doit se déplacer dans les limites de tolérance spécifiées (±2 km/h). Le véhicule doit commencer à se déplacer avec suffisamment d’avance par rapport au mannequin pour que la position de départ soit praticable.</w:t>
      </w:r>
    </w:p>
    <w:p w14:paraId="2A72F878" w14:textId="77777777" w:rsidR="007928CA" w:rsidRPr="00EB26AE" w:rsidRDefault="007928CA" w:rsidP="007928CA">
      <w:pPr>
        <w:pStyle w:val="SingleTxtG"/>
        <w:ind w:left="2268"/>
        <w:rPr>
          <w:bCs/>
        </w:rPr>
      </w:pPr>
      <w:r>
        <w:rPr>
          <w:lang w:val="fr-FR"/>
        </w:rPr>
        <w:tab/>
        <w:t>Si, pour chaque trajectoire du véhicule soumis à l’épreuve, le point d’impact correct a été vérifié au moyen d’une épreuve réalisée sans mannequin sur la plateforme porteuse, et si la répétabilité du montage d’épreuve a également été vérifiée, l’épreuve peut être interrompue une fois le signal d’information détecté.</w:t>
      </w:r>
    </w:p>
    <w:p w14:paraId="17B2E8B7" w14:textId="77777777" w:rsidR="007928CA" w:rsidRPr="00EB26AE" w:rsidRDefault="007928CA" w:rsidP="007928CA">
      <w:pPr>
        <w:pStyle w:val="SingleTxtG"/>
        <w:ind w:left="2268" w:hanging="1134"/>
        <w:rPr>
          <w:bCs/>
        </w:rPr>
      </w:pPr>
      <w:r>
        <w:rPr>
          <w:lang w:val="fr-FR"/>
        </w:rPr>
        <w:t>1.5</w:t>
      </w:r>
      <w:r>
        <w:rPr>
          <w:lang w:val="fr-FR"/>
        </w:rPr>
        <w:tab/>
        <w:t>Calculer la distance d’arrêt par rapport au point de croisement de la trajectoire du vélo pour chaque trajectoire et chaque point d’échantillonnage disponible, en tenant compte d’une décélération possible du véhicule de 5 m/s2 et d’un temps de réaction de 1,4 s.</w:t>
      </w:r>
    </w:p>
    <w:p w14:paraId="45967525" w14:textId="77777777" w:rsidR="007928CA" w:rsidRPr="00EB26AE" w:rsidRDefault="007928CA" w:rsidP="007928CA">
      <w:pPr>
        <w:pStyle w:val="SingleTxtG"/>
        <w:ind w:left="2268"/>
        <w:rPr>
          <w:bCs/>
        </w:rPr>
      </w:pPr>
      <w:r>
        <w:rPr>
          <w:lang w:val="fr-FR"/>
        </w:rPr>
        <w:tab/>
        <w:t>Le calcul peut être effectué comme suit :</w:t>
      </w:r>
    </w:p>
    <w:p w14:paraId="3818DCEA" w14:textId="77777777" w:rsidR="007928CA" w:rsidRPr="00EB26AE" w:rsidRDefault="007928CA" w:rsidP="007928CA">
      <w:pPr>
        <w:pStyle w:val="SingleTxtG"/>
        <w:ind w:left="2268"/>
        <w:rPr>
          <w:bCs/>
        </w:rPr>
      </w:pPr>
      <w:r>
        <w:rPr>
          <w:lang w:val="fr-FR"/>
        </w:rPr>
        <w:tab/>
        <w:t xml:space="preserve">Calculer la distance de freinage requise, </w:t>
      </w:r>
      <w:proofErr w:type="spellStart"/>
      <w:r>
        <w:rPr>
          <w:lang w:val="fr-FR"/>
        </w:rPr>
        <w:t>d</w:t>
      </w:r>
      <w:r w:rsidRPr="007928CA">
        <w:rPr>
          <w:vertAlign w:val="subscript"/>
          <w:lang w:val="fr-FR"/>
        </w:rPr>
        <w:t>brake</w:t>
      </w:r>
      <w:proofErr w:type="spellEnd"/>
      <w:r>
        <w:rPr>
          <w:lang w:val="fr-FR"/>
        </w:rPr>
        <w:t>, pour chaque point de mesure le long de la trajectoire, en utilisant l’équation suivante :</w:t>
      </w:r>
    </w:p>
    <w:p w14:paraId="2CDFD9FF" w14:textId="02122568" w:rsidR="007928CA" w:rsidRDefault="007928CA" w:rsidP="007928CA">
      <w:pPr>
        <w:pStyle w:val="SingleTxtG"/>
        <w:ind w:left="2268"/>
      </w:pPr>
      <w:r>
        <w:rPr>
          <w:lang w:val="fr-FR"/>
        </w:rPr>
        <w:tab/>
      </w:r>
      <m:oMath>
        <m:sSub>
          <m:sSubPr>
            <m:ctrlPr>
              <w:rPr>
                <w:rFonts w:ascii="Cambria Math" w:hAnsi="Cambria Math"/>
                <w:bCs/>
                <w:i/>
              </w:rPr>
            </m:ctrlPr>
          </m:sSubPr>
          <m:e>
            <m:r>
              <w:rPr>
                <w:rFonts w:ascii="Cambria Math" w:hAnsi="Cambria Math"/>
              </w:rPr>
              <m:t>d</m:t>
            </m:r>
          </m:e>
          <m:sub>
            <m:r>
              <w:rPr>
                <w:rFonts w:ascii="Cambria Math" w:hAnsi="Cambria Math"/>
              </w:rPr>
              <m:t>brake,total</m:t>
            </m:r>
          </m:sub>
        </m:sSub>
        <m:r>
          <w:rPr>
            <w:rFonts w:ascii="Cambria Math" w:hAnsi="Cambria Math"/>
          </w:rPr>
          <m:t>(t)=</m:t>
        </m:r>
        <m:f>
          <m:fPr>
            <m:ctrlPr>
              <w:rPr>
                <w:rFonts w:ascii="Cambria Math" w:hAnsi="Cambria Math"/>
                <w:bCs/>
                <w:i/>
              </w:rPr>
            </m:ctrlPr>
          </m:fPr>
          <m:num>
            <m:sSup>
              <m:sSupPr>
                <m:ctrlPr>
                  <w:rPr>
                    <w:rFonts w:ascii="Cambria Math" w:hAnsi="Cambria Math"/>
                    <w:bCs/>
                    <w:i/>
                  </w:rPr>
                </m:ctrlPr>
              </m:sSupPr>
              <m:e>
                <m:r>
                  <w:rPr>
                    <w:rFonts w:ascii="Cambria Math" w:hAnsi="Cambria Math"/>
                  </w:rPr>
                  <m:t>v</m:t>
                </m:r>
                <m:d>
                  <m:dPr>
                    <m:ctrlPr>
                      <w:rPr>
                        <w:rFonts w:ascii="Cambria Math" w:hAnsi="Cambria Math"/>
                        <w:i/>
                      </w:rPr>
                    </m:ctrlPr>
                  </m:dPr>
                  <m:e>
                    <m:r>
                      <w:rPr>
                        <w:rFonts w:ascii="Cambria Math" w:hAnsi="Cambria Math"/>
                      </w:rPr>
                      <m:t>t</m:t>
                    </m:r>
                  </m:e>
                </m:d>
              </m:e>
              <m:sup>
                <m:r>
                  <w:rPr>
                    <w:rFonts w:ascii="Cambria Math" w:hAnsi="Cambria Math"/>
                  </w:rPr>
                  <m:t>2</m:t>
                </m:r>
              </m:sup>
            </m:sSup>
          </m:num>
          <m:den>
            <m:r>
              <w:rPr>
                <w:rFonts w:ascii="Cambria Math" w:hAnsi="Cambria Math"/>
              </w:rPr>
              <m:t>2∙</m:t>
            </m:r>
            <m:f>
              <m:fPr>
                <m:ctrlPr>
                  <w:rPr>
                    <w:rFonts w:ascii="Cambria Math" w:hAnsi="Cambria Math"/>
                    <w:bCs/>
                    <w:i/>
                  </w:rPr>
                </m:ctrlPr>
              </m:fPr>
              <m:num>
                <m:r>
                  <w:rPr>
                    <w:rFonts w:ascii="Cambria Math" w:hAnsi="Cambria Math"/>
                  </w:rPr>
                  <m:t>5m</m:t>
                </m:r>
              </m:num>
              <m:den>
                <m:sSup>
                  <m:sSupPr>
                    <m:ctrlPr>
                      <w:rPr>
                        <w:rFonts w:ascii="Cambria Math" w:hAnsi="Cambria Math"/>
                        <w:bCs/>
                        <w:i/>
                      </w:rPr>
                    </m:ctrlPr>
                  </m:sSupPr>
                  <m:e>
                    <m:r>
                      <w:rPr>
                        <w:rFonts w:ascii="Cambria Math" w:hAnsi="Cambria Math"/>
                      </w:rPr>
                      <m:t>s</m:t>
                    </m:r>
                  </m:e>
                  <m:sup>
                    <m:r>
                      <w:rPr>
                        <w:rFonts w:ascii="Cambria Math" w:hAnsi="Cambria Math"/>
                      </w:rPr>
                      <m:t>2</m:t>
                    </m:r>
                  </m:sup>
                </m:sSup>
              </m:den>
            </m:f>
          </m:den>
        </m:f>
        <m:r>
          <m:rPr>
            <m:sty m:val="p"/>
          </m:rPr>
          <w:rPr>
            <w:rFonts w:ascii="Cambria Math" w:eastAsia="DengXian" w:hAnsi="Cambria Math"/>
          </w:rPr>
          <m:t xml:space="preserve">+ </m:t>
        </m:r>
        <m:r>
          <w:rPr>
            <w:rFonts w:ascii="Cambria Math" w:eastAsia="DengXian" w:hAnsi="Cambria Math"/>
            <w:vertAlign w:val="subscript"/>
          </w:rPr>
          <m:t>1</m:t>
        </m:r>
        <m:r>
          <w:rPr>
            <w:rFonts w:ascii="Cambria Math" w:eastAsia="DengXian" w:hAnsi="Cambria Math"/>
            <w:vertAlign w:val="subscript"/>
          </w:rPr>
          <m:t>,</m:t>
        </m:r>
        <m:r>
          <w:rPr>
            <w:rFonts w:ascii="Cambria Math" w:eastAsia="DengXian" w:hAnsi="Cambria Math"/>
            <w:vertAlign w:val="subscript"/>
          </w:rPr>
          <m:t>4</m:t>
        </m:r>
        <m:r>
          <m:rPr>
            <m:sty m:val="p"/>
          </m:rPr>
          <w:rPr>
            <w:rFonts w:ascii="Cambria Math" w:eastAsia="DengXian" w:hAnsi="Cambria Math"/>
            <w:vertAlign w:val="subscript"/>
          </w:rPr>
          <m:t>s</m:t>
        </m:r>
        <m:r>
          <m:rPr>
            <m:sty m:val="p"/>
          </m:rPr>
          <w:rPr>
            <w:rFonts w:ascii="Cambria Math" w:eastAsia="DengXian" w:hAnsi="Cambria Math"/>
          </w:rPr>
          <m:t>·</m:t>
        </m:r>
        <m:r>
          <w:rPr>
            <w:rFonts w:ascii="Cambria Math" w:eastAsia="DengXian" w:hAnsi="Cambria Math"/>
          </w:rPr>
          <m:t>v(t)</m:t>
        </m:r>
      </m:oMath>
    </w:p>
    <w:p w14:paraId="22BACF13" w14:textId="77777777" w:rsidR="007928CA" w:rsidRPr="00EB26AE" w:rsidRDefault="007928CA" w:rsidP="007928CA">
      <w:pPr>
        <w:pStyle w:val="SingleTxtG"/>
        <w:ind w:left="2268"/>
        <w:rPr>
          <w:rFonts w:eastAsia="DengXian"/>
          <w:bCs/>
        </w:rPr>
      </w:pPr>
      <w:r>
        <w:rPr>
          <w:lang w:val="fr-FR"/>
        </w:rPr>
        <w:t>où v(t) est la vitesse instantanée du véhicule, exprimée en m/s</w:t>
      </w:r>
    </w:p>
    <w:p w14:paraId="73A6D1A8" w14:textId="77777777" w:rsidR="007928CA" w:rsidRPr="00EB26AE" w:rsidRDefault="007928CA" w:rsidP="007928CA">
      <w:pPr>
        <w:pStyle w:val="SingleTxtG"/>
        <w:ind w:left="2268"/>
        <w:rPr>
          <w:bCs/>
          <w:vertAlign w:val="subscript"/>
        </w:rPr>
      </w:pPr>
      <w:r>
        <w:rPr>
          <w:lang w:val="fr-FR"/>
        </w:rPr>
        <w:tab/>
        <w:t xml:space="preserve">La distance entre l’angle avant droit du véhicule soumis à l’épreuve dans sa trajectoire et la ligne de déplacement du vélo est </w:t>
      </w:r>
      <w:proofErr w:type="spellStart"/>
      <w:r w:rsidRPr="00EB26AE">
        <w:rPr>
          <w:i/>
          <w:iCs/>
          <w:lang w:val="fr-FR"/>
        </w:rPr>
        <w:t>d</w:t>
      </w:r>
      <w:r w:rsidRPr="00EB26AE">
        <w:rPr>
          <w:i/>
          <w:iCs/>
          <w:vertAlign w:val="subscript"/>
          <w:lang w:val="fr-FR"/>
        </w:rPr>
        <w:t>Bicycletrajectory</w:t>
      </w:r>
      <w:proofErr w:type="spellEnd"/>
      <w:r w:rsidRPr="00EB26AE">
        <w:rPr>
          <w:i/>
          <w:iCs/>
          <w:lang w:val="fr-FR"/>
        </w:rPr>
        <w:t>(t)</w:t>
      </w:r>
      <w:r>
        <w:rPr>
          <w:lang w:val="fr-FR"/>
        </w:rPr>
        <w:t>.</w:t>
      </w:r>
    </w:p>
    <w:p w14:paraId="61C61E5A" w14:textId="77777777" w:rsidR="007928CA" w:rsidRPr="00EB26AE" w:rsidRDefault="007928CA" w:rsidP="007928CA">
      <w:pPr>
        <w:pStyle w:val="SingleTxtG"/>
        <w:ind w:left="2268"/>
        <w:rPr>
          <w:bCs/>
        </w:rPr>
      </w:pPr>
      <w:r>
        <w:rPr>
          <w:lang w:val="fr-FR"/>
        </w:rPr>
        <w:tab/>
        <w:t>La position du dernier point d’information est alors déterminée en fonction du moment auquel la condition suivante s’applique pour la première fois :</w:t>
      </w:r>
    </w:p>
    <w:p w14:paraId="08875A82" w14:textId="49475631" w:rsidR="007928CA" w:rsidRPr="00EB26AE" w:rsidRDefault="007928CA" w:rsidP="007928CA">
      <w:pPr>
        <w:pStyle w:val="SingleTxtG"/>
        <w:ind w:left="2268"/>
        <w:rPr>
          <w:bCs/>
        </w:rPr>
      </w:pPr>
      <w:r>
        <w:rPr>
          <w:lang w:val="fr-FR"/>
        </w:rPr>
        <w:tab/>
        <w:t>|</w:t>
      </w:r>
      <w:proofErr w:type="spellStart"/>
      <w:r>
        <w:rPr>
          <w:i/>
          <w:iCs/>
          <w:lang w:val="fr-FR"/>
        </w:rPr>
        <w:t>d</w:t>
      </w:r>
      <w:r>
        <w:rPr>
          <w:vertAlign w:val="subscript"/>
          <w:lang w:val="fr-FR"/>
        </w:rPr>
        <w:t>Bicycletrajecrory</w:t>
      </w:r>
      <w:proofErr w:type="spellEnd"/>
      <w:r>
        <w:rPr>
          <w:lang w:val="fr-FR"/>
        </w:rPr>
        <w:t>(</w:t>
      </w:r>
      <w:r>
        <w:rPr>
          <w:i/>
          <w:iCs/>
          <w:lang w:val="fr-FR"/>
        </w:rPr>
        <w:t>t</w:t>
      </w:r>
      <w:r>
        <w:rPr>
          <w:lang w:val="fr-FR"/>
        </w:rPr>
        <w:t>)</w:t>
      </w:r>
      <w:r>
        <w:rPr>
          <w:vertAlign w:val="subscript"/>
          <w:lang w:val="fr-FR"/>
        </w:rPr>
        <w:t>.</w:t>
      </w:r>
      <w:r>
        <w:rPr>
          <w:lang w:val="fr-FR"/>
        </w:rPr>
        <w:t xml:space="preserve"> - </w:t>
      </w:r>
      <w:proofErr w:type="spellStart"/>
      <w:r>
        <w:rPr>
          <w:i/>
          <w:iCs/>
          <w:lang w:val="fr-FR"/>
        </w:rPr>
        <w:t>d</w:t>
      </w:r>
      <w:r>
        <w:rPr>
          <w:vertAlign w:val="subscript"/>
          <w:lang w:val="fr-FR"/>
        </w:rPr>
        <w:t>brake,total</w:t>
      </w:r>
      <w:proofErr w:type="spellEnd"/>
      <w:r>
        <w:rPr>
          <w:lang w:val="fr-FR"/>
        </w:rPr>
        <w:t>(</w:t>
      </w:r>
      <w:r>
        <w:rPr>
          <w:i/>
          <w:iCs/>
          <w:lang w:val="fr-FR"/>
        </w:rPr>
        <w:t>t</w:t>
      </w:r>
      <w:r>
        <w:rPr>
          <w:lang w:val="fr-FR"/>
        </w:rPr>
        <w:t>) | &lt; 0</w:t>
      </w:r>
      <w:r>
        <w:rPr>
          <w:lang w:val="fr-FR"/>
        </w:rPr>
        <w:t>,</w:t>
      </w:r>
      <w:r>
        <w:rPr>
          <w:lang w:val="fr-FR"/>
        </w:rPr>
        <w:t>35 m</w:t>
      </w:r>
    </w:p>
    <w:p w14:paraId="4BA7F1B6" w14:textId="4EBFD68C" w:rsidR="007928CA" w:rsidRPr="00EB26AE" w:rsidRDefault="007928CA" w:rsidP="007928CA">
      <w:pPr>
        <w:pStyle w:val="SingleTxtG"/>
        <w:ind w:left="2268" w:hanging="1134"/>
        <w:rPr>
          <w:bCs/>
        </w:rPr>
      </w:pPr>
      <w:r>
        <w:rPr>
          <w:lang w:val="fr-FR"/>
        </w:rPr>
        <w:t>1.6</w:t>
      </w:r>
      <w:r>
        <w:rPr>
          <w:lang w:val="fr-FR"/>
        </w:rPr>
        <w:tab/>
        <w:t>On considère que la procédure d’épreuve est concluante, et donc que le véhicule satisfait aux paragraphes 6.5.6, 6.5.7 et 6.5.10, si le signal d’information est déclenché à une distance supérieure à la distance d’arrêt (selon les coordonnées des différentes trajectoires) calculée conformément au paragraphe</w:t>
      </w:r>
      <w:r>
        <w:rPr>
          <w:lang w:val="fr-FR"/>
        </w:rPr>
        <w:t> </w:t>
      </w:r>
      <w:r>
        <w:rPr>
          <w:lang w:val="fr-FR"/>
        </w:rPr>
        <w:t>1.5 ci-dessus pour tous les parcours d’épreuve requis réalisés conformément au paragraphe 1.4 ci-dessus.</w:t>
      </w:r>
    </w:p>
    <w:p w14:paraId="04F0ADB6" w14:textId="77777777" w:rsidR="007928CA" w:rsidRDefault="007928CA" w:rsidP="007928CA">
      <w:pPr>
        <w:pStyle w:val="SingleTxtG"/>
        <w:ind w:left="2268" w:hanging="1134"/>
        <w:rPr>
          <w:lang w:val="fr-FR"/>
        </w:rPr>
      </w:pPr>
      <w:r>
        <w:rPr>
          <w:lang w:val="fr-FR"/>
        </w:rPr>
        <w:t>1.7</w:t>
      </w:r>
      <w:r>
        <w:rPr>
          <w:lang w:val="fr-FR"/>
        </w:rPr>
        <w:tab/>
        <w:t>Toutes les données de mesure (représentées sous forme de graphiques) et tous les calculs effectués au titre du paragraphe 1.5 doivent être versés à un procès-verbal d’épreuve établi conformément à la présente annexe. Ce procès-verbal doit être annexé au certificat.</w:t>
      </w:r>
    </w:p>
    <w:p w14:paraId="09085D26" w14:textId="77777777" w:rsidR="007928CA" w:rsidRPr="00EB26AE" w:rsidRDefault="007928CA" w:rsidP="007928CA">
      <w:pPr>
        <w:pStyle w:val="HChG"/>
      </w:pPr>
      <w:r>
        <w:rPr>
          <w:lang w:val="fr-FR"/>
        </w:rPr>
        <w:lastRenderedPageBreak/>
        <w:tab/>
      </w:r>
      <w:r>
        <w:rPr>
          <w:lang w:val="fr-FR"/>
        </w:rPr>
        <w:tab/>
        <w:t xml:space="preserve">Appendice </w:t>
      </w:r>
    </w:p>
    <w:p w14:paraId="20EA266A" w14:textId="77777777" w:rsidR="007928CA" w:rsidRPr="00EB26AE" w:rsidRDefault="007928CA" w:rsidP="007928CA">
      <w:pPr>
        <w:pStyle w:val="H1G"/>
        <w:rPr>
          <w:rFonts w:eastAsia="MS Mincho"/>
        </w:rPr>
      </w:pPr>
      <w:r>
        <w:rPr>
          <w:lang w:val="fr-FR"/>
        </w:rPr>
        <w:tab/>
      </w:r>
      <w:r>
        <w:rPr>
          <w:lang w:val="fr-FR"/>
        </w:rPr>
        <w:tab/>
        <w:t>Enveloppes et points correspondants</w:t>
      </w:r>
    </w:p>
    <w:p w14:paraId="51D07F68" w14:textId="77777777" w:rsidR="007928CA" w:rsidRPr="00792B08" w:rsidRDefault="007928CA" w:rsidP="007928CA">
      <w:pPr>
        <w:pStyle w:val="H23G"/>
      </w:pPr>
      <w:r>
        <w:rPr>
          <w:lang w:val="fr-FR"/>
        </w:rPr>
        <w:tab/>
      </w:r>
      <w:r>
        <w:rPr>
          <w:lang w:val="fr-FR"/>
        </w:rPr>
        <w:tab/>
        <w:t>Enveloppe 1</w:t>
      </w:r>
    </w:p>
    <w:p w14:paraId="46B49CE3" w14:textId="77777777" w:rsidR="007928CA" w:rsidRPr="00792B08" w:rsidRDefault="007928CA" w:rsidP="007928CA">
      <w:pPr>
        <w:tabs>
          <w:tab w:val="left" w:pos="709"/>
        </w:tabs>
        <w:spacing w:line="240" w:lineRule="auto"/>
        <w:jc w:val="both"/>
      </w:pPr>
      <w:r w:rsidRPr="00792B08">
        <w:rPr>
          <w:noProof/>
        </w:rPr>
        <w:drawing>
          <wp:inline distT="0" distB="0" distL="0" distR="0" wp14:anchorId="17C7A8FA" wp14:editId="1CB760FE">
            <wp:extent cx="5761355" cy="39335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rotWithShape="1">
                    <a:blip r:embed="rId8">
                      <a:extLst>
                        <a:ext uri="{28A0092B-C50C-407E-A947-70E740481C1C}">
                          <a14:useLocalDpi xmlns:a14="http://schemas.microsoft.com/office/drawing/2010/main" val="0"/>
                        </a:ext>
                      </a:extLst>
                    </a:blip>
                    <a:srcRect t="4861"/>
                    <a:stretch/>
                  </pic:blipFill>
                  <pic:spPr bwMode="auto">
                    <a:xfrm>
                      <a:off x="0" y="0"/>
                      <a:ext cx="5761355" cy="3933518"/>
                    </a:xfrm>
                    <a:prstGeom prst="rect">
                      <a:avLst/>
                    </a:prstGeom>
                    <a:noFill/>
                    <a:ln>
                      <a:noFill/>
                    </a:ln>
                    <a:extLst>
                      <a:ext uri="{53640926-AAD7-44D8-BBD7-CCE9431645EC}">
                        <a14:shadowObscured xmlns:a14="http://schemas.microsoft.com/office/drawing/2010/main"/>
                      </a:ext>
                    </a:extLst>
                  </pic:spPr>
                </pic:pic>
              </a:graphicData>
            </a:graphic>
          </wp:inline>
        </w:drawing>
      </w:r>
    </w:p>
    <w:p w14:paraId="19F37DB8" w14:textId="77777777" w:rsidR="007928CA" w:rsidRPr="00792B08" w:rsidRDefault="007928CA" w:rsidP="007928CA">
      <w:pPr>
        <w:tabs>
          <w:tab w:val="left" w:pos="709"/>
        </w:tabs>
        <w:spacing w:line="240" w:lineRule="auto"/>
        <w:jc w:val="both"/>
        <w:rPr>
          <w:b/>
          <w:bCs/>
        </w:rPr>
      </w:pPr>
      <w:r w:rsidRPr="00792B08">
        <w:rPr>
          <w:b/>
          <w:bCs/>
        </w:rPr>
        <w:tab/>
      </w:r>
      <w:r w:rsidRPr="00792B08">
        <w:rPr>
          <w:b/>
          <w:bCs/>
        </w:rPr>
        <w:tab/>
      </w:r>
      <w:r w:rsidRPr="00792B08">
        <w:rPr>
          <w:b/>
          <w:bCs/>
        </w:rPr>
        <w:br w:type="page"/>
      </w:r>
    </w:p>
    <w:p w14:paraId="2D2AB9BC" w14:textId="77777777" w:rsidR="007928CA" w:rsidRPr="00EB26AE" w:rsidRDefault="007928CA" w:rsidP="007928CA">
      <w:pPr>
        <w:pStyle w:val="H23G"/>
      </w:pPr>
      <w:r>
        <w:rPr>
          <w:lang w:val="fr-FR"/>
        </w:rPr>
        <w:lastRenderedPageBreak/>
        <w:tab/>
      </w:r>
      <w:r>
        <w:rPr>
          <w:lang w:val="fr-FR"/>
        </w:rPr>
        <w:tab/>
        <w:t>Enveloppe 2 (compte non tenu du parcours d’épreuve aberrant)</w:t>
      </w:r>
    </w:p>
    <w:p w14:paraId="5B243C7C" w14:textId="77777777" w:rsidR="007928CA" w:rsidRPr="00792B08" w:rsidRDefault="007928CA" w:rsidP="007928CA">
      <w:pPr>
        <w:tabs>
          <w:tab w:val="left" w:pos="709"/>
        </w:tabs>
        <w:spacing w:line="240" w:lineRule="auto"/>
        <w:jc w:val="both"/>
      </w:pPr>
      <w:r w:rsidRPr="00792B08">
        <w:rPr>
          <w:noProof/>
        </w:rPr>
        <w:drawing>
          <wp:inline distT="0" distB="0" distL="0" distR="0" wp14:anchorId="5B9FE507" wp14:editId="16DC2698">
            <wp:extent cx="5761355" cy="3943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rotWithShape="1">
                    <a:blip r:embed="rId9">
                      <a:extLst>
                        <a:ext uri="{28A0092B-C50C-407E-A947-70E740481C1C}">
                          <a14:useLocalDpi xmlns:a14="http://schemas.microsoft.com/office/drawing/2010/main" val="0"/>
                        </a:ext>
                      </a:extLst>
                    </a:blip>
                    <a:srcRect t="4618"/>
                    <a:stretch/>
                  </pic:blipFill>
                  <pic:spPr bwMode="auto">
                    <a:xfrm>
                      <a:off x="0" y="0"/>
                      <a:ext cx="5761355" cy="3943567"/>
                    </a:xfrm>
                    <a:prstGeom prst="rect">
                      <a:avLst/>
                    </a:prstGeom>
                    <a:noFill/>
                    <a:ln>
                      <a:noFill/>
                    </a:ln>
                    <a:extLst>
                      <a:ext uri="{53640926-AAD7-44D8-BBD7-CCE9431645EC}">
                        <a14:shadowObscured xmlns:a14="http://schemas.microsoft.com/office/drawing/2010/main"/>
                      </a:ext>
                    </a:extLst>
                  </pic:spPr>
                </pic:pic>
              </a:graphicData>
            </a:graphic>
          </wp:inline>
        </w:drawing>
      </w:r>
    </w:p>
    <w:p w14:paraId="18313D10" w14:textId="77777777" w:rsidR="007928CA" w:rsidRPr="00792B08" w:rsidRDefault="007928CA" w:rsidP="007928CA">
      <w:pPr>
        <w:pStyle w:val="H23G"/>
      </w:pPr>
      <w:r>
        <w:rPr>
          <w:lang w:val="fr-FR"/>
        </w:rPr>
        <w:tab/>
      </w:r>
      <w:r>
        <w:rPr>
          <w:lang w:val="fr-FR"/>
        </w:rPr>
        <w:tab/>
        <w:t>Enveloppe 3</w:t>
      </w:r>
    </w:p>
    <w:p w14:paraId="34004463" w14:textId="77777777" w:rsidR="007928CA" w:rsidRDefault="007928CA" w:rsidP="007928CA">
      <w:pPr>
        <w:tabs>
          <w:tab w:val="left" w:pos="709"/>
        </w:tabs>
        <w:spacing w:line="240" w:lineRule="auto"/>
        <w:jc w:val="both"/>
      </w:pPr>
      <w:r w:rsidRPr="00792B08">
        <w:rPr>
          <w:noProof/>
        </w:rPr>
        <w:drawing>
          <wp:inline distT="0" distB="0" distL="0" distR="0" wp14:anchorId="57F3303F" wp14:editId="134F5C1A">
            <wp:extent cx="5761355" cy="3973712"/>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rotWithShape="1">
                    <a:blip r:embed="rId10">
                      <a:extLst>
                        <a:ext uri="{28A0092B-C50C-407E-A947-70E740481C1C}">
                          <a14:useLocalDpi xmlns:a14="http://schemas.microsoft.com/office/drawing/2010/main" val="0"/>
                        </a:ext>
                      </a:extLst>
                    </a:blip>
                    <a:srcRect t="3889"/>
                    <a:stretch/>
                  </pic:blipFill>
                  <pic:spPr bwMode="auto">
                    <a:xfrm>
                      <a:off x="0" y="0"/>
                      <a:ext cx="5761355" cy="3973712"/>
                    </a:xfrm>
                    <a:prstGeom prst="rect">
                      <a:avLst/>
                    </a:prstGeom>
                    <a:noFill/>
                    <a:ln>
                      <a:noFill/>
                    </a:ln>
                    <a:extLst>
                      <a:ext uri="{53640926-AAD7-44D8-BBD7-CCE9431645EC}">
                        <a14:shadowObscured xmlns:a14="http://schemas.microsoft.com/office/drawing/2010/main"/>
                      </a:ext>
                    </a:extLst>
                  </pic:spPr>
                </pic:pic>
              </a:graphicData>
            </a:graphic>
          </wp:inline>
        </w:drawing>
      </w:r>
    </w:p>
    <w:p w14:paraId="51E2CFEA" w14:textId="77777777" w:rsidR="007928CA" w:rsidRPr="00792B08" w:rsidRDefault="007928CA" w:rsidP="007928CA">
      <w:pPr>
        <w:pStyle w:val="H23G"/>
      </w:pPr>
      <w:r>
        <w:rPr>
          <w:lang w:val="fr-FR"/>
        </w:rPr>
        <w:lastRenderedPageBreak/>
        <w:tab/>
      </w:r>
      <w:r>
        <w:rPr>
          <w:lang w:val="fr-FR"/>
        </w:rPr>
        <w:tab/>
        <w:t>Enveloppe 4</w:t>
      </w:r>
    </w:p>
    <w:p w14:paraId="054F1CBA" w14:textId="77777777" w:rsidR="007928CA" w:rsidRPr="00792B08" w:rsidRDefault="007928CA" w:rsidP="007928CA">
      <w:pPr>
        <w:tabs>
          <w:tab w:val="left" w:pos="709"/>
        </w:tabs>
        <w:spacing w:line="240" w:lineRule="auto"/>
        <w:jc w:val="both"/>
      </w:pPr>
      <w:r w:rsidRPr="00792B08">
        <w:rPr>
          <w:noProof/>
        </w:rPr>
        <w:drawing>
          <wp:inline distT="0" distB="0" distL="0" distR="0" wp14:anchorId="299B6360" wp14:editId="56B1E878">
            <wp:extent cx="5761355" cy="3938543"/>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11">
                      <a:extLst>
                        <a:ext uri="{28A0092B-C50C-407E-A947-70E740481C1C}">
                          <a14:useLocalDpi xmlns:a14="http://schemas.microsoft.com/office/drawing/2010/main" val="0"/>
                        </a:ext>
                      </a:extLst>
                    </a:blip>
                    <a:srcRect t="4740"/>
                    <a:stretch/>
                  </pic:blipFill>
                  <pic:spPr bwMode="auto">
                    <a:xfrm>
                      <a:off x="0" y="0"/>
                      <a:ext cx="5761355" cy="3938543"/>
                    </a:xfrm>
                    <a:prstGeom prst="rect">
                      <a:avLst/>
                    </a:prstGeom>
                    <a:noFill/>
                    <a:ln>
                      <a:noFill/>
                    </a:ln>
                    <a:extLst>
                      <a:ext uri="{53640926-AAD7-44D8-BBD7-CCE9431645EC}">
                        <a14:shadowObscured xmlns:a14="http://schemas.microsoft.com/office/drawing/2010/main"/>
                      </a:ext>
                    </a:extLst>
                  </pic:spPr>
                </pic:pic>
              </a:graphicData>
            </a:graphic>
          </wp:inline>
        </w:drawing>
      </w:r>
    </w:p>
    <w:p w14:paraId="470DC172" w14:textId="77777777" w:rsidR="007928CA" w:rsidRPr="00792B08" w:rsidRDefault="007928CA" w:rsidP="007928CA">
      <w:pPr>
        <w:pStyle w:val="H23G"/>
      </w:pPr>
      <w:r>
        <w:rPr>
          <w:lang w:val="fr-FR"/>
        </w:rPr>
        <w:tab/>
      </w:r>
      <w:r>
        <w:rPr>
          <w:lang w:val="fr-FR"/>
        </w:rPr>
        <w:tab/>
        <w:t>Enveloppe 5</w:t>
      </w:r>
    </w:p>
    <w:p w14:paraId="75C2FCE4" w14:textId="77777777" w:rsidR="007928CA" w:rsidRPr="00792B08" w:rsidRDefault="007928CA" w:rsidP="007928CA">
      <w:pPr>
        <w:tabs>
          <w:tab w:val="left" w:pos="709"/>
        </w:tabs>
        <w:spacing w:line="240" w:lineRule="auto"/>
        <w:jc w:val="both"/>
      </w:pPr>
      <w:r w:rsidRPr="00792B08">
        <w:rPr>
          <w:noProof/>
        </w:rPr>
        <w:drawing>
          <wp:inline distT="0" distB="0" distL="0" distR="0" wp14:anchorId="39D9E108" wp14:editId="0F2A4BDB">
            <wp:extent cx="5761355" cy="394859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2">
                      <a:extLst>
                        <a:ext uri="{28A0092B-C50C-407E-A947-70E740481C1C}">
                          <a14:useLocalDpi xmlns:a14="http://schemas.microsoft.com/office/drawing/2010/main" val="0"/>
                        </a:ext>
                      </a:extLst>
                    </a:blip>
                    <a:srcRect t="4496"/>
                    <a:stretch/>
                  </pic:blipFill>
                  <pic:spPr bwMode="auto">
                    <a:xfrm>
                      <a:off x="0" y="0"/>
                      <a:ext cx="5761355" cy="3948591"/>
                    </a:xfrm>
                    <a:prstGeom prst="rect">
                      <a:avLst/>
                    </a:prstGeom>
                    <a:noFill/>
                    <a:ln>
                      <a:noFill/>
                    </a:ln>
                    <a:extLst>
                      <a:ext uri="{53640926-AAD7-44D8-BBD7-CCE9431645EC}">
                        <a14:shadowObscured xmlns:a14="http://schemas.microsoft.com/office/drawing/2010/main"/>
                      </a:ext>
                    </a:extLst>
                  </pic:spPr>
                </pic:pic>
              </a:graphicData>
            </a:graphic>
          </wp:inline>
        </w:drawing>
      </w:r>
    </w:p>
    <w:p w14:paraId="546CA5CC" w14:textId="77777777" w:rsidR="007928CA" w:rsidRPr="00792B08" w:rsidRDefault="007928CA" w:rsidP="007928CA">
      <w:pPr>
        <w:suppressAutoHyphens w:val="0"/>
        <w:spacing w:line="240" w:lineRule="auto"/>
        <w:rPr>
          <w:b/>
          <w:bCs/>
        </w:rPr>
      </w:pPr>
      <w:r w:rsidRPr="00792B08">
        <w:rPr>
          <w:b/>
          <w:bCs/>
        </w:rPr>
        <w:br w:type="page"/>
      </w:r>
    </w:p>
    <w:p w14:paraId="67215D65" w14:textId="77777777" w:rsidR="007928CA" w:rsidRPr="00EB26AE" w:rsidRDefault="007928CA" w:rsidP="007928CA">
      <w:pPr>
        <w:pStyle w:val="Titre1"/>
        <w:spacing w:after="120"/>
        <w:rPr>
          <w:b/>
          <w:bCs/>
        </w:rPr>
      </w:pPr>
      <w:r>
        <w:rPr>
          <w:lang w:val="fr-FR"/>
        </w:rPr>
        <w:lastRenderedPageBreak/>
        <w:t>Tableau 1</w:t>
      </w:r>
      <w:r>
        <w:rPr>
          <w:lang w:val="fr-FR"/>
        </w:rPr>
        <w:br/>
      </w:r>
      <w:r>
        <w:rPr>
          <w:b/>
          <w:bCs/>
          <w:lang w:val="fr-FR"/>
        </w:rPr>
        <w:t>Scénarios (d’autres paramètres peuvent être appliqués à condition qu’ils restent dans les limites définies dans le texte principal)</w:t>
      </w:r>
    </w:p>
    <w:tbl>
      <w:tblPr>
        <w:tblStyle w:val="Tabelraster1"/>
        <w:tblW w:w="8505" w:type="dxa"/>
        <w:tblInd w:w="1134" w:type="dxa"/>
        <w:tblLayout w:type="fixed"/>
        <w:tblCellMar>
          <w:left w:w="0" w:type="dxa"/>
          <w:right w:w="0" w:type="dxa"/>
        </w:tblCellMar>
        <w:tblLook w:val="04A0" w:firstRow="1" w:lastRow="0" w:firstColumn="1" w:lastColumn="0" w:noHBand="0" w:noVBand="1"/>
      </w:tblPr>
      <w:tblGrid>
        <w:gridCol w:w="1584"/>
        <w:gridCol w:w="1328"/>
        <w:gridCol w:w="1430"/>
        <w:gridCol w:w="1378"/>
        <w:gridCol w:w="1316"/>
        <w:gridCol w:w="1469"/>
      </w:tblGrid>
      <w:tr w:rsidR="007928CA" w:rsidRPr="004B3781" w14:paraId="308041C5" w14:textId="77777777" w:rsidTr="00254B5C">
        <w:trPr>
          <w:tblHeader/>
        </w:trPr>
        <w:tc>
          <w:tcPr>
            <w:tcW w:w="1584" w:type="dxa"/>
            <w:shd w:val="clear" w:color="auto" w:fill="auto"/>
            <w:vAlign w:val="bottom"/>
          </w:tcPr>
          <w:p w14:paraId="0608E72D" w14:textId="77777777" w:rsidR="007928CA" w:rsidRPr="00CD4964" w:rsidRDefault="007928CA" w:rsidP="00254B5C">
            <w:pPr>
              <w:suppressAutoHyphens w:val="0"/>
              <w:spacing w:before="80" w:after="80" w:line="200" w:lineRule="exact"/>
              <w:ind w:left="57" w:right="57"/>
              <w:rPr>
                <w:bCs/>
                <w:i/>
                <w:sz w:val="16"/>
                <w:szCs w:val="16"/>
              </w:rPr>
            </w:pPr>
          </w:p>
        </w:tc>
        <w:tc>
          <w:tcPr>
            <w:tcW w:w="1328" w:type="dxa"/>
            <w:shd w:val="clear" w:color="auto" w:fill="auto"/>
            <w:vAlign w:val="bottom"/>
            <w:hideMark/>
          </w:tcPr>
          <w:p w14:paraId="1E996A03" w14:textId="77777777" w:rsidR="007928CA" w:rsidRPr="00CD4964" w:rsidRDefault="007928CA" w:rsidP="00254B5C">
            <w:pPr>
              <w:suppressAutoHyphens w:val="0"/>
              <w:spacing w:before="80" w:after="80" w:line="200" w:lineRule="exact"/>
              <w:ind w:left="57" w:right="57"/>
              <w:jc w:val="right"/>
              <w:rPr>
                <w:bCs/>
                <w:i/>
                <w:sz w:val="16"/>
                <w:szCs w:val="16"/>
              </w:rPr>
            </w:pPr>
            <w:r w:rsidRPr="00CD4964">
              <w:rPr>
                <w:i/>
                <w:iCs/>
                <w:sz w:val="16"/>
                <w:szCs w:val="16"/>
                <w:lang w:val="fr-FR"/>
              </w:rPr>
              <w:t>Envelopp</w:t>
            </w:r>
            <w:r w:rsidRPr="00CD4964">
              <w:rPr>
                <w:sz w:val="16"/>
                <w:szCs w:val="16"/>
                <w:lang w:val="fr-FR"/>
              </w:rPr>
              <w:t>e</w:t>
            </w:r>
          </w:p>
        </w:tc>
        <w:tc>
          <w:tcPr>
            <w:tcW w:w="1430" w:type="dxa"/>
            <w:shd w:val="clear" w:color="auto" w:fill="auto"/>
            <w:vAlign w:val="bottom"/>
            <w:hideMark/>
          </w:tcPr>
          <w:p w14:paraId="7E84C58F" w14:textId="77777777" w:rsidR="007928CA" w:rsidRPr="00CD4964" w:rsidRDefault="007928CA" w:rsidP="00254B5C">
            <w:pPr>
              <w:suppressAutoHyphens w:val="0"/>
              <w:spacing w:before="80" w:after="80" w:line="200" w:lineRule="exact"/>
              <w:ind w:left="57" w:right="57"/>
              <w:jc w:val="right"/>
              <w:rPr>
                <w:bCs/>
                <w:i/>
                <w:sz w:val="16"/>
                <w:szCs w:val="16"/>
              </w:rPr>
            </w:pPr>
            <w:r w:rsidRPr="00CD4964">
              <w:rPr>
                <w:i/>
                <w:iCs/>
                <w:sz w:val="16"/>
                <w:szCs w:val="16"/>
                <w:lang w:val="fr-FR"/>
              </w:rPr>
              <w:t>Coordonnée latérale du vélo par rapport au centre du mannequin, selon le système de coordonnées défini ci-dessus (tolérance = ±0,1 m)</w:t>
            </w:r>
          </w:p>
        </w:tc>
        <w:tc>
          <w:tcPr>
            <w:tcW w:w="1378" w:type="dxa"/>
            <w:shd w:val="clear" w:color="auto" w:fill="auto"/>
            <w:vAlign w:val="bottom"/>
            <w:hideMark/>
          </w:tcPr>
          <w:p w14:paraId="469C024C" w14:textId="64ACCA7B" w:rsidR="007928CA" w:rsidRPr="00CD4964" w:rsidRDefault="007928CA" w:rsidP="00254B5C">
            <w:pPr>
              <w:suppressAutoHyphens w:val="0"/>
              <w:spacing w:before="80" w:after="80" w:line="200" w:lineRule="exact"/>
              <w:ind w:left="57" w:right="57"/>
              <w:jc w:val="right"/>
              <w:rPr>
                <w:bCs/>
                <w:i/>
                <w:sz w:val="16"/>
                <w:szCs w:val="16"/>
              </w:rPr>
            </w:pPr>
            <w:r w:rsidRPr="00CD4964">
              <w:rPr>
                <w:i/>
                <w:iCs/>
                <w:sz w:val="16"/>
                <w:szCs w:val="16"/>
                <w:lang w:val="fr-FR"/>
              </w:rPr>
              <w:t xml:space="preserve">Vitesse du vélo (tolérance </w:t>
            </w:r>
            <w:r>
              <w:rPr>
                <w:i/>
                <w:iCs/>
                <w:sz w:val="16"/>
                <w:szCs w:val="16"/>
                <w:lang w:val="fr-FR"/>
              </w:rPr>
              <w:br/>
            </w:r>
            <w:r w:rsidRPr="00CD4964">
              <w:rPr>
                <w:i/>
                <w:iCs/>
                <w:sz w:val="16"/>
                <w:szCs w:val="16"/>
                <w:lang w:val="fr-FR"/>
              </w:rPr>
              <w:t>= ±2 km/h)</w:t>
            </w:r>
          </w:p>
        </w:tc>
        <w:tc>
          <w:tcPr>
            <w:tcW w:w="1316" w:type="dxa"/>
            <w:shd w:val="clear" w:color="auto" w:fill="auto"/>
            <w:vAlign w:val="bottom"/>
            <w:hideMark/>
          </w:tcPr>
          <w:p w14:paraId="6A11077B" w14:textId="53E0AAD2" w:rsidR="007928CA" w:rsidRPr="00CD4964" w:rsidRDefault="007928CA" w:rsidP="00254B5C">
            <w:pPr>
              <w:suppressAutoHyphens w:val="0"/>
              <w:spacing w:before="80" w:after="80" w:line="200" w:lineRule="exact"/>
              <w:ind w:left="57" w:right="57"/>
              <w:jc w:val="right"/>
              <w:rPr>
                <w:bCs/>
                <w:i/>
                <w:sz w:val="16"/>
                <w:szCs w:val="16"/>
              </w:rPr>
            </w:pPr>
            <w:r w:rsidRPr="00CD4964">
              <w:rPr>
                <w:i/>
                <w:iCs/>
                <w:sz w:val="16"/>
                <w:szCs w:val="16"/>
                <w:lang w:val="fr-FR"/>
              </w:rPr>
              <w:t xml:space="preserve">Vitesse initiale du véhicule (tolérance </w:t>
            </w:r>
            <w:r>
              <w:rPr>
                <w:i/>
                <w:iCs/>
                <w:sz w:val="16"/>
                <w:szCs w:val="16"/>
                <w:lang w:val="fr-FR"/>
              </w:rPr>
              <w:br/>
            </w:r>
            <w:r w:rsidRPr="00CD4964">
              <w:rPr>
                <w:i/>
                <w:iCs/>
                <w:sz w:val="16"/>
                <w:szCs w:val="16"/>
                <w:lang w:val="fr-FR"/>
              </w:rPr>
              <w:t>= ±2 km/h)</w:t>
            </w:r>
            <w:r w:rsidRPr="00CD4964">
              <w:rPr>
                <w:sz w:val="16"/>
                <w:szCs w:val="16"/>
                <w:lang w:val="fr-FR"/>
              </w:rPr>
              <w:t xml:space="preserve"> </w:t>
            </w:r>
          </w:p>
        </w:tc>
        <w:tc>
          <w:tcPr>
            <w:tcW w:w="1469" w:type="dxa"/>
            <w:shd w:val="clear" w:color="auto" w:fill="auto"/>
            <w:vAlign w:val="bottom"/>
            <w:hideMark/>
          </w:tcPr>
          <w:p w14:paraId="2A58ECC6" w14:textId="77777777" w:rsidR="007928CA" w:rsidRPr="00CD4964" w:rsidRDefault="007928CA" w:rsidP="00254B5C">
            <w:pPr>
              <w:suppressAutoHyphens w:val="0"/>
              <w:spacing w:before="80" w:after="80" w:line="200" w:lineRule="exact"/>
              <w:ind w:left="57" w:right="57"/>
              <w:jc w:val="right"/>
              <w:rPr>
                <w:bCs/>
                <w:i/>
                <w:sz w:val="16"/>
                <w:szCs w:val="16"/>
              </w:rPr>
            </w:pPr>
            <w:r w:rsidRPr="00CD4964">
              <w:rPr>
                <w:i/>
                <w:iCs/>
                <w:sz w:val="16"/>
                <w:szCs w:val="16"/>
                <w:lang w:val="fr-FR"/>
              </w:rPr>
              <w:t>Point d’impact, avec tolérance (pour deux points chaque fois)</w:t>
            </w:r>
          </w:p>
        </w:tc>
      </w:tr>
      <w:tr w:rsidR="007928CA" w:rsidRPr="00792B08" w14:paraId="4687C775" w14:textId="77777777" w:rsidTr="00254B5C">
        <w:tc>
          <w:tcPr>
            <w:tcW w:w="1584" w:type="dxa"/>
            <w:shd w:val="clear" w:color="auto" w:fill="auto"/>
            <w:hideMark/>
          </w:tcPr>
          <w:p w14:paraId="4367F43D" w14:textId="77777777" w:rsidR="007928CA" w:rsidRPr="00CD4964" w:rsidRDefault="007928CA" w:rsidP="00254B5C">
            <w:pPr>
              <w:suppressAutoHyphens w:val="0"/>
              <w:spacing w:before="40" w:after="40" w:line="220" w:lineRule="exact"/>
              <w:ind w:left="57" w:right="57"/>
              <w:rPr>
                <w:bCs/>
                <w:sz w:val="18"/>
                <w:szCs w:val="18"/>
              </w:rPr>
            </w:pPr>
            <w:r w:rsidRPr="00CD4964">
              <w:rPr>
                <w:sz w:val="18"/>
                <w:szCs w:val="18"/>
                <w:lang w:val="fr-FR"/>
              </w:rPr>
              <w:t>Camions sans remorque, tracteurs sans remorque</w:t>
            </w:r>
          </w:p>
        </w:tc>
        <w:tc>
          <w:tcPr>
            <w:tcW w:w="1328" w:type="dxa"/>
            <w:shd w:val="clear" w:color="auto" w:fill="auto"/>
            <w:vAlign w:val="bottom"/>
            <w:hideMark/>
          </w:tcPr>
          <w:p w14:paraId="0611A18E"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1,3</w:t>
            </w:r>
          </w:p>
        </w:tc>
        <w:tc>
          <w:tcPr>
            <w:tcW w:w="1430" w:type="dxa"/>
            <w:shd w:val="clear" w:color="auto" w:fill="auto"/>
            <w:vAlign w:val="bottom"/>
            <w:hideMark/>
          </w:tcPr>
          <w:p w14:paraId="6D6F6C72"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-2,9 m, -5,7 m</w:t>
            </w:r>
          </w:p>
        </w:tc>
        <w:tc>
          <w:tcPr>
            <w:tcW w:w="1378" w:type="dxa"/>
            <w:shd w:val="clear" w:color="auto" w:fill="auto"/>
            <w:vAlign w:val="bottom"/>
            <w:hideMark/>
          </w:tcPr>
          <w:p w14:paraId="66A04387"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316" w:type="dxa"/>
            <w:shd w:val="clear" w:color="auto" w:fill="auto"/>
            <w:vAlign w:val="bottom"/>
            <w:hideMark/>
          </w:tcPr>
          <w:p w14:paraId="2D4B8476"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469" w:type="dxa"/>
            <w:shd w:val="clear" w:color="auto" w:fill="auto"/>
            <w:vAlign w:val="bottom"/>
            <w:hideMark/>
          </w:tcPr>
          <w:p w14:paraId="4525645B" w14:textId="6A520E2F"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0 m (-0 m, +0,5 m), 6 m (-0,5 m, +0 m)</w:t>
            </w:r>
          </w:p>
        </w:tc>
      </w:tr>
      <w:tr w:rsidR="007928CA" w:rsidRPr="00792B08" w14:paraId="63D42DF6" w14:textId="77777777" w:rsidTr="00254B5C">
        <w:tc>
          <w:tcPr>
            <w:tcW w:w="1584" w:type="dxa"/>
            <w:shd w:val="clear" w:color="auto" w:fill="auto"/>
            <w:hideMark/>
          </w:tcPr>
          <w:p w14:paraId="61FBA985" w14:textId="77777777" w:rsidR="007928CA" w:rsidRPr="00CD4964" w:rsidRDefault="007928CA" w:rsidP="00254B5C">
            <w:pPr>
              <w:suppressAutoHyphens w:val="0"/>
              <w:spacing w:before="40" w:after="40" w:line="220" w:lineRule="exact"/>
              <w:ind w:left="57" w:right="57"/>
              <w:rPr>
                <w:bCs/>
                <w:sz w:val="18"/>
                <w:szCs w:val="18"/>
              </w:rPr>
            </w:pPr>
            <w:r w:rsidRPr="00CD4964">
              <w:rPr>
                <w:sz w:val="18"/>
                <w:szCs w:val="18"/>
                <w:lang w:val="fr-FR"/>
              </w:rPr>
              <w:t>Camions équipés pour tracter des remorques</w:t>
            </w:r>
          </w:p>
        </w:tc>
        <w:tc>
          <w:tcPr>
            <w:tcW w:w="1328" w:type="dxa"/>
            <w:shd w:val="clear" w:color="auto" w:fill="auto"/>
            <w:vAlign w:val="bottom"/>
            <w:hideMark/>
          </w:tcPr>
          <w:p w14:paraId="0EA3413D"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1, 2, 3</w:t>
            </w:r>
          </w:p>
        </w:tc>
        <w:tc>
          <w:tcPr>
            <w:tcW w:w="1430" w:type="dxa"/>
            <w:shd w:val="clear" w:color="auto" w:fill="auto"/>
            <w:vAlign w:val="bottom"/>
            <w:hideMark/>
          </w:tcPr>
          <w:p w14:paraId="280A868C"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-2,9 m, -5,7 m</w:t>
            </w:r>
          </w:p>
        </w:tc>
        <w:tc>
          <w:tcPr>
            <w:tcW w:w="1378" w:type="dxa"/>
            <w:shd w:val="clear" w:color="auto" w:fill="auto"/>
            <w:vAlign w:val="bottom"/>
            <w:hideMark/>
          </w:tcPr>
          <w:p w14:paraId="36D863FB"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316" w:type="dxa"/>
            <w:shd w:val="clear" w:color="auto" w:fill="auto"/>
            <w:vAlign w:val="bottom"/>
            <w:hideMark/>
          </w:tcPr>
          <w:p w14:paraId="268053BA"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469" w:type="dxa"/>
            <w:shd w:val="clear" w:color="auto" w:fill="auto"/>
            <w:vAlign w:val="bottom"/>
            <w:hideMark/>
          </w:tcPr>
          <w:p w14:paraId="2418BB3F" w14:textId="68F6FF55"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0 m (-0 m, +0,5 m), 6 m (-0,5 m, +0 m)</w:t>
            </w:r>
          </w:p>
        </w:tc>
      </w:tr>
      <w:tr w:rsidR="007928CA" w:rsidRPr="00792B08" w14:paraId="29DE52AF" w14:textId="77777777" w:rsidTr="00254B5C">
        <w:tc>
          <w:tcPr>
            <w:tcW w:w="1584" w:type="dxa"/>
            <w:shd w:val="clear" w:color="auto" w:fill="auto"/>
            <w:hideMark/>
          </w:tcPr>
          <w:p w14:paraId="5DF41A8B" w14:textId="77777777" w:rsidR="007928CA" w:rsidRPr="00CD4964" w:rsidRDefault="007928CA" w:rsidP="00254B5C">
            <w:pPr>
              <w:suppressAutoHyphens w:val="0"/>
              <w:spacing w:before="40" w:after="40" w:line="220" w:lineRule="exact"/>
              <w:ind w:left="57" w:right="57"/>
              <w:rPr>
                <w:bCs/>
                <w:sz w:val="18"/>
                <w:szCs w:val="18"/>
              </w:rPr>
            </w:pPr>
            <w:r w:rsidRPr="00CD4964">
              <w:rPr>
                <w:sz w:val="18"/>
                <w:szCs w:val="18"/>
                <w:lang w:val="fr-FR"/>
              </w:rPr>
              <w:t>Tracteurs (équipés pour tracter des semi remorques)</w:t>
            </w:r>
          </w:p>
        </w:tc>
        <w:tc>
          <w:tcPr>
            <w:tcW w:w="1328" w:type="dxa"/>
            <w:shd w:val="clear" w:color="auto" w:fill="auto"/>
            <w:vAlign w:val="bottom"/>
            <w:hideMark/>
          </w:tcPr>
          <w:p w14:paraId="78AB4113"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1, 3</w:t>
            </w:r>
          </w:p>
        </w:tc>
        <w:tc>
          <w:tcPr>
            <w:tcW w:w="1430" w:type="dxa"/>
            <w:shd w:val="clear" w:color="auto" w:fill="auto"/>
            <w:vAlign w:val="bottom"/>
            <w:hideMark/>
          </w:tcPr>
          <w:p w14:paraId="5CEC7C66"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-2,9 m, -5,7 m</w:t>
            </w:r>
          </w:p>
        </w:tc>
        <w:tc>
          <w:tcPr>
            <w:tcW w:w="1378" w:type="dxa"/>
            <w:shd w:val="clear" w:color="auto" w:fill="auto"/>
            <w:vAlign w:val="bottom"/>
            <w:hideMark/>
          </w:tcPr>
          <w:p w14:paraId="776D30B0"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316" w:type="dxa"/>
            <w:shd w:val="clear" w:color="auto" w:fill="auto"/>
            <w:vAlign w:val="bottom"/>
            <w:hideMark/>
          </w:tcPr>
          <w:p w14:paraId="32F1D5C3"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469" w:type="dxa"/>
            <w:shd w:val="clear" w:color="auto" w:fill="auto"/>
            <w:vAlign w:val="bottom"/>
            <w:hideMark/>
          </w:tcPr>
          <w:p w14:paraId="02A25D34" w14:textId="66AE4D0C"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0 m (-0 m, +0,5 m), 6 m (-0,5 m, +0 m)</w:t>
            </w:r>
          </w:p>
        </w:tc>
      </w:tr>
      <w:tr w:rsidR="007928CA" w:rsidRPr="00792B08" w14:paraId="2BF25015" w14:textId="77777777" w:rsidTr="00254B5C">
        <w:tc>
          <w:tcPr>
            <w:tcW w:w="1584" w:type="dxa"/>
            <w:shd w:val="clear" w:color="auto" w:fill="auto"/>
            <w:hideMark/>
          </w:tcPr>
          <w:p w14:paraId="5116BF4B" w14:textId="7A3CF081" w:rsidR="007928CA" w:rsidRPr="00CD4964" w:rsidRDefault="007928CA" w:rsidP="00254B5C">
            <w:pPr>
              <w:suppressAutoHyphens w:val="0"/>
              <w:spacing w:before="40" w:after="40" w:line="220" w:lineRule="exact"/>
              <w:ind w:left="57" w:right="57"/>
              <w:rPr>
                <w:bCs/>
                <w:sz w:val="18"/>
                <w:szCs w:val="18"/>
              </w:rPr>
            </w:pPr>
            <w:r w:rsidRPr="00CD4964">
              <w:rPr>
                <w:sz w:val="18"/>
                <w:szCs w:val="18"/>
                <w:lang w:val="fr-FR"/>
              </w:rPr>
              <w:t>M</w:t>
            </w:r>
            <w:r w:rsidRPr="00CD4964">
              <w:rPr>
                <w:sz w:val="18"/>
                <w:szCs w:val="18"/>
                <w:vertAlign w:val="subscript"/>
                <w:lang w:val="fr-FR"/>
              </w:rPr>
              <w:t>3,</w:t>
            </w:r>
            <w:r w:rsidRPr="00CD4964">
              <w:rPr>
                <w:sz w:val="18"/>
                <w:szCs w:val="18"/>
                <w:lang w:val="fr-FR"/>
              </w:rPr>
              <w:t xml:space="preserve"> classe I, à l’exception des m</w:t>
            </w:r>
            <w:r w:rsidRPr="00CD4964">
              <w:rPr>
                <w:sz w:val="18"/>
                <w:szCs w:val="18"/>
                <w:vertAlign w:val="subscript"/>
                <w:lang w:val="fr-FR"/>
              </w:rPr>
              <w:t>3</w:t>
            </w:r>
            <w:r w:rsidRPr="00CD4964">
              <w:rPr>
                <w:sz w:val="18"/>
                <w:szCs w:val="18"/>
                <w:lang w:val="fr-FR"/>
              </w:rPr>
              <w:t>, classe I articulés</w:t>
            </w:r>
            <w:r w:rsidRPr="00CD4964">
              <w:rPr>
                <w:rStyle w:val="Appelnotedebasdep"/>
                <w:bCs/>
                <w:szCs w:val="18"/>
                <w:lang w:val="fr-FR"/>
              </w:rPr>
              <w:footnoteReference w:customMarkFollows="1" w:id="3"/>
              <w:t>1</w:t>
            </w:r>
          </w:p>
        </w:tc>
        <w:tc>
          <w:tcPr>
            <w:tcW w:w="1328" w:type="dxa"/>
            <w:shd w:val="clear" w:color="auto" w:fill="auto"/>
            <w:vAlign w:val="bottom"/>
            <w:hideMark/>
          </w:tcPr>
          <w:p w14:paraId="70B5882B"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4, 5</w:t>
            </w:r>
          </w:p>
        </w:tc>
        <w:tc>
          <w:tcPr>
            <w:tcW w:w="1430" w:type="dxa"/>
            <w:shd w:val="clear" w:color="auto" w:fill="auto"/>
            <w:vAlign w:val="bottom"/>
            <w:hideMark/>
          </w:tcPr>
          <w:p w14:paraId="7F35D759"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-2,9 m, -5,7 m</w:t>
            </w:r>
          </w:p>
        </w:tc>
        <w:tc>
          <w:tcPr>
            <w:tcW w:w="1378" w:type="dxa"/>
            <w:shd w:val="clear" w:color="auto" w:fill="auto"/>
            <w:vAlign w:val="bottom"/>
            <w:hideMark/>
          </w:tcPr>
          <w:p w14:paraId="4F9369BE"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316" w:type="dxa"/>
            <w:shd w:val="clear" w:color="auto" w:fill="auto"/>
            <w:vAlign w:val="bottom"/>
            <w:hideMark/>
          </w:tcPr>
          <w:p w14:paraId="654C73F7"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469" w:type="dxa"/>
            <w:shd w:val="clear" w:color="auto" w:fill="auto"/>
            <w:vAlign w:val="bottom"/>
            <w:hideMark/>
          </w:tcPr>
          <w:p w14:paraId="4109B1AF" w14:textId="47CEB826"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0 m (-0 m, +0,5 m), 6 m (-0,5 m, +0 m)</w:t>
            </w:r>
          </w:p>
        </w:tc>
      </w:tr>
      <w:tr w:rsidR="007928CA" w:rsidRPr="00792B08" w14:paraId="04398ADE" w14:textId="77777777" w:rsidTr="00254B5C">
        <w:tc>
          <w:tcPr>
            <w:tcW w:w="1584" w:type="dxa"/>
            <w:shd w:val="clear" w:color="auto" w:fill="auto"/>
            <w:hideMark/>
          </w:tcPr>
          <w:p w14:paraId="09F6F060" w14:textId="77777777" w:rsidR="007928CA" w:rsidRPr="00CD4964" w:rsidRDefault="007928CA" w:rsidP="00254B5C">
            <w:pPr>
              <w:suppressAutoHyphens w:val="0"/>
              <w:spacing w:before="40" w:after="40" w:line="220" w:lineRule="exact"/>
              <w:ind w:left="57" w:right="57"/>
              <w:rPr>
                <w:bCs/>
                <w:sz w:val="18"/>
                <w:szCs w:val="18"/>
              </w:rPr>
            </w:pPr>
            <w:r w:rsidRPr="00CD4964">
              <w:rPr>
                <w:sz w:val="18"/>
                <w:szCs w:val="18"/>
                <w:lang w:val="fr-FR"/>
              </w:rPr>
              <w:t>Tous autres véhicules de la catégorie M</w:t>
            </w:r>
            <w:r w:rsidRPr="00CD4964">
              <w:rPr>
                <w:sz w:val="18"/>
                <w:szCs w:val="18"/>
                <w:vertAlign w:val="subscript"/>
                <w:lang w:val="fr-FR"/>
              </w:rPr>
              <w:t>3</w:t>
            </w:r>
          </w:p>
        </w:tc>
        <w:tc>
          <w:tcPr>
            <w:tcW w:w="1328" w:type="dxa"/>
            <w:shd w:val="clear" w:color="auto" w:fill="auto"/>
            <w:vAlign w:val="bottom"/>
            <w:hideMark/>
          </w:tcPr>
          <w:p w14:paraId="617055EF"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5</w:t>
            </w:r>
          </w:p>
        </w:tc>
        <w:tc>
          <w:tcPr>
            <w:tcW w:w="1430" w:type="dxa"/>
            <w:shd w:val="clear" w:color="auto" w:fill="auto"/>
            <w:vAlign w:val="bottom"/>
            <w:hideMark/>
          </w:tcPr>
          <w:p w14:paraId="2D9DA178"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-2,9 m, -5,7 m</w:t>
            </w:r>
          </w:p>
        </w:tc>
        <w:tc>
          <w:tcPr>
            <w:tcW w:w="1378" w:type="dxa"/>
            <w:shd w:val="clear" w:color="auto" w:fill="auto"/>
            <w:vAlign w:val="bottom"/>
            <w:hideMark/>
          </w:tcPr>
          <w:p w14:paraId="134844CD"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316" w:type="dxa"/>
            <w:shd w:val="clear" w:color="auto" w:fill="auto"/>
            <w:vAlign w:val="bottom"/>
            <w:hideMark/>
          </w:tcPr>
          <w:p w14:paraId="56841588" w14:textId="77777777"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10 km/h, 20 km/h</w:t>
            </w:r>
          </w:p>
        </w:tc>
        <w:tc>
          <w:tcPr>
            <w:tcW w:w="1469" w:type="dxa"/>
            <w:shd w:val="clear" w:color="auto" w:fill="auto"/>
            <w:vAlign w:val="bottom"/>
            <w:hideMark/>
          </w:tcPr>
          <w:p w14:paraId="243AF0ED" w14:textId="607B6E22" w:rsidR="007928CA" w:rsidRPr="00CD4964" w:rsidRDefault="007928CA" w:rsidP="00254B5C">
            <w:pPr>
              <w:suppressAutoHyphens w:val="0"/>
              <w:spacing w:before="40" w:after="40" w:line="220" w:lineRule="exact"/>
              <w:ind w:left="57" w:right="57"/>
              <w:jc w:val="right"/>
              <w:rPr>
                <w:bCs/>
                <w:sz w:val="18"/>
                <w:szCs w:val="18"/>
              </w:rPr>
            </w:pPr>
            <w:r w:rsidRPr="00CD4964">
              <w:rPr>
                <w:sz w:val="18"/>
                <w:szCs w:val="18"/>
                <w:lang w:val="fr-FR"/>
              </w:rPr>
              <w:t>0 m (-0 m, +0,5 m), 6 m (-0,5 m, +0 m)</w:t>
            </w:r>
          </w:p>
        </w:tc>
      </w:tr>
    </w:tbl>
    <w:p w14:paraId="2E91272A" w14:textId="3DA1AD72" w:rsidR="007928CA" w:rsidRPr="00EB26AE" w:rsidRDefault="007928CA" w:rsidP="007928CA">
      <w:pPr>
        <w:pStyle w:val="SingleTxtG"/>
        <w:spacing w:before="240"/>
      </w:pPr>
      <w:r>
        <w:rPr>
          <w:lang w:val="fr-FR"/>
        </w:rPr>
        <w:t>Placer les panneaux de signalisation de vitesse pertinents sur les 10 premiers mètres de la trajectoire du véhicule dans le sens longitudinal, à une distance latérale maximale de 2 mètres par rapport à la trajectoire prévue du véhicule, mais pas dans sa trajectoire.</w:t>
      </w:r>
      <w:r>
        <w:rPr>
          <w:lang w:val="fr-FR"/>
        </w:rPr>
        <w:t> »</w:t>
      </w:r>
      <w:r>
        <w:rPr>
          <w:lang w:val="fr-FR"/>
        </w:rPr>
        <w:t>.</w:t>
      </w:r>
    </w:p>
    <w:p w14:paraId="3B73D288" w14:textId="368DE027" w:rsidR="005F0207" w:rsidRPr="005F0207" w:rsidRDefault="007928CA" w:rsidP="007928CA">
      <w:pPr>
        <w:spacing w:before="240"/>
        <w:jc w:val="center"/>
      </w:pPr>
      <w:r w:rsidRPr="00EB26AE">
        <w:rPr>
          <w:u w:val="single"/>
        </w:rPr>
        <w:tab/>
      </w:r>
      <w:r w:rsidRPr="00EB26AE">
        <w:rPr>
          <w:u w:val="single"/>
        </w:rPr>
        <w:tab/>
      </w:r>
      <w:r w:rsidRPr="00EB26AE">
        <w:rPr>
          <w:u w:val="single"/>
        </w:rPr>
        <w:tab/>
      </w:r>
    </w:p>
    <w:sectPr w:rsidR="005F0207" w:rsidRPr="005F0207" w:rsidSect="007928CA">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B9C3" w14:textId="77777777" w:rsidR="007E0C82" w:rsidRDefault="007E0C82"/>
  </w:endnote>
  <w:endnote w:type="continuationSeparator" w:id="0">
    <w:p w14:paraId="60DF2936" w14:textId="77777777" w:rsidR="007E0C82" w:rsidRDefault="007E0C82">
      <w:pPr>
        <w:pStyle w:val="Pieddepage"/>
      </w:pPr>
    </w:p>
  </w:endnote>
  <w:endnote w:type="continuationNotice" w:id="1">
    <w:p w14:paraId="79FB3E9F" w14:textId="77777777" w:rsidR="007E0C82" w:rsidRPr="00C451B9" w:rsidRDefault="007E0C8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44B7" w14:textId="77777777" w:rsidR="007928CA" w:rsidRPr="007928CA" w:rsidRDefault="007928CA" w:rsidP="007928CA">
    <w:pPr>
      <w:pStyle w:val="Pieddepage"/>
      <w:tabs>
        <w:tab w:val="right" w:pos="9638"/>
      </w:tabs>
    </w:pPr>
    <w:r w:rsidRPr="007928CA">
      <w:rPr>
        <w:b/>
        <w:sz w:val="18"/>
      </w:rPr>
      <w:fldChar w:fldCharType="begin"/>
    </w:r>
    <w:r w:rsidRPr="007928CA">
      <w:rPr>
        <w:b/>
        <w:sz w:val="18"/>
      </w:rPr>
      <w:instrText xml:space="preserve"> PAGE  \* MERGEFORMAT </w:instrText>
    </w:r>
    <w:r w:rsidRPr="007928CA">
      <w:rPr>
        <w:b/>
        <w:sz w:val="18"/>
      </w:rPr>
      <w:fldChar w:fldCharType="separate"/>
    </w:r>
    <w:r w:rsidRPr="007928CA">
      <w:rPr>
        <w:b/>
        <w:noProof/>
        <w:sz w:val="18"/>
      </w:rPr>
      <w:t>2</w:t>
    </w:r>
    <w:r w:rsidRPr="007928CA">
      <w:rPr>
        <w:b/>
        <w:sz w:val="18"/>
      </w:rPr>
      <w:fldChar w:fldCharType="end"/>
    </w:r>
    <w:r>
      <w:rPr>
        <w:b/>
        <w:sz w:val="18"/>
      </w:rPr>
      <w:tab/>
    </w:r>
    <w:r>
      <w:t>GE.23-11684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D7AD" w14:textId="77777777" w:rsidR="007928CA" w:rsidRPr="007928CA" w:rsidRDefault="007928CA" w:rsidP="007928CA">
    <w:pPr>
      <w:pStyle w:val="Pieddepage"/>
      <w:tabs>
        <w:tab w:val="right" w:pos="9638"/>
      </w:tabs>
      <w:rPr>
        <w:b/>
        <w:sz w:val="18"/>
      </w:rPr>
    </w:pPr>
    <w:r>
      <w:t>GE.23-11684</w:t>
    </w:r>
    <w:r>
      <w:tab/>
    </w:r>
    <w:r w:rsidRPr="007928CA">
      <w:rPr>
        <w:b/>
        <w:sz w:val="18"/>
      </w:rPr>
      <w:fldChar w:fldCharType="begin"/>
    </w:r>
    <w:r w:rsidRPr="007928CA">
      <w:rPr>
        <w:b/>
        <w:sz w:val="18"/>
      </w:rPr>
      <w:instrText xml:space="preserve"> PAGE  \* MERGEFORMAT </w:instrText>
    </w:r>
    <w:r w:rsidRPr="007928CA">
      <w:rPr>
        <w:b/>
        <w:sz w:val="18"/>
      </w:rPr>
      <w:fldChar w:fldCharType="separate"/>
    </w:r>
    <w:r w:rsidRPr="007928CA">
      <w:rPr>
        <w:b/>
        <w:noProof/>
        <w:sz w:val="18"/>
      </w:rPr>
      <w:t>3</w:t>
    </w:r>
    <w:r w:rsidRPr="007928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6F55" w14:textId="308BC876" w:rsidR="00467F2C" w:rsidRPr="007928CA" w:rsidRDefault="007928CA" w:rsidP="007928CA">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CB85176" wp14:editId="261A0FEF">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23-11684  (F)</w:t>
    </w:r>
    <w:r>
      <w:rPr>
        <w:noProof/>
        <w:sz w:val="20"/>
      </w:rPr>
      <w:drawing>
        <wp:anchor distT="0" distB="0" distL="114300" distR="114300" simplePos="0" relativeHeight="251660288" behindDoc="0" locked="0" layoutInCell="1" allowOverlap="1" wp14:anchorId="131B9E30" wp14:editId="25905435">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271023    311023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476E" w14:textId="77777777" w:rsidR="007E0C82" w:rsidRPr="00D27D5E" w:rsidRDefault="007E0C82" w:rsidP="00D27D5E">
      <w:pPr>
        <w:tabs>
          <w:tab w:val="right" w:pos="2155"/>
        </w:tabs>
        <w:spacing w:after="80"/>
        <w:ind w:left="680"/>
        <w:rPr>
          <w:u w:val="single"/>
        </w:rPr>
      </w:pPr>
      <w:r>
        <w:rPr>
          <w:u w:val="single"/>
        </w:rPr>
        <w:tab/>
      </w:r>
    </w:p>
  </w:footnote>
  <w:footnote w:type="continuationSeparator" w:id="0">
    <w:p w14:paraId="5197B0D0" w14:textId="77777777" w:rsidR="007E0C82" w:rsidRPr="00D171D4" w:rsidRDefault="007E0C82" w:rsidP="00D171D4">
      <w:pPr>
        <w:tabs>
          <w:tab w:val="right" w:pos="2155"/>
        </w:tabs>
        <w:spacing w:after="80"/>
        <w:ind w:left="680"/>
        <w:rPr>
          <w:u w:val="single"/>
        </w:rPr>
      </w:pPr>
      <w:r w:rsidRPr="00D171D4">
        <w:rPr>
          <w:u w:val="single"/>
        </w:rPr>
        <w:tab/>
      </w:r>
    </w:p>
  </w:footnote>
  <w:footnote w:type="continuationNotice" w:id="1">
    <w:p w14:paraId="607F5AFA" w14:textId="77777777" w:rsidR="007E0C82" w:rsidRPr="00C451B9" w:rsidRDefault="007E0C82" w:rsidP="00C451B9">
      <w:pPr>
        <w:spacing w:line="240" w:lineRule="auto"/>
        <w:rPr>
          <w:sz w:val="2"/>
          <w:szCs w:val="2"/>
        </w:rPr>
      </w:pPr>
    </w:p>
  </w:footnote>
  <w:footnote w:id="2">
    <w:p w14:paraId="2CFB34A5" w14:textId="34CDC69A"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w:t>
      </w:r>
      <w:r w:rsidR="007928CA">
        <w:t>’</w:t>
      </w:r>
      <w:r w:rsidR="00591072" w:rsidRPr="00591072">
        <w:t>Accord :</w:t>
      </w:r>
    </w:p>
    <w:p w14:paraId="3C1F6B0B" w14:textId="15600ACA" w:rsidR="00591072" w:rsidRPr="00591072" w:rsidRDefault="00591072" w:rsidP="00591072">
      <w:pPr>
        <w:pStyle w:val="Notedebasdepage"/>
      </w:pPr>
      <w:r w:rsidRPr="007928CA">
        <w:tab/>
      </w:r>
      <w:r w:rsidRPr="007928CA">
        <w:tab/>
        <w:t xml:space="preserve">Accord </w:t>
      </w:r>
      <w:r w:rsidRPr="00591072">
        <w:t>concernant l</w:t>
      </w:r>
      <w:r w:rsidR="007928CA">
        <w:t>’</w:t>
      </w:r>
      <w:r w:rsidRPr="00591072">
        <w:t>adoption de conditions uniformes d</w:t>
      </w:r>
      <w:r w:rsidR="007928CA">
        <w:t>’</w:t>
      </w:r>
      <w:r w:rsidRPr="00591072">
        <w:t>homologation et la reconnaissance réciproque de l</w:t>
      </w:r>
      <w:r w:rsidR="007928CA">
        <w:t>’</w:t>
      </w:r>
      <w:r w:rsidRPr="00591072">
        <w:t>homologation des équipements et pièces de véhicules à moteur, en date, à Genève, du 20 mars 1958 (version originale) ;</w:t>
      </w:r>
    </w:p>
    <w:p w14:paraId="1C5A5B51" w14:textId="778F0299" w:rsidR="00591072" w:rsidRPr="00591072" w:rsidRDefault="00591072" w:rsidP="00591072">
      <w:pPr>
        <w:pStyle w:val="Notedebasdepage"/>
      </w:pPr>
      <w:r>
        <w:tab/>
      </w:r>
      <w:r>
        <w:tab/>
      </w:r>
      <w:r w:rsidRPr="00591072">
        <w:t>Accord concernant l</w:t>
      </w:r>
      <w:r w:rsidR="007928CA">
        <w:t>’</w:t>
      </w:r>
      <w:r w:rsidRPr="00591072">
        <w:t>adoption de prescriptions techniques uniformes applicables aux véhicules à</w:t>
      </w:r>
      <w:r>
        <w:t> </w:t>
      </w:r>
      <w:r w:rsidRPr="00591072">
        <w:t>roues, aux équipements et aux pièces susceptibles d</w:t>
      </w:r>
      <w:r w:rsidR="007928CA">
        <w:t>’</w:t>
      </w:r>
      <w:r w:rsidRPr="00591072">
        <w:t>être montés ou utilisés sur un véhicule à roues et les conditions de reconnaissance réciproque des homologations délivrées conformément à ces prescriptions, en date, à Genève, du 5 octobre 1995 (Révision 2).</w:t>
      </w:r>
    </w:p>
    <w:p w14:paraId="516DEF7E" w14:textId="77777777" w:rsidR="00442E31" w:rsidRPr="00442E31" w:rsidRDefault="00442E31">
      <w:pPr>
        <w:pStyle w:val="Notedebasdepage"/>
      </w:pPr>
    </w:p>
  </w:footnote>
  <w:footnote w:id="3">
    <w:p w14:paraId="29A5284C" w14:textId="04BD6AA7" w:rsidR="007928CA" w:rsidRPr="00EB26AE" w:rsidRDefault="007928CA" w:rsidP="007928CA">
      <w:pPr>
        <w:pStyle w:val="Notedebasdepage"/>
        <w:tabs>
          <w:tab w:val="clear" w:pos="1021"/>
          <w:tab w:val="left" w:pos="1022"/>
        </w:tabs>
      </w:pPr>
      <w:r>
        <w:rPr>
          <w:lang w:val="fr-FR"/>
        </w:rPr>
        <w:tab/>
      </w:r>
      <w:r>
        <w:rPr>
          <w:vertAlign w:val="superscript"/>
          <w:lang w:val="fr-FR"/>
        </w:rPr>
        <w:t>1</w:t>
      </w:r>
      <w:r>
        <w:rPr>
          <w:lang w:val="fr-FR"/>
        </w:rPr>
        <w:t xml:space="preserve"> </w:t>
      </w:r>
      <w:r>
        <w:rPr>
          <w:lang w:val="fr-FR"/>
        </w:rPr>
        <w:tab/>
        <w:t>Tels qu</w:t>
      </w:r>
      <w:r>
        <w:rPr>
          <w:lang w:val="fr-FR"/>
        </w:rPr>
        <w:t>’</w:t>
      </w:r>
      <w:r>
        <w:rPr>
          <w:lang w:val="fr-FR"/>
        </w:rPr>
        <w:t>ils sont définis dans la Résolution d</w:t>
      </w:r>
      <w:r>
        <w:rPr>
          <w:lang w:val="fr-FR"/>
        </w:rPr>
        <w:t>’</w:t>
      </w:r>
      <w:r>
        <w:rPr>
          <w:lang w:val="fr-FR"/>
        </w:rPr>
        <w:t>ensemble sur la construction des véhicules (R.E.3), document ECE/TRANS/WP.29/78/Rev.6, par. 2 – https ://unece.org/transport/</w:t>
      </w:r>
      <w:proofErr w:type="spellStart"/>
      <w:r>
        <w:rPr>
          <w:lang w:val="fr-FR"/>
        </w:rPr>
        <w:t>vehicle-regulations</w:t>
      </w:r>
      <w:proofErr w:type="spellEnd"/>
      <w:r>
        <w:rPr>
          <w:lang w:val="fr-FR"/>
        </w:rPr>
        <w:t>/wp29/</w:t>
      </w:r>
      <w:proofErr w:type="spellStart"/>
      <w:r>
        <w:rPr>
          <w:lang w:val="fr-FR"/>
        </w:rPr>
        <w:t>resolutions</w:t>
      </w:r>
      <w:proofErr w:type="spellEnd"/>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1E0F" w14:textId="3C539DE8" w:rsidR="007928CA" w:rsidRPr="007928CA" w:rsidRDefault="007928CA">
    <w:pPr>
      <w:pStyle w:val="En-tte"/>
      <w:rPr>
        <w:lang w:val="en-US"/>
      </w:rPr>
    </w:pPr>
    <w:r>
      <w:fldChar w:fldCharType="begin"/>
    </w:r>
    <w:r w:rsidRPr="007928CA">
      <w:rPr>
        <w:lang w:val="en-US"/>
      </w:rPr>
      <w:instrText xml:space="preserve"> TITLE  \* MERGEFORMAT </w:instrText>
    </w:r>
    <w:r>
      <w:fldChar w:fldCharType="separate"/>
    </w:r>
    <w:r w:rsidRPr="007928CA">
      <w:rPr>
        <w:lang w:val="en-US"/>
      </w:rPr>
      <w:t>E/ECE/TRANS/505/Rev.3/Add.150/Amend.4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72EF" w14:textId="799EF63D" w:rsidR="007928CA" w:rsidRPr="007928CA" w:rsidRDefault="007928CA" w:rsidP="007928CA">
    <w:pPr>
      <w:pStyle w:val="En-tte"/>
      <w:jc w:val="right"/>
      <w:rPr>
        <w:lang w:val="en-US"/>
      </w:rPr>
    </w:pPr>
    <w:r>
      <w:fldChar w:fldCharType="begin"/>
    </w:r>
    <w:r w:rsidRPr="007928CA">
      <w:rPr>
        <w:lang w:val="en-US"/>
      </w:rPr>
      <w:instrText xml:space="preserve"> TITLE  \* MERGEFORMAT </w:instrText>
    </w:r>
    <w:r>
      <w:fldChar w:fldCharType="separate"/>
    </w:r>
    <w:r w:rsidRPr="007928CA">
      <w:rPr>
        <w:lang w:val="en-US"/>
      </w:rPr>
      <w:t>E/ECE/TRANS/505/Rev.3/Add.150/Amend.4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66337925">
    <w:abstractNumId w:val="3"/>
  </w:num>
  <w:num w:numId="2" w16cid:durableId="1289705789">
    <w:abstractNumId w:val="2"/>
  </w:num>
  <w:num w:numId="3" w16cid:durableId="1479305264">
    <w:abstractNumId w:val="0"/>
  </w:num>
  <w:num w:numId="4" w16cid:durableId="203370139">
    <w:abstractNumId w:val="3"/>
  </w:num>
  <w:num w:numId="5" w16cid:durableId="1138955902">
    <w:abstractNumId w:val="2"/>
  </w:num>
  <w:num w:numId="6" w16cid:durableId="1107114528">
    <w:abstractNumId w:val="0"/>
  </w:num>
  <w:num w:numId="7" w16cid:durableId="11154424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8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3142"/>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28CA"/>
    <w:rsid w:val="00796316"/>
    <w:rsid w:val="007A1C58"/>
    <w:rsid w:val="007A20D2"/>
    <w:rsid w:val="007A79CD"/>
    <w:rsid w:val="007C16EA"/>
    <w:rsid w:val="007D2668"/>
    <w:rsid w:val="007D3119"/>
    <w:rsid w:val="007E0C82"/>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5C50"/>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E20529"/>
  <w15:docId w15:val="{7F614A50-C9DD-4BC4-89C4-D4CAE42A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ootnote Text Char,5_G_6,5_GR"/>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4_GR"/>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ootnote Text Char Car,5_G_6 Car,5_GR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7928CA"/>
    <w:rPr>
      <w:rFonts w:eastAsiaTheme="minorHAnsi"/>
      <w:b/>
      <w:sz w:val="24"/>
      <w:lang w:val="fr-CH"/>
    </w:rPr>
  </w:style>
  <w:style w:type="character" w:customStyle="1" w:styleId="HChGChar">
    <w:name w:val="_ H _Ch_G Char"/>
    <w:link w:val="HChG"/>
    <w:rsid w:val="007928CA"/>
    <w:rPr>
      <w:rFonts w:eastAsiaTheme="minorHAnsi"/>
      <w:b/>
      <w:sz w:val="28"/>
      <w:lang w:val="fr-CH"/>
    </w:rPr>
  </w:style>
  <w:style w:type="numbering" w:styleId="1ai">
    <w:name w:val="Outline List 1"/>
    <w:basedOn w:val="Aucuneliste"/>
    <w:rsid w:val="007928CA"/>
    <w:pPr>
      <w:numPr>
        <w:numId w:val="7"/>
      </w:numPr>
    </w:pPr>
  </w:style>
  <w:style w:type="table" w:customStyle="1" w:styleId="Tabelraster1">
    <w:name w:val="Tabelraster1"/>
    <w:basedOn w:val="TableauNormal"/>
    <w:rsid w:val="007928CA"/>
    <w:pPr>
      <w:suppressAutoHyphens/>
      <w:spacing w:line="240" w:lineRule="atLeast"/>
    </w:pPr>
    <w:rPr>
      <w:lang w:val="fr-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9</Pages>
  <Words>1883</Words>
  <Characters>12242</Characters>
  <Application>Microsoft Office Word</Application>
  <DocSecurity>0</DocSecurity>
  <Lines>1224</Lines>
  <Paragraphs>830</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E/ECE/TRANS/505/Rev.3/Add.150/Amend.4</dc:title>
  <dc:creator>Sandrine CLERE</dc:creator>
  <cp:keywords>E/ECE/TRANS/505/Rev.3/Add.150/Amend.4</cp:keywords>
  <cp:lastModifiedBy>Sandrine Clere</cp:lastModifiedBy>
  <cp:revision>2</cp:revision>
  <cp:lastPrinted>2008-11-04T15:54:00Z</cp:lastPrinted>
  <dcterms:created xsi:type="dcterms:W3CDTF">2023-10-31T09:33:00Z</dcterms:created>
  <dcterms:modified xsi:type="dcterms:W3CDTF">2023-10-31T09:33:00Z</dcterms:modified>
</cp:coreProperties>
</file>