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09B1A85" w14:textId="77777777" w:rsidTr="00387CD4">
        <w:trPr>
          <w:trHeight w:hRule="exact" w:val="851"/>
        </w:trPr>
        <w:tc>
          <w:tcPr>
            <w:tcW w:w="142" w:type="dxa"/>
            <w:tcBorders>
              <w:bottom w:val="single" w:sz="4" w:space="0" w:color="auto"/>
            </w:tcBorders>
          </w:tcPr>
          <w:p w14:paraId="70B3F800" w14:textId="77777777" w:rsidR="002D5AAC" w:rsidRDefault="002D5AAC" w:rsidP="0015115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3DFD9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C36E279" w14:textId="34374339" w:rsidR="002D5AAC" w:rsidRDefault="00151152" w:rsidP="00151152">
            <w:pPr>
              <w:jc w:val="right"/>
            </w:pPr>
            <w:r w:rsidRPr="00151152">
              <w:rPr>
                <w:sz w:val="40"/>
              </w:rPr>
              <w:t>ECE</w:t>
            </w:r>
            <w:r>
              <w:t>/TRANS/WP.11/2023/17</w:t>
            </w:r>
          </w:p>
        </w:tc>
      </w:tr>
      <w:tr w:rsidR="002D5AAC" w14:paraId="05CB2E7F" w14:textId="77777777" w:rsidTr="00387CD4">
        <w:trPr>
          <w:trHeight w:hRule="exact" w:val="2835"/>
        </w:trPr>
        <w:tc>
          <w:tcPr>
            <w:tcW w:w="1280" w:type="dxa"/>
            <w:gridSpan w:val="2"/>
            <w:tcBorders>
              <w:top w:val="single" w:sz="4" w:space="0" w:color="auto"/>
              <w:bottom w:val="single" w:sz="12" w:space="0" w:color="auto"/>
            </w:tcBorders>
          </w:tcPr>
          <w:p w14:paraId="79551CA1" w14:textId="77777777" w:rsidR="002D5AAC" w:rsidRDefault="002E5067" w:rsidP="00387CD4">
            <w:pPr>
              <w:spacing w:before="120"/>
              <w:jc w:val="center"/>
            </w:pPr>
            <w:r>
              <w:rPr>
                <w:noProof/>
                <w:lang w:val="fr-CH" w:eastAsia="fr-CH"/>
              </w:rPr>
              <w:drawing>
                <wp:inline distT="0" distB="0" distL="0" distR="0" wp14:anchorId="49CB4D14" wp14:editId="1758C7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38552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76D28F6" w14:textId="77777777" w:rsidR="002D5AAC" w:rsidRDefault="00151152" w:rsidP="00387CD4">
            <w:pPr>
              <w:spacing w:before="240"/>
              <w:rPr>
                <w:lang w:val="en-US"/>
              </w:rPr>
            </w:pPr>
            <w:r>
              <w:rPr>
                <w:lang w:val="en-US"/>
              </w:rPr>
              <w:t>Distr.: General</w:t>
            </w:r>
          </w:p>
          <w:p w14:paraId="01A10F3E" w14:textId="77777777" w:rsidR="00151152" w:rsidRDefault="00151152" w:rsidP="00151152">
            <w:pPr>
              <w:spacing w:line="240" w:lineRule="exact"/>
              <w:rPr>
                <w:lang w:val="en-US"/>
              </w:rPr>
            </w:pPr>
            <w:r>
              <w:rPr>
                <w:lang w:val="en-US"/>
              </w:rPr>
              <w:t>4 August 2023</w:t>
            </w:r>
          </w:p>
          <w:p w14:paraId="2B6D0947" w14:textId="77777777" w:rsidR="00151152" w:rsidRDefault="00151152" w:rsidP="00151152">
            <w:pPr>
              <w:spacing w:line="240" w:lineRule="exact"/>
              <w:rPr>
                <w:lang w:val="en-US"/>
              </w:rPr>
            </w:pPr>
            <w:r>
              <w:rPr>
                <w:lang w:val="en-US"/>
              </w:rPr>
              <w:t>Russian</w:t>
            </w:r>
          </w:p>
          <w:p w14:paraId="7927C55B" w14:textId="3A78F0C2" w:rsidR="00151152" w:rsidRPr="008D53B6" w:rsidRDefault="00151152" w:rsidP="00151152">
            <w:pPr>
              <w:spacing w:line="240" w:lineRule="exact"/>
              <w:rPr>
                <w:lang w:val="en-US"/>
              </w:rPr>
            </w:pPr>
            <w:r>
              <w:rPr>
                <w:lang w:val="en-US"/>
              </w:rPr>
              <w:t>Original: English</w:t>
            </w:r>
          </w:p>
        </w:tc>
      </w:tr>
    </w:tbl>
    <w:p w14:paraId="5EC36A1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7412C6E" w14:textId="77777777" w:rsidR="003A0A8C" w:rsidRPr="00677D4B" w:rsidRDefault="003A0A8C" w:rsidP="003A0A8C">
      <w:pPr>
        <w:spacing w:before="120"/>
        <w:rPr>
          <w:rFonts w:asciiTheme="majorBidi" w:hAnsiTheme="majorBidi" w:cstheme="majorBidi"/>
          <w:sz w:val="28"/>
          <w:szCs w:val="28"/>
        </w:rPr>
      </w:pPr>
      <w:r w:rsidRPr="00677D4B">
        <w:rPr>
          <w:rFonts w:asciiTheme="majorBidi" w:hAnsiTheme="majorBidi" w:cstheme="majorBidi"/>
          <w:sz w:val="28"/>
          <w:szCs w:val="28"/>
        </w:rPr>
        <w:t>Комитет по внутреннему транспорту</w:t>
      </w:r>
    </w:p>
    <w:p w14:paraId="6A521DCC" w14:textId="77777777" w:rsidR="003A0A8C" w:rsidRPr="00677D4B" w:rsidRDefault="003A0A8C" w:rsidP="003A0A8C">
      <w:pPr>
        <w:spacing w:before="120"/>
        <w:rPr>
          <w:rFonts w:asciiTheme="majorBidi" w:hAnsiTheme="majorBidi" w:cstheme="majorBidi"/>
          <w:b/>
          <w:sz w:val="24"/>
          <w:szCs w:val="24"/>
        </w:rPr>
      </w:pPr>
      <w:r w:rsidRPr="00677D4B">
        <w:rPr>
          <w:rFonts w:asciiTheme="majorBidi" w:hAnsiTheme="majorBidi" w:cstheme="majorBidi"/>
          <w:b/>
          <w:bCs/>
          <w:sz w:val="24"/>
          <w:szCs w:val="24"/>
        </w:rPr>
        <w:t xml:space="preserve">Рабочая группа по перевозкам скоропортящихся </w:t>
      </w:r>
      <w:r w:rsidRPr="00677D4B">
        <w:rPr>
          <w:rFonts w:asciiTheme="majorBidi" w:hAnsiTheme="majorBidi" w:cstheme="majorBidi"/>
          <w:b/>
          <w:bCs/>
          <w:sz w:val="24"/>
          <w:szCs w:val="24"/>
        </w:rPr>
        <w:br/>
        <w:t>пищевых продуктов</w:t>
      </w:r>
    </w:p>
    <w:p w14:paraId="6B4E10E5" w14:textId="77777777" w:rsidR="003A0A8C" w:rsidRPr="00677D4B" w:rsidRDefault="003A0A8C" w:rsidP="003A0A8C">
      <w:pPr>
        <w:spacing w:before="120"/>
        <w:rPr>
          <w:rFonts w:asciiTheme="majorBidi" w:hAnsiTheme="majorBidi" w:cstheme="majorBidi"/>
          <w:b/>
        </w:rPr>
      </w:pPr>
      <w:r w:rsidRPr="00677D4B">
        <w:rPr>
          <w:rFonts w:asciiTheme="majorBidi" w:hAnsiTheme="majorBidi" w:cstheme="majorBidi"/>
          <w:b/>
          <w:bCs/>
        </w:rPr>
        <w:t>Восьмидесятая сессия</w:t>
      </w:r>
    </w:p>
    <w:p w14:paraId="2CEB0FB6" w14:textId="50EC3C9F" w:rsidR="003A0A8C" w:rsidRPr="00677D4B" w:rsidRDefault="003A0A8C" w:rsidP="003A0A8C">
      <w:pPr>
        <w:rPr>
          <w:rFonts w:asciiTheme="majorBidi" w:hAnsiTheme="majorBidi" w:cstheme="majorBidi"/>
        </w:rPr>
      </w:pPr>
      <w:r w:rsidRPr="00677D4B">
        <w:rPr>
          <w:rFonts w:asciiTheme="majorBidi" w:hAnsiTheme="majorBidi" w:cstheme="majorBidi"/>
        </w:rPr>
        <w:t>Женева, 24</w:t>
      </w:r>
      <w:r>
        <w:rPr>
          <w:rFonts w:asciiTheme="majorBidi" w:hAnsiTheme="majorBidi" w:cstheme="majorBidi"/>
          <w:lang w:val="en-US"/>
        </w:rPr>
        <w:t>–</w:t>
      </w:r>
      <w:r w:rsidRPr="00677D4B">
        <w:rPr>
          <w:rFonts w:asciiTheme="majorBidi" w:hAnsiTheme="majorBidi" w:cstheme="majorBidi"/>
        </w:rPr>
        <w:t>27 октября 2023 года</w:t>
      </w:r>
    </w:p>
    <w:p w14:paraId="50C68FF5" w14:textId="77777777" w:rsidR="003A0A8C" w:rsidRPr="00677D4B" w:rsidRDefault="003A0A8C" w:rsidP="003A0A8C">
      <w:r w:rsidRPr="00677D4B">
        <w:t>Пункт 5 b) предварительной повестки дня</w:t>
      </w:r>
    </w:p>
    <w:p w14:paraId="0F07449D" w14:textId="53987677" w:rsidR="003A0A8C" w:rsidRPr="00677D4B" w:rsidRDefault="003A0A8C" w:rsidP="003A0A8C">
      <w:pPr>
        <w:rPr>
          <w:b/>
          <w:bCs/>
        </w:rPr>
      </w:pPr>
      <w:r w:rsidRPr="00677D4B">
        <w:rPr>
          <w:b/>
          <w:bCs/>
        </w:rPr>
        <w:t>Предложения по поправкам к СПС:</w:t>
      </w:r>
      <w:r w:rsidR="006C4A95" w:rsidRPr="006C4A95">
        <w:rPr>
          <w:b/>
          <w:bCs/>
        </w:rPr>
        <w:t xml:space="preserve"> </w:t>
      </w:r>
      <w:r w:rsidR="006C4A95">
        <w:rPr>
          <w:b/>
          <w:bCs/>
        </w:rPr>
        <w:br/>
      </w:r>
      <w:r w:rsidRPr="00677D4B">
        <w:rPr>
          <w:b/>
          <w:bCs/>
        </w:rPr>
        <w:t>новые предложения</w:t>
      </w:r>
    </w:p>
    <w:p w14:paraId="24DFFA5A" w14:textId="77777777" w:rsidR="003A0A8C" w:rsidRPr="003A0A8C" w:rsidRDefault="003A0A8C" w:rsidP="003A0A8C">
      <w:pPr>
        <w:pStyle w:val="HChG"/>
      </w:pPr>
      <w:r w:rsidRPr="003A0A8C">
        <w:tab/>
      </w:r>
      <w:r w:rsidRPr="003A0A8C">
        <w:tab/>
        <w:t>Периодическая поверка регистраторов температуры</w:t>
      </w:r>
    </w:p>
    <w:p w14:paraId="3F9414D4" w14:textId="77777777" w:rsidR="003A0A8C" w:rsidRPr="004936AF" w:rsidRDefault="003A0A8C" w:rsidP="004936AF">
      <w:pPr>
        <w:pStyle w:val="H1G"/>
      </w:pPr>
      <w:r w:rsidRPr="004936AF">
        <w:tab/>
      </w:r>
      <w:r w:rsidRPr="004936AF">
        <w:tab/>
        <w:t>Передано правительством Нидерландов</w:t>
      </w:r>
    </w:p>
    <w:tbl>
      <w:tblPr>
        <w:tblStyle w:val="ac"/>
        <w:tblW w:w="0" w:type="auto"/>
        <w:jc w:val="center"/>
        <w:tblLook w:val="05E0" w:firstRow="1" w:lastRow="1" w:firstColumn="1" w:lastColumn="1" w:noHBand="0" w:noVBand="1"/>
      </w:tblPr>
      <w:tblGrid>
        <w:gridCol w:w="9628"/>
      </w:tblGrid>
      <w:tr w:rsidR="00C870B8" w:rsidRPr="00C870B8" w14:paraId="692868CD" w14:textId="77777777" w:rsidTr="00C870B8">
        <w:trPr>
          <w:jc w:val="center"/>
        </w:trPr>
        <w:tc>
          <w:tcPr>
            <w:tcW w:w="9628" w:type="dxa"/>
            <w:tcBorders>
              <w:bottom w:val="nil"/>
            </w:tcBorders>
          </w:tcPr>
          <w:p w14:paraId="0FEBEE7A" w14:textId="77777777" w:rsidR="00C870B8" w:rsidRPr="00C870B8" w:rsidRDefault="00C870B8" w:rsidP="00850215">
            <w:pPr>
              <w:tabs>
                <w:tab w:val="left" w:pos="255"/>
              </w:tabs>
              <w:spacing w:before="240" w:after="120"/>
              <w:rPr>
                <w:rFonts w:cs="Times New Roman"/>
                <w:sz w:val="24"/>
              </w:rPr>
            </w:pPr>
            <w:r w:rsidRPr="00C870B8">
              <w:rPr>
                <w:rFonts w:cs="Times New Roman"/>
              </w:rPr>
              <w:tab/>
            </w:r>
            <w:r w:rsidRPr="00C870B8">
              <w:rPr>
                <w:rFonts w:cs="Times New Roman"/>
                <w:i/>
                <w:sz w:val="24"/>
              </w:rPr>
              <w:t>Резюме</w:t>
            </w:r>
          </w:p>
        </w:tc>
      </w:tr>
      <w:tr w:rsidR="00C870B8" w:rsidRPr="00C870B8" w14:paraId="75AD66B7" w14:textId="77777777" w:rsidTr="00C870B8">
        <w:trPr>
          <w:jc w:val="center"/>
        </w:trPr>
        <w:tc>
          <w:tcPr>
            <w:tcW w:w="9628" w:type="dxa"/>
            <w:tcBorders>
              <w:top w:val="nil"/>
              <w:bottom w:val="nil"/>
            </w:tcBorders>
            <w:shd w:val="clear" w:color="auto" w:fill="auto"/>
          </w:tcPr>
          <w:p w14:paraId="25241E5C" w14:textId="6688A675" w:rsidR="00C870B8" w:rsidRPr="00C870B8" w:rsidRDefault="00C870B8" w:rsidP="00430C64">
            <w:pPr>
              <w:pStyle w:val="SingleTxtG"/>
              <w:tabs>
                <w:tab w:val="clear" w:pos="2835"/>
                <w:tab w:val="left" w:pos="3686"/>
              </w:tabs>
              <w:ind w:left="3692" w:hanging="2552"/>
            </w:pPr>
            <w:r w:rsidRPr="008D30BD">
              <w:rPr>
                <w:b/>
                <w:bCs/>
              </w:rPr>
              <w:t>Существо предложения</w:t>
            </w:r>
            <w:proofErr w:type="gramStart"/>
            <w:r w:rsidRPr="008D30BD">
              <w:rPr>
                <w:b/>
                <w:bCs/>
              </w:rPr>
              <w:t>:</w:t>
            </w:r>
            <w:r>
              <w:tab/>
              <w:t>Чтобы</w:t>
            </w:r>
            <w:proofErr w:type="gramEnd"/>
            <w:r>
              <w:t xml:space="preserve"> удостовериться в том, что перевозка пищевых продуктов осуществляется в надлежащих температурных условиях, необходимо проводить регулярный мониторинг и регистрацию температуры воздуха с помощью регистратора. Однако</w:t>
            </w:r>
            <w:r w:rsidRPr="00430C64">
              <w:t>,</w:t>
            </w:r>
            <w:r>
              <w:t xml:space="preserve"> прежде чем эта практика будет распространена на все пищевые продукты, а не только быстрозамороженные, необходимо решить ряд вопросов. </w:t>
            </w:r>
          </w:p>
        </w:tc>
      </w:tr>
      <w:tr w:rsidR="00C870B8" w:rsidRPr="00C870B8" w14:paraId="7C9C19F5" w14:textId="77777777" w:rsidTr="00C870B8">
        <w:trPr>
          <w:jc w:val="center"/>
        </w:trPr>
        <w:tc>
          <w:tcPr>
            <w:tcW w:w="9628" w:type="dxa"/>
            <w:tcBorders>
              <w:top w:val="nil"/>
              <w:bottom w:val="nil"/>
            </w:tcBorders>
            <w:shd w:val="clear" w:color="auto" w:fill="auto"/>
          </w:tcPr>
          <w:p w14:paraId="184A7CA2" w14:textId="3C8395C2" w:rsidR="00C870B8" w:rsidRPr="00C870B8" w:rsidRDefault="00C870B8" w:rsidP="00430C64">
            <w:pPr>
              <w:pStyle w:val="SingleTxtG"/>
              <w:tabs>
                <w:tab w:val="clear" w:pos="2835"/>
                <w:tab w:val="left" w:pos="3686"/>
              </w:tabs>
              <w:ind w:left="3692" w:hanging="2552"/>
            </w:pPr>
            <w:r>
              <w:rPr>
                <w:b/>
                <w:bCs/>
              </w:rPr>
              <w:t>Предлагаемое решение</w:t>
            </w:r>
            <w:proofErr w:type="gramStart"/>
            <w:r>
              <w:rPr>
                <w:b/>
                <w:bCs/>
              </w:rPr>
              <w:t>:</w:t>
            </w:r>
            <w:r>
              <w:tab/>
              <w:t>Согласовать</w:t>
            </w:r>
            <w:proofErr w:type="gramEnd"/>
            <w:r>
              <w:t xml:space="preserve"> поправки к добавлению 1 к приложению 2, касающиеся периодических поверок регистратора.</w:t>
            </w:r>
          </w:p>
        </w:tc>
      </w:tr>
      <w:tr w:rsidR="00C870B8" w:rsidRPr="00C870B8" w14:paraId="74CBDF2A" w14:textId="77777777" w:rsidTr="00C870B8">
        <w:trPr>
          <w:jc w:val="center"/>
        </w:trPr>
        <w:tc>
          <w:tcPr>
            <w:tcW w:w="9628" w:type="dxa"/>
            <w:tcBorders>
              <w:top w:val="nil"/>
              <w:bottom w:val="nil"/>
            </w:tcBorders>
            <w:shd w:val="clear" w:color="auto" w:fill="auto"/>
          </w:tcPr>
          <w:p w14:paraId="4E49804D" w14:textId="3121175D" w:rsidR="00C870B8" w:rsidRPr="00C870B8" w:rsidRDefault="00C870B8" w:rsidP="00430C64">
            <w:pPr>
              <w:pStyle w:val="SingleTxtG"/>
              <w:tabs>
                <w:tab w:val="clear" w:pos="2835"/>
                <w:tab w:val="left" w:pos="3686"/>
              </w:tabs>
              <w:ind w:left="3692" w:hanging="2552"/>
            </w:pPr>
            <w:r>
              <w:rPr>
                <w:b/>
                <w:bCs/>
              </w:rPr>
              <w:t>Справочные документы:</w:t>
            </w:r>
            <w:r w:rsidR="00430C64">
              <w:rPr>
                <w:b/>
                <w:bCs/>
              </w:rPr>
              <w:tab/>
            </w:r>
            <w:r>
              <w:t>ECE/TRANS/WP.11/2021/19</w:t>
            </w:r>
          </w:p>
        </w:tc>
      </w:tr>
      <w:tr w:rsidR="00C870B8" w:rsidRPr="00C870B8" w14:paraId="643D55F7" w14:textId="77777777" w:rsidTr="00C870B8">
        <w:trPr>
          <w:jc w:val="center"/>
        </w:trPr>
        <w:tc>
          <w:tcPr>
            <w:tcW w:w="9628" w:type="dxa"/>
            <w:tcBorders>
              <w:top w:val="nil"/>
            </w:tcBorders>
          </w:tcPr>
          <w:p w14:paraId="4C3D3C41" w14:textId="77777777" w:rsidR="00C870B8" w:rsidRPr="00C870B8" w:rsidRDefault="00C870B8" w:rsidP="00850215">
            <w:pPr>
              <w:rPr>
                <w:rFonts w:cs="Times New Roman"/>
              </w:rPr>
            </w:pPr>
          </w:p>
        </w:tc>
      </w:tr>
    </w:tbl>
    <w:p w14:paraId="1797EAC6" w14:textId="77777777" w:rsidR="00A051AC" w:rsidRDefault="00A051AC" w:rsidP="00A051AC">
      <w:pPr>
        <w:pStyle w:val="HChG"/>
      </w:pPr>
      <w:r>
        <w:tab/>
      </w:r>
      <w:r>
        <w:tab/>
      </w:r>
      <w:r>
        <w:rPr>
          <w:bCs/>
        </w:rPr>
        <w:t>Введение</w:t>
      </w:r>
    </w:p>
    <w:p w14:paraId="3A165D83" w14:textId="77777777" w:rsidR="00A051AC" w:rsidRPr="00A90CF9" w:rsidRDefault="00A051AC" w:rsidP="00A051AC">
      <w:pPr>
        <w:pStyle w:val="SingleTxtG"/>
      </w:pPr>
      <w:r>
        <w:t>1.</w:t>
      </w:r>
      <w:r>
        <w:tab/>
        <w:t>На совещании неофициальной рабочей группы по согласованию системы утверждения обсуждался вопрос о периодических поверках регистратора температуры. Было отмечено, что в большинстве договаривающихся сторон, от которых выступали эксперты, ежегодная или полугодовая проверка регистратора температуры, осуществляемая в соответствии с EN 13486, проводится ремонтными мастерскими, которые назначаются и контролируются компетентными органами.</w:t>
      </w:r>
    </w:p>
    <w:p w14:paraId="070E2B2F" w14:textId="77777777" w:rsidR="00A051AC" w:rsidRPr="00A90CF9" w:rsidRDefault="00A051AC" w:rsidP="00A051AC">
      <w:pPr>
        <w:pStyle w:val="SingleTxtG"/>
      </w:pPr>
      <w:r>
        <w:t>2.</w:t>
      </w:r>
      <w:r>
        <w:tab/>
        <w:t xml:space="preserve">Однако в добавлении 1 к приложению 2 указано, что такая проверка должна проводиться аккредитованным органом. Хотя слово «аккредитованный» не является термином, зарезервированным для оценки третьей стороной, из-за его использования </w:t>
      </w:r>
      <w:r>
        <w:lastRenderedPageBreak/>
        <w:t>может сложиться впечатление, что речь идет об аккредитации, предоставляемой национальным советом по аккредитации.</w:t>
      </w:r>
    </w:p>
    <w:p w14:paraId="459B4D37" w14:textId="6CB0AB48" w:rsidR="00A051AC" w:rsidRPr="00A90CF9" w:rsidRDefault="00A051AC" w:rsidP="00A051AC">
      <w:pPr>
        <w:pStyle w:val="SingleTxtG"/>
      </w:pPr>
      <w:r>
        <w:t>3.</w:t>
      </w:r>
      <w:r>
        <w:tab/>
        <w:t>В отношении проверки регистратора температуры было отмечено, что необходимо проверять правильность работы не только температурных датчиков, но и системы в целом. Ввиду того, что детали надежно зафиксированы внутри стенок изотермический кузова, их невозможно демонтировать и отправить в аккредитованную лабораторию, поэтому проверку необходимо проводить на месте</w:t>
      </w:r>
      <w:r w:rsidRPr="008D30BD">
        <w:t xml:space="preserve"> </w:t>
      </w:r>
      <w:r>
        <w:t>(</w:t>
      </w:r>
      <w:proofErr w:type="spellStart"/>
      <w:r w:rsidRPr="00A90CF9">
        <w:t>in</w:t>
      </w:r>
      <w:proofErr w:type="spellEnd"/>
      <w:r w:rsidR="004E5703">
        <w:rPr>
          <w:lang w:val="en-US"/>
        </w:rPr>
        <w:t> </w:t>
      </w:r>
      <w:proofErr w:type="spellStart"/>
      <w:r w:rsidRPr="00A90CF9">
        <w:t>situ</w:t>
      </w:r>
      <w:proofErr w:type="spellEnd"/>
      <w:r>
        <w:t xml:space="preserve">). </w:t>
      </w:r>
    </w:p>
    <w:p w14:paraId="71EE1816" w14:textId="77777777" w:rsidR="00A051AC" w:rsidRDefault="00A051AC" w:rsidP="00A051AC">
      <w:pPr>
        <w:pStyle w:val="SingleTxtG"/>
      </w:pPr>
      <w:r>
        <w:t>4.</w:t>
      </w:r>
      <w:r>
        <w:tab/>
        <w:t>Также может возникнуть вопрос о том, в какой мере дополнительные затраты и выгоды оправдывают привлечение аккредитованного органа вместо задействования квалифицированных механиков станций технического обслуживания. Неаккредитованные органы и эксперты тоже могут проводить периодические проверки оборудования.</w:t>
      </w:r>
    </w:p>
    <w:p w14:paraId="561EED6A" w14:textId="77777777" w:rsidR="00A051AC" w:rsidRPr="00A3408A" w:rsidRDefault="00A051AC" w:rsidP="00A051AC">
      <w:pPr>
        <w:pStyle w:val="HChG"/>
      </w:pPr>
      <w:r>
        <w:tab/>
      </w:r>
      <w:r>
        <w:tab/>
      </w:r>
      <w:r>
        <w:rPr>
          <w:bCs/>
        </w:rPr>
        <w:t>Предложение</w:t>
      </w:r>
    </w:p>
    <w:p w14:paraId="7B86EB39" w14:textId="77777777" w:rsidR="00A051AC" w:rsidRPr="005A12EE" w:rsidRDefault="00A051AC" w:rsidP="009E062B">
      <w:pPr>
        <w:pStyle w:val="SingleTxtG"/>
        <w:rPr>
          <w:rFonts w:eastAsia="Calibri"/>
        </w:rPr>
      </w:pPr>
      <w:r w:rsidRPr="00A3693A">
        <w:t>5.</w:t>
      </w:r>
      <w:r>
        <w:tab/>
        <w:t>Приложение 2, добавление 1 изменить следующим образом (исключенный текст зачеркнут, а новые элементы выделены подчеркиванием):</w:t>
      </w:r>
    </w:p>
    <w:p w14:paraId="01FAE33F" w14:textId="77777777" w:rsidR="00A051AC" w:rsidRDefault="00A051AC" w:rsidP="009E062B">
      <w:pPr>
        <w:spacing w:before="240" w:after="240"/>
        <w:ind w:left="1134" w:right="1134"/>
        <w:jc w:val="center"/>
        <w:rPr>
          <w:rFonts w:eastAsia="Calibri"/>
          <w:b/>
          <w:bCs/>
          <w:i/>
          <w:iCs/>
          <w:sz w:val="22"/>
        </w:rPr>
      </w:pPr>
      <w:r>
        <w:rPr>
          <w:i/>
          <w:iCs/>
        </w:rPr>
        <w:t>«</w:t>
      </w:r>
      <w:r w:rsidRPr="00A3693A">
        <w:rPr>
          <w:b/>
          <w:bCs/>
          <w:i/>
          <w:iCs/>
        </w:rPr>
        <w:t>КОНТРОЛЬ ТЕМПЕРАТУРЫ ВОЗДУХА ПРИ ПЕРЕВОЗКЕ БЫСТРОЗАМОРОЖЕННЫХ СКОРОПОРТЯЩИХСЯ ПИЩЕВЫХ ПРОДУКТОВ</w:t>
      </w:r>
      <w:r>
        <w:t xml:space="preserve"> </w:t>
      </w:r>
    </w:p>
    <w:p w14:paraId="10EC8CFB" w14:textId="787A5F62"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rPr>
        <w:t>Транспортное средство должно быть оборудовано прибором, позволяющим производить измерение температуры воздуха, ее запись и хранение полученной информации (далее</w:t>
      </w:r>
      <w:r w:rsidR="005D6435" w:rsidRPr="005D6435">
        <w:rPr>
          <w:i/>
          <w:iCs/>
        </w:rPr>
        <w:t xml:space="preserve"> </w:t>
      </w:r>
      <w:r w:rsidR="005D6435" w:rsidRPr="007E4D08">
        <w:rPr>
          <w:i/>
          <w:iCs/>
        </w:rPr>
        <w:t>—</w:t>
      </w:r>
      <w:r>
        <w:rPr>
          <w:i/>
          <w:iCs/>
        </w:rPr>
        <w:t xml:space="preserve"> «прибор») для контроля температуры воздуха, воздействию которого в процессе перевозки подвергаются быстрозамороженные пищевые продукты, предназначенные для потребления человеком.</w:t>
      </w:r>
    </w:p>
    <w:p w14:paraId="5DE9294A" w14:textId="77777777"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rPr>
        <w:t xml:space="preserve">На полученных таким образом записях температуры </w:t>
      </w:r>
      <w:r>
        <w:rPr>
          <w:i/>
          <w:iCs/>
          <w:u w:val="single"/>
        </w:rPr>
        <w:t>проставляется</w:t>
      </w:r>
      <w:r>
        <w:rPr>
          <w:i/>
          <w:iCs/>
        </w:rPr>
        <w:t xml:space="preserve"> </w:t>
      </w:r>
      <w:r>
        <w:rPr>
          <w:i/>
          <w:iCs/>
          <w:strike/>
        </w:rPr>
        <w:t>должна быть проставлена</w:t>
      </w:r>
      <w:r>
        <w:rPr>
          <w:i/>
          <w:iCs/>
        </w:rPr>
        <w:t xml:space="preserve"> соответствующая дата, причем оператор </w:t>
      </w:r>
      <w:r>
        <w:rPr>
          <w:i/>
          <w:iCs/>
          <w:u w:val="single"/>
        </w:rPr>
        <w:t>сохраняет</w:t>
      </w:r>
      <w:r>
        <w:rPr>
          <w:i/>
          <w:iCs/>
        </w:rPr>
        <w:t xml:space="preserve"> </w:t>
      </w:r>
      <w:r>
        <w:rPr>
          <w:i/>
          <w:iCs/>
          <w:strike/>
        </w:rPr>
        <w:t>должен сохранять</w:t>
      </w:r>
      <w:r>
        <w:rPr>
          <w:i/>
          <w:iCs/>
        </w:rPr>
        <w:t xml:space="preserve"> эти записи по крайней мере в течение одного года в зависимости от характера пищевого продукта.</w:t>
      </w:r>
    </w:p>
    <w:p w14:paraId="54E1DDE3" w14:textId="77777777"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rPr>
        <w:t xml:space="preserve">Прибор должен </w:t>
      </w:r>
      <w:r>
        <w:rPr>
          <w:i/>
          <w:iCs/>
          <w:u w:val="single"/>
        </w:rPr>
        <w:t>быть официально утвержден по типу конструкции компетентным органом в соответствии со стандартом</w:t>
      </w:r>
      <w:r>
        <w:rPr>
          <w:i/>
          <w:iCs/>
        </w:rPr>
        <w:t xml:space="preserve"> </w:t>
      </w:r>
      <w:r>
        <w:rPr>
          <w:i/>
          <w:iCs/>
          <w:strike/>
        </w:rPr>
        <w:t>соответствовать стандарту</w:t>
      </w:r>
      <w:r>
        <w:rPr>
          <w:i/>
          <w:iCs/>
        </w:rPr>
        <w:t xml:space="preserve"> EN 12830:2018.</w:t>
      </w:r>
      <w:r>
        <w:t xml:space="preserve"> </w:t>
      </w:r>
      <w:r>
        <w:rPr>
          <w:i/>
          <w:iCs/>
          <w:u w:val="single"/>
        </w:rPr>
        <w:t>Документация представляется на утверждение компетентным органам СПС.</w:t>
      </w:r>
      <w:r>
        <w:t xml:space="preserve"> </w:t>
      </w:r>
    </w:p>
    <w:p w14:paraId="780A3DC7" w14:textId="5EA186CB"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rPr>
        <w:t xml:space="preserve">Прибор подвергается проверке </w:t>
      </w:r>
      <w:r>
        <w:rPr>
          <w:i/>
          <w:iCs/>
          <w:strike/>
        </w:rPr>
        <w:t>аккредитованным органом</w:t>
      </w:r>
      <w:r>
        <w:rPr>
          <w:i/>
          <w:iCs/>
        </w:rPr>
        <w:t xml:space="preserve"> в соответствии со</w:t>
      </w:r>
      <w:r w:rsidR="007E4D08">
        <w:rPr>
          <w:i/>
          <w:iCs/>
          <w:lang w:val="en-US"/>
        </w:rPr>
        <w:t> </w:t>
      </w:r>
      <w:r>
        <w:rPr>
          <w:i/>
          <w:iCs/>
        </w:rPr>
        <w:t xml:space="preserve">стандартом EN 13486:2002, а документация </w:t>
      </w:r>
      <w:r>
        <w:rPr>
          <w:i/>
          <w:iCs/>
          <w:u w:val="single"/>
        </w:rPr>
        <w:t>о проверке</w:t>
      </w:r>
      <w:r>
        <w:rPr>
          <w:i/>
          <w:iCs/>
        </w:rPr>
        <w:t xml:space="preserve"> представляется </w:t>
      </w:r>
      <w:r>
        <w:rPr>
          <w:i/>
          <w:iCs/>
          <w:strike/>
        </w:rPr>
        <w:t>на</w:t>
      </w:r>
      <w:r w:rsidR="007E4D08">
        <w:rPr>
          <w:lang w:val="en-US"/>
        </w:rPr>
        <w:t> </w:t>
      </w:r>
      <w:r>
        <w:rPr>
          <w:i/>
          <w:iCs/>
          <w:strike/>
        </w:rPr>
        <w:t>утверждение</w:t>
      </w:r>
      <w:r>
        <w:rPr>
          <w:i/>
          <w:iCs/>
        </w:rPr>
        <w:t xml:space="preserve"> компетентным органам СПС.</w:t>
      </w:r>
    </w:p>
    <w:p w14:paraId="3BF10636" w14:textId="77777777"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u w:val="single"/>
        </w:rPr>
        <w:t>Либо испытательные станции и эксперты, проводящие поверку, должны быть аккредитованы для этого, либо проверка должна осуществляться надлежащим образом подготовленным персоналом в соответствии с процедурами и с использованием должным образом контролируемого/откалиброванного измерительного оборудования к удовлетворению компетентного органа, который их назначил или утвердил.</w:t>
      </w:r>
      <w:r>
        <w:t xml:space="preserve"> </w:t>
      </w:r>
    </w:p>
    <w:p w14:paraId="28881677" w14:textId="77777777" w:rsidR="00A051AC" w:rsidRPr="005A12EE" w:rsidRDefault="00A051AC" w:rsidP="00A051AC">
      <w:pPr>
        <w:numPr>
          <w:ilvl w:val="0"/>
          <w:numId w:val="23"/>
        </w:numPr>
        <w:suppressAutoHyphens w:val="0"/>
        <w:spacing w:after="240" w:line="259" w:lineRule="auto"/>
        <w:ind w:left="1418" w:right="1134" w:hanging="357"/>
        <w:jc w:val="both"/>
        <w:rPr>
          <w:rFonts w:eastAsia="Calibri"/>
          <w:i/>
          <w:iCs/>
        </w:rPr>
      </w:pPr>
      <w:r>
        <w:rPr>
          <w:i/>
          <w:iCs/>
          <w:u w:val="single"/>
        </w:rPr>
        <w:t>Переходные меры:</w:t>
      </w:r>
    </w:p>
    <w:p w14:paraId="07D2ACB3" w14:textId="5F6819F9" w:rsidR="00A051AC" w:rsidRPr="005A12EE" w:rsidRDefault="00A051AC" w:rsidP="00A051AC">
      <w:pPr>
        <w:numPr>
          <w:ilvl w:val="1"/>
          <w:numId w:val="23"/>
        </w:numPr>
        <w:suppressAutoHyphens w:val="0"/>
        <w:spacing w:after="240" w:line="259" w:lineRule="auto"/>
        <w:ind w:left="1418" w:right="1134" w:hanging="357"/>
        <w:jc w:val="both"/>
        <w:rPr>
          <w:rFonts w:eastAsia="Calibri"/>
          <w:i/>
          <w:iCs/>
        </w:rPr>
      </w:pPr>
      <w:r>
        <w:rPr>
          <w:i/>
          <w:iCs/>
        </w:rPr>
        <w:t>Находящиеся в эксплуатации регистраторы температуры, соответствующие стандарту EN 12830:1999, могут по-прежнему использоваться.</w:t>
      </w:r>
    </w:p>
    <w:p w14:paraId="3837FDDC" w14:textId="77777777" w:rsidR="00A051AC" w:rsidRPr="005A12EE" w:rsidRDefault="00A051AC" w:rsidP="00A051AC">
      <w:pPr>
        <w:numPr>
          <w:ilvl w:val="1"/>
          <w:numId w:val="23"/>
        </w:numPr>
        <w:suppressAutoHyphens w:val="0"/>
        <w:spacing w:after="240" w:line="259" w:lineRule="auto"/>
        <w:ind w:left="1418" w:right="1134" w:hanging="357"/>
        <w:jc w:val="both"/>
        <w:rPr>
          <w:rFonts w:eastAsia="Calibri"/>
          <w:i/>
          <w:iCs/>
          <w:u w:val="single"/>
        </w:rPr>
      </w:pPr>
      <w:r>
        <w:rPr>
          <w:i/>
          <w:iCs/>
          <w:u w:val="single"/>
        </w:rPr>
        <w:lastRenderedPageBreak/>
        <w:t>Регистраторы температуры, официально утвержденные по типу конструкции до [месяц-год] неаккредитованным органом, могут по-прежнему использоваться».</w:t>
      </w:r>
    </w:p>
    <w:p w14:paraId="5712A88D" w14:textId="77777777" w:rsidR="00A051AC" w:rsidRPr="00065F31" w:rsidRDefault="00A051AC" w:rsidP="00A051AC">
      <w:pPr>
        <w:pStyle w:val="HChG"/>
      </w:pPr>
      <w:r>
        <w:tab/>
      </w:r>
      <w:r>
        <w:tab/>
      </w:r>
      <w:r>
        <w:rPr>
          <w:bCs/>
        </w:rPr>
        <w:t>Обоснование</w:t>
      </w:r>
    </w:p>
    <w:p w14:paraId="01D91BF1" w14:textId="77777777" w:rsidR="00A051AC" w:rsidRPr="00971632" w:rsidRDefault="00A051AC" w:rsidP="00A051AC">
      <w:pPr>
        <w:pStyle w:val="SingleTxtG"/>
      </w:pPr>
      <w:r w:rsidRPr="00971632">
        <w:t>5.</w:t>
      </w:r>
      <w:r w:rsidRPr="00971632">
        <w:tab/>
        <w:t xml:space="preserve">Существует подозрение, что при подготовке текста были перепутаны </w:t>
      </w:r>
      <w:r>
        <w:t xml:space="preserve">положения об </w:t>
      </w:r>
      <w:r w:rsidRPr="00971632">
        <w:t>утверждени</w:t>
      </w:r>
      <w:r>
        <w:t>и</w:t>
      </w:r>
      <w:r w:rsidRPr="00971632">
        <w:t xml:space="preserve"> регистратора по типу конструкции и </w:t>
      </w:r>
      <w:r>
        <w:t xml:space="preserve">о </w:t>
      </w:r>
      <w:r w:rsidRPr="00971632">
        <w:t>периодичес</w:t>
      </w:r>
      <w:r>
        <w:t>кой</w:t>
      </w:r>
      <w:r w:rsidRPr="00971632">
        <w:t xml:space="preserve"> поверк</w:t>
      </w:r>
      <w:r>
        <w:t>е</w:t>
      </w:r>
      <w:r w:rsidRPr="00971632">
        <w:t>, и в соответствующих местах</w:t>
      </w:r>
      <w:r>
        <w:t xml:space="preserve"> были</w:t>
      </w:r>
      <w:r w:rsidRPr="00971632">
        <w:t xml:space="preserve"> </w:t>
      </w:r>
      <w:r>
        <w:t>указаны</w:t>
      </w:r>
      <w:r w:rsidRPr="00971632">
        <w:t xml:space="preserve"> неправильные стандарты. Утверждение типа должна обосновать аккредитованная испытательная лаборатория. </w:t>
      </w:r>
      <w:r>
        <w:t>В случае внесения данной</w:t>
      </w:r>
      <w:r>
        <w:tab/>
        <w:t xml:space="preserve"> поправки</w:t>
      </w:r>
      <w:r w:rsidRPr="00971632">
        <w:t xml:space="preserve"> потребуется переходная мера </w:t>
      </w:r>
      <w:r>
        <w:t>для</w:t>
      </w:r>
      <w:r w:rsidRPr="00971632">
        <w:t xml:space="preserve"> существующих регистраторов, утвержден</w:t>
      </w:r>
      <w:r>
        <w:t>ие которых проводилось</w:t>
      </w:r>
      <w:r w:rsidRPr="00971632">
        <w:t xml:space="preserve"> в ином порядке. </w:t>
      </w:r>
    </w:p>
    <w:p w14:paraId="0111A38D" w14:textId="154CB7E1" w:rsidR="00A051AC" w:rsidRPr="00971632" w:rsidRDefault="00A051AC" w:rsidP="00A051AC">
      <w:pPr>
        <w:pStyle w:val="SingleTxtG"/>
        <w:rPr>
          <w:rFonts w:eastAsia="Calibri"/>
        </w:rPr>
      </w:pPr>
      <w:r w:rsidRPr="00971632">
        <w:t>6.</w:t>
      </w:r>
      <w:r w:rsidRPr="00971632">
        <w:tab/>
        <w:t>Требования в отношении регистратора температуры вытекают из законодательства Европейского союза (ЕС). Формулировка, используемая в добавлении 1 к приложению 2, основана на ныне отмененной директиве ЕС 92/1/EEC, на смену которой пришел Регламент Комиссии (ЕК) № 37/2005 [</w:t>
      </w:r>
      <w:hyperlink r:id="rId8" w:history="1">
        <w:r w:rsidR="0077724B" w:rsidRPr="007C7D9D">
          <w:rPr>
            <w:rStyle w:val="af1"/>
          </w:rPr>
          <w:t>https://eur-lex.europa.eu/legal-content/EN/AUTO/?uri=celex:32005R0037</w:t>
        </w:r>
      </w:hyperlink>
      <w:r w:rsidRPr="00971632">
        <w:t>]. Ни в отмененной директиве, ни в новом регламенте нет требовани</w:t>
      </w:r>
      <w:r>
        <w:t>й</w:t>
      </w:r>
      <w:r w:rsidRPr="00971632">
        <w:t xml:space="preserve"> об аккредитации органа или эксперта.</w:t>
      </w:r>
    </w:p>
    <w:p w14:paraId="1CBC1824" w14:textId="77777777" w:rsidR="00A051AC" w:rsidRPr="00971632" w:rsidRDefault="00A051AC" w:rsidP="00A051AC">
      <w:pPr>
        <w:pStyle w:val="SingleTxtG"/>
        <w:rPr>
          <w:rFonts w:eastAsia="Calibri"/>
        </w:rPr>
      </w:pPr>
      <w:r w:rsidRPr="00971632">
        <w:t>7.</w:t>
      </w:r>
      <w:r w:rsidRPr="00971632">
        <w:tab/>
      </w:r>
      <w:r>
        <w:t xml:space="preserve">В рамках данного предложения </w:t>
      </w:r>
      <w:r w:rsidRPr="00971632">
        <w:t>пункт</w:t>
      </w:r>
      <w:r>
        <w:t>ы пронумерованы</w:t>
      </w:r>
      <w:r w:rsidRPr="00971632">
        <w:t xml:space="preserve">. В пункте 2 слова </w:t>
      </w:r>
      <w:r>
        <w:t>«</w:t>
      </w:r>
      <w:r w:rsidRPr="00971632">
        <w:t>должна быть проставлена</w:t>
      </w:r>
      <w:r>
        <w:t>»</w:t>
      </w:r>
      <w:r w:rsidRPr="00971632">
        <w:t xml:space="preserve"> замен</w:t>
      </w:r>
      <w:r>
        <w:t>яются</w:t>
      </w:r>
      <w:r w:rsidRPr="00971632">
        <w:t xml:space="preserve"> словом </w:t>
      </w:r>
      <w:r>
        <w:t>«</w:t>
      </w:r>
      <w:r w:rsidRPr="00971632">
        <w:t>проставляется</w:t>
      </w:r>
      <w:r>
        <w:t>»</w:t>
      </w:r>
      <w:r w:rsidRPr="00971632">
        <w:t>, в соответствии с обычной практикой договоров ООН.</w:t>
      </w:r>
    </w:p>
    <w:p w14:paraId="76F6E53A" w14:textId="77777777" w:rsidR="00A051AC" w:rsidRPr="00A413C1" w:rsidRDefault="00A051AC" w:rsidP="00A051AC">
      <w:pPr>
        <w:pStyle w:val="SingleTxtG"/>
        <w:rPr>
          <w:rFonts w:eastAsia="Calibri"/>
        </w:rPr>
      </w:pPr>
      <w:r w:rsidRPr="00971632">
        <w:t>8.</w:t>
      </w:r>
      <w:r w:rsidRPr="00971632">
        <w:tab/>
        <w:t xml:space="preserve">Пункт 3 </w:t>
      </w:r>
      <w:r>
        <w:t>переносится</w:t>
      </w:r>
      <w:r w:rsidRPr="00971632">
        <w:t xml:space="preserve"> выше по тексту, </w:t>
      </w:r>
      <w:r>
        <w:t>что соответствует</w:t>
      </w:r>
      <w:r w:rsidRPr="00971632">
        <w:t xml:space="preserve"> </w:t>
      </w:r>
      <w:r>
        <w:t xml:space="preserve">порядку </w:t>
      </w:r>
      <w:r w:rsidRPr="00971632">
        <w:t>следова</w:t>
      </w:r>
      <w:r>
        <w:t>ния друг за другом действий</w:t>
      </w:r>
      <w:r w:rsidRPr="00971632">
        <w:t xml:space="preserve">, </w:t>
      </w:r>
      <w:r>
        <w:t xml:space="preserve">а кроме того, в него </w:t>
      </w:r>
      <w:r w:rsidRPr="00971632">
        <w:t>добавл</w:t>
      </w:r>
      <w:r>
        <w:t>яется</w:t>
      </w:r>
      <w:r w:rsidRPr="00971632">
        <w:t xml:space="preserve"> положение о том, что проверк</w:t>
      </w:r>
      <w:r>
        <w:t>у</w:t>
      </w:r>
      <w:r w:rsidRPr="00971632">
        <w:t xml:space="preserve"> долж</w:t>
      </w:r>
      <w:r>
        <w:t>ен</w:t>
      </w:r>
      <w:r w:rsidRPr="00971632">
        <w:t xml:space="preserve"> проводить аккредитованны</w:t>
      </w:r>
      <w:r>
        <w:t>й</w:t>
      </w:r>
      <w:r w:rsidRPr="00971632">
        <w:t xml:space="preserve"> орган. Поскольку эт</w:t>
      </w:r>
      <w:r>
        <w:t>о новое</w:t>
      </w:r>
      <w:r w:rsidRPr="00971632">
        <w:t xml:space="preserve"> требовани</w:t>
      </w:r>
      <w:r>
        <w:t>е</w:t>
      </w:r>
      <w:r w:rsidRPr="00971632">
        <w:t xml:space="preserve">, </w:t>
      </w:r>
      <w:r w:rsidRPr="00A413C1">
        <w:t xml:space="preserve">для существующих регистраторов предусматривается новая переходная мера. </w:t>
      </w:r>
    </w:p>
    <w:p w14:paraId="78C4CC0E" w14:textId="77777777" w:rsidR="00A051AC" w:rsidRPr="00A413C1" w:rsidRDefault="00A051AC" w:rsidP="00A051AC">
      <w:pPr>
        <w:pStyle w:val="SingleTxtG"/>
        <w:rPr>
          <w:rFonts w:eastAsia="Calibri"/>
        </w:rPr>
      </w:pPr>
      <w:r w:rsidRPr="00A413C1">
        <w:t>9.</w:t>
      </w:r>
      <w:r w:rsidRPr="00A413C1">
        <w:tab/>
        <w:t>Пункт 4 переносится вниз по тексту, чтобы обеспечить правильную последовательность действий, а кроме того, из него исключается требование об аккредитации.</w:t>
      </w:r>
    </w:p>
    <w:p w14:paraId="30D51F8F" w14:textId="77777777" w:rsidR="00A051AC" w:rsidRPr="00A413C1" w:rsidRDefault="00A051AC" w:rsidP="00A051AC">
      <w:pPr>
        <w:pStyle w:val="SingleTxtG"/>
        <w:rPr>
          <w:rFonts w:eastAsia="Calibri"/>
        </w:rPr>
      </w:pPr>
      <w:r w:rsidRPr="00A413C1">
        <w:t>10.</w:t>
      </w:r>
      <w:r w:rsidRPr="00A413C1">
        <w:tab/>
        <w:t>В пункте 5 вводятся обязательства для органов, осуществляющих проверку. Это могут быть аккредитованные органы; если же они не аккредитованы, то они должны соответствовать основным требованиям, гарантирующим уровень проводимых ими проверок.</w:t>
      </w:r>
    </w:p>
    <w:p w14:paraId="7B288F21" w14:textId="77777777" w:rsidR="00A051AC" w:rsidRPr="00A413C1" w:rsidRDefault="00A051AC" w:rsidP="00A051AC">
      <w:pPr>
        <w:pStyle w:val="SingleTxtG"/>
        <w:rPr>
          <w:rFonts w:eastAsia="Calibri"/>
        </w:rPr>
      </w:pPr>
      <w:r w:rsidRPr="00A413C1">
        <w:t>11.</w:t>
      </w:r>
      <w:r w:rsidRPr="00A413C1">
        <w:tab/>
        <w:t>Было отмечено, что в ряде договаривающихся сторон создание аккредитованных органов может быть предусмотрено национальным законодательством. Предполагается, что предоставление на выбор аккредитованных органов (не требующих дальнейшего контроля) или неаккредитованных органов (действующих под надзором компетентного органа) позволит этим договаривающимся сторонам сохранить статус-кво.</w:t>
      </w:r>
    </w:p>
    <w:p w14:paraId="5E07F18D" w14:textId="7FF67727" w:rsidR="00A051AC" w:rsidRPr="00A413C1" w:rsidRDefault="00A051AC" w:rsidP="00A051AC">
      <w:pPr>
        <w:pStyle w:val="SingleTxtG"/>
        <w:rPr>
          <w:rFonts w:eastAsia="Calibri"/>
        </w:rPr>
      </w:pPr>
      <w:r w:rsidRPr="00A413C1">
        <w:t>12.</w:t>
      </w:r>
      <w:r w:rsidRPr="00A413C1">
        <w:tab/>
        <w:t>Что касается остальных вопросов, связанных с регистратором температуры, то</w:t>
      </w:r>
      <w:r w:rsidR="003B0FBF">
        <w:rPr>
          <w:lang w:val="en-US"/>
        </w:rPr>
        <w:t> </w:t>
      </w:r>
      <w:r w:rsidRPr="00A413C1">
        <w:t>требуется провести их дополнительное обсуждение.</w:t>
      </w:r>
    </w:p>
    <w:tbl>
      <w:tblPr>
        <w:tblW w:w="0" w:type="auto"/>
        <w:tblInd w:w="1134" w:type="dxa"/>
        <w:tblLayout w:type="fixed"/>
        <w:tblCellMar>
          <w:left w:w="0" w:type="dxa"/>
          <w:right w:w="0" w:type="dxa"/>
        </w:tblCellMar>
        <w:tblLook w:val="01E0" w:firstRow="1" w:lastRow="1" w:firstColumn="1" w:lastColumn="1" w:noHBand="0" w:noVBand="0"/>
      </w:tblPr>
      <w:tblGrid>
        <w:gridCol w:w="2410"/>
        <w:gridCol w:w="4981"/>
      </w:tblGrid>
      <w:tr w:rsidR="00A051AC" w:rsidRPr="00A413C1" w14:paraId="2E4DB254" w14:textId="77777777" w:rsidTr="00BA19FB">
        <w:tc>
          <w:tcPr>
            <w:tcW w:w="2410" w:type="dxa"/>
            <w:shd w:val="clear" w:color="auto" w:fill="auto"/>
          </w:tcPr>
          <w:p w14:paraId="062DED4F" w14:textId="77777777" w:rsidR="00A051AC" w:rsidRPr="00A413C1" w:rsidRDefault="00A051AC" w:rsidP="009406F2">
            <w:pPr>
              <w:pStyle w:val="SingleTxtG"/>
              <w:spacing w:after="100"/>
              <w:ind w:left="0" w:right="0"/>
            </w:pPr>
            <w:r w:rsidRPr="00A413C1">
              <w:t>Затраты:</w:t>
            </w:r>
          </w:p>
        </w:tc>
        <w:tc>
          <w:tcPr>
            <w:tcW w:w="4981" w:type="dxa"/>
            <w:shd w:val="clear" w:color="auto" w:fill="auto"/>
          </w:tcPr>
          <w:p w14:paraId="2AF5AF2A" w14:textId="1FA2827C" w:rsidR="00A051AC" w:rsidRPr="00A413C1" w:rsidRDefault="00A051AC" w:rsidP="009406F2">
            <w:pPr>
              <w:pStyle w:val="SingleTxtG"/>
              <w:spacing w:after="100"/>
              <w:ind w:left="0" w:right="0"/>
            </w:pPr>
            <w:r w:rsidRPr="00A413C1">
              <w:t>Поправка позволит унифицировать порядок работы и</w:t>
            </w:r>
            <w:r w:rsidR="00BA19FB">
              <w:rPr>
                <w:lang w:val="en-US"/>
              </w:rPr>
              <w:t> </w:t>
            </w:r>
            <w:r w:rsidRPr="00A413C1">
              <w:t>размеры затраты при проведении проверок регистратора температуры.</w:t>
            </w:r>
          </w:p>
        </w:tc>
      </w:tr>
      <w:tr w:rsidR="00A051AC" w:rsidRPr="00A413C1" w14:paraId="602C3C79" w14:textId="77777777" w:rsidTr="00BA19FB">
        <w:tc>
          <w:tcPr>
            <w:tcW w:w="2410" w:type="dxa"/>
            <w:shd w:val="clear" w:color="auto" w:fill="auto"/>
          </w:tcPr>
          <w:p w14:paraId="75BF12B6" w14:textId="77777777" w:rsidR="00A051AC" w:rsidRPr="00A413C1" w:rsidRDefault="00A051AC" w:rsidP="009406F2">
            <w:pPr>
              <w:pStyle w:val="SingleTxtG"/>
              <w:spacing w:after="100"/>
              <w:ind w:left="0" w:right="0"/>
            </w:pPr>
            <w:r w:rsidRPr="00A413C1">
              <w:t>Осуществимость:</w:t>
            </w:r>
          </w:p>
        </w:tc>
        <w:tc>
          <w:tcPr>
            <w:tcW w:w="4981" w:type="dxa"/>
            <w:shd w:val="clear" w:color="auto" w:fill="auto"/>
          </w:tcPr>
          <w:p w14:paraId="3E3DB3EC" w14:textId="5C5DAFF3" w:rsidR="00A051AC" w:rsidRPr="00A413C1" w:rsidRDefault="00A051AC" w:rsidP="009406F2">
            <w:pPr>
              <w:pStyle w:val="SingleTxtG"/>
              <w:spacing w:after="100"/>
              <w:ind w:left="0" w:right="0"/>
            </w:pPr>
            <w:r w:rsidRPr="00A413C1">
              <w:t>Никаких проблем, связанных с осуществимостью, не</w:t>
            </w:r>
            <w:r w:rsidR="00116E93">
              <w:rPr>
                <w:lang w:val="en-US"/>
              </w:rPr>
              <w:t> </w:t>
            </w:r>
            <w:r w:rsidRPr="00A413C1">
              <w:t>предвидится.</w:t>
            </w:r>
          </w:p>
        </w:tc>
      </w:tr>
      <w:tr w:rsidR="00A051AC" w:rsidRPr="00A413C1" w14:paraId="62BD86CB" w14:textId="77777777" w:rsidTr="00BA19FB">
        <w:tc>
          <w:tcPr>
            <w:tcW w:w="2410" w:type="dxa"/>
            <w:shd w:val="clear" w:color="auto" w:fill="auto"/>
          </w:tcPr>
          <w:p w14:paraId="1C18E2B3" w14:textId="77777777" w:rsidR="00A051AC" w:rsidRPr="00A413C1" w:rsidRDefault="00A051AC" w:rsidP="009406F2">
            <w:pPr>
              <w:pStyle w:val="SingleTxtG"/>
              <w:spacing w:after="100"/>
              <w:ind w:left="0" w:right="3"/>
            </w:pPr>
            <w:r w:rsidRPr="00A413C1">
              <w:t>Последствия:</w:t>
            </w:r>
          </w:p>
        </w:tc>
        <w:tc>
          <w:tcPr>
            <w:tcW w:w="4981" w:type="dxa"/>
            <w:shd w:val="clear" w:color="auto" w:fill="auto"/>
          </w:tcPr>
          <w:p w14:paraId="01BDA05B" w14:textId="77777777" w:rsidR="00A051AC" w:rsidRPr="00A413C1" w:rsidRDefault="00A051AC" w:rsidP="009406F2">
            <w:pPr>
              <w:pStyle w:val="SingleTxtG"/>
              <w:spacing w:after="100"/>
              <w:ind w:left="0"/>
            </w:pPr>
            <w:r w:rsidRPr="00A413C1">
              <w:t>Коэффициент теплоизоляции никак не влияет на расход топлива.</w:t>
            </w:r>
          </w:p>
        </w:tc>
      </w:tr>
      <w:tr w:rsidR="00A051AC" w14:paraId="36890893" w14:textId="77777777" w:rsidTr="00BA19FB">
        <w:tc>
          <w:tcPr>
            <w:tcW w:w="2410" w:type="dxa"/>
            <w:shd w:val="clear" w:color="auto" w:fill="auto"/>
          </w:tcPr>
          <w:p w14:paraId="1BE8FB62" w14:textId="77777777" w:rsidR="00A051AC" w:rsidRPr="00A413C1" w:rsidRDefault="00A051AC" w:rsidP="009406F2">
            <w:pPr>
              <w:pStyle w:val="SingleTxtG"/>
              <w:spacing w:after="100"/>
              <w:ind w:left="0" w:right="0"/>
            </w:pPr>
            <w:r w:rsidRPr="00A413C1">
              <w:t>Обеспечение применения:</w:t>
            </w:r>
          </w:p>
        </w:tc>
        <w:tc>
          <w:tcPr>
            <w:tcW w:w="4981" w:type="dxa"/>
            <w:shd w:val="clear" w:color="auto" w:fill="auto"/>
          </w:tcPr>
          <w:p w14:paraId="54009CB7" w14:textId="77777777" w:rsidR="00A051AC" w:rsidRDefault="00A051AC" w:rsidP="009406F2">
            <w:pPr>
              <w:pStyle w:val="SingleTxtG"/>
              <w:spacing w:after="100"/>
              <w:ind w:left="0" w:right="0"/>
            </w:pPr>
            <w:r w:rsidRPr="00A413C1">
              <w:t>Благодаря новым требованиям в отношении неаккредитованных органов, проводящих проверку, обеспечение применения станет более эффективным.</w:t>
            </w:r>
            <w:r>
              <w:t xml:space="preserve"> </w:t>
            </w:r>
          </w:p>
        </w:tc>
      </w:tr>
    </w:tbl>
    <w:p w14:paraId="3D7B5B8E" w14:textId="632967F1" w:rsidR="00E12C5F" w:rsidRPr="00A051AC" w:rsidRDefault="00A051AC" w:rsidP="009406F2">
      <w:pPr>
        <w:spacing w:before="120"/>
        <w:jc w:val="center"/>
        <w:rPr>
          <w:rFonts w:eastAsia="Calibri"/>
          <w:u w:val="single"/>
        </w:rPr>
      </w:pPr>
      <w:r>
        <w:rPr>
          <w:rFonts w:eastAsia="Calibri"/>
          <w:u w:val="single"/>
        </w:rPr>
        <w:tab/>
      </w:r>
      <w:r>
        <w:rPr>
          <w:rFonts w:eastAsia="Calibri"/>
          <w:u w:val="single"/>
        </w:rPr>
        <w:tab/>
      </w:r>
      <w:r>
        <w:rPr>
          <w:rFonts w:eastAsia="Calibri"/>
          <w:u w:val="single"/>
        </w:rPr>
        <w:tab/>
      </w:r>
    </w:p>
    <w:sectPr w:rsidR="00E12C5F" w:rsidRPr="00A051AC" w:rsidSect="001511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CC3F" w14:textId="77777777" w:rsidR="00B17404" w:rsidRPr="00A312BC" w:rsidRDefault="00B17404" w:rsidP="00A312BC"/>
  </w:endnote>
  <w:endnote w:type="continuationSeparator" w:id="0">
    <w:p w14:paraId="231A76E6" w14:textId="77777777" w:rsidR="00B17404" w:rsidRPr="00A312BC" w:rsidRDefault="00B174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9C4" w14:textId="217E4234" w:rsidR="00151152" w:rsidRPr="00151152" w:rsidRDefault="00151152">
    <w:pPr>
      <w:pStyle w:val="a8"/>
    </w:pPr>
    <w:r w:rsidRPr="00151152">
      <w:rPr>
        <w:b/>
        <w:sz w:val="18"/>
      </w:rPr>
      <w:fldChar w:fldCharType="begin"/>
    </w:r>
    <w:r w:rsidRPr="00151152">
      <w:rPr>
        <w:b/>
        <w:sz w:val="18"/>
      </w:rPr>
      <w:instrText xml:space="preserve"> PAGE  \* MERGEFORMAT </w:instrText>
    </w:r>
    <w:r w:rsidRPr="00151152">
      <w:rPr>
        <w:b/>
        <w:sz w:val="18"/>
      </w:rPr>
      <w:fldChar w:fldCharType="separate"/>
    </w:r>
    <w:r w:rsidRPr="00151152">
      <w:rPr>
        <w:b/>
        <w:noProof/>
        <w:sz w:val="18"/>
      </w:rPr>
      <w:t>2</w:t>
    </w:r>
    <w:r w:rsidRPr="00151152">
      <w:rPr>
        <w:b/>
        <w:sz w:val="18"/>
      </w:rPr>
      <w:fldChar w:fldCharType="end"/>
    </w:r>
    <w:r>
      <w:rPr>
        <w:b/>
        <w:sz w:val="18"/>
      </w:rPr>
      <w:tab/>
    </w:r>
    <w:r>
      <w:t>GE.23-15393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C449" w14:textId="3B426AC4" w:rsidR="00151152" w:rsidRPr="00151152" w:rsidRDefault="00151152" w:rsidP="00151152">
    <w:pPr>
      <w:pStyle w:val="a8"/>
      <w:tabs>
        <w:tab w:val="clear" w:pos="9639"/>
        <w:tab w:val="right" w:pos="9638"/>
      </w:tabs>
      <w:rPr>
        <w:b/>
        <w:sz w:val="18"/>
      </w:rPr>
    </w:pPr>
    <w:r>
      <w:t>GE.23-15393</w:t>
    </w:r>
    <w:r>
      <w:tab/>
    </w:r>
    <w:r w:rsidRPr="00151152">
      <w:rPr>
        <w:b/>
        <w:sz w:val="18"/>
      </w:rPr>
      <w:fldChar w:fldCharType="begin"/>
    </w:r>
    <w:r w:rsidRPr="00151152">
      <w:rPr>
        <w:b/>
        <w:sz w:val="18"/>
      </w:rPr>
      <w:instrText xml:space="preserve"> PAGE  \* MERGEFORMAT </w:instrText>
    </w:r>
    <w:r w:rsidRPr="00151152">
      <w:rPr>
        <w:b/>
        <w:sz w:val="18"/>
      </w:rPr>
      <w:fldChar w:fldCharType="separate"/>
    </w:r>
    <w:r w:rsidRPr="00151152">
      <w:rPr>
        <w:b/>
        <w:noProof/>
        <w:sz w:val="18"/>
      </w:rPr>
      <w:t>3</w:t>
    </w:r>
    <w:r w:rsidRPr="001511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88C" w14:textId="3D360051" w:rsidR="00042B72" w:rsidRPr="00151152" w:rsidRDefault="00151152" w:rsidP="0015115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854A12E" wp14:editId="7CC868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15393  (</w:t>
    </w:r>
    <w:proofErr w:type="gramEnd"/>
    <w:r>
      <w:t>R)</w:t>
    </w:r>
    <w:r>
      <w:rPr>
        <w:noProof/>
      </w:rPr>
      <w:drawing>
        <wp:anchor distT="0" distB="0" distL="114300" distR="114300" simplePos="0" relativeHeight="251659264" behindDoc="0" locked="0" layoutInCell="1" allowOverlap="1" wp14:anchorId="4EEC49A7" wp14:editId="4B7F5ED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040923  040923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19F9" w14:textId="77777777" w:rsidR="00B17404" w:rsidRPr="001075E9" w:rsidRDefault="00B17404" w:rsidP="001075E9">
      <w:pPr>
        <w:tabs>
          <w:tab w:val="right" w:pos="2155"/>
        </w:tabs>
        <w:spacing w:after="80" w:line="240" w:lineRule="auto"/>
        <w:ind w:left="680"/>
        <w:rPr>
          <w:u w:val="single"/>
        </w:rPr>
      </w:pPr>
      <w:r>
        <w:rPr>
          <w:u w:val="single"/>
        </w:rPr>
        <w:tab/>
      </w:r>
    </w:p>
  </w:footnote>
  <w:footnote w:type="continuationSeparator" w:id="0">
    <w:p w14:paraId="47AEA122" w14:textId="77777777" w:rsidR="00B17404" w:rsidRDefault="00B1740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8FB6" w14:textId="5BF70D40" w:rsidR="00151152" w:rsidRPr="00151152" w:rsidRDefault="00151152">
    <w:pPr>
      <w:pStyle w:val="a5"/>
    </w:pPr>
    <w:fldSimple w:instr=" TITLE  \* MERGEFORMAT ">
      <w:r w:rsidR="00AE6E02">
        <w:t>ECE/TRANS/WP.11/2023/17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5C21" w14:textId="14AC193A" w:rsidR="00151152" w:rsidRPr="00151152" w:rsidRDefault="00151152" w:rsidP="00151152">
    <w:pPr>
      <w:pStyle w:val="a5"/>
      <w:jc w:val="right"/>
    </w:pPr>
    <w:fldSimple w:instr=" TITLE  \* MERGEFORMAT ">
      <w:r w:rsidR="00AE6E02">
        <w:t>ECE/TRANS/WP.11/2023/17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082B" w14:textId="77777777" w:rsidR="00151152" w:rsidRDefault="00151152" w:rsidP="0015115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CF6EE0"/>
    <w:multiLevelType w:val="multilevel"/>
    <w:tmpl w:val="7D42F09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u w:val="single"/>
      </w:rPr>
    </w:lvl>
    <w:lvl w:ilvl="2">
      <w:start w:val="1"/>
      <w:numFmt w:val="decimal"/>
      <w:isLgl/>
      <w:lvlText w:val="%1.%2.%3"/>
      <w:lvlJc w:val="left"/>
      <w:pPr>
        <w:ind w:left="2007" w:hanging="720"/>
      </w:pPr>
      <w:rPr>
        <w:rFonts w:hint="default"/>
        <w:u w:val="single"/>
      </w:rPr>
    </w:lvl>
    <w:lvl w:ilvl="3">
      <w:start w:val="1"/>
      <w:numFmt w:val="decimal"/>
      <w:isLgl/>
      <w:lvlText w:val="%1.%2.%3.%4"/>
      <w:lvlJc w:val="left"/>
      <w:pPr>
        <w:ind w:left="2367" w:hanging="720"/>
      </w:pPr>
      <w:rPr>
        <w:rFonts w:hint="default"/>
        <w:u w:val="single"/>
      </w:rPr>
    </w:lvl>
    <w:lvl w:ilvl="4">
      <w:start w:val="1"/>
      <w:numFmt w:val="decimal"/>
      <w:isLgl/>
      <w:lvlText w:val="%1.%2.%3.%4.%5"/>
      <w:lvlJc w:val="left"/>
      <w:pPr>
        <w:ind w:left="3087" w:hanging="1080"/>
      </w:pPr>
      <w:rPr>
        <w:rFonts w:hint="default"/>
        <w:u w:val="single"/>
      </w:rPr>
    </w:lvl>
    <w:lvl w:ilvl="5">
      <w:start w:val="1"/>
      <w:numFmt w:val="decimal"/>
      <w:isLgl/>
      <w:lvlText w:val="%1.%2.%3.%4.%5.%6"/>
      <w:lvlJc w:val="left"/>
      <w:pPr>
        <w:ind w:left="3447" w:hanging="1080"/>
      </w:pPr>
      <w:rPr>
        <w:rFonts w:hint="default"/>
        <w:u w:val="single"/>
      </w:rPr>
    </w:lvl>
    <w:lvl w:ilvl="6">
      <w:start w:val="1"/>
      <w:numFmt w:val="decimal"/>
      <w:isLgl/>
      <w:lvlText w:val="%1.%2.%3.%4.%5.%6.%7"/>
      <w:lvlJc w:val="left"/>
      <w:pPr>
        <w:ind w:left="4167" w:hanging="1440"/>
      </w:pPr>
      <w:rPr>
        <w:rFonts w:hint="default"/>
        <w:u w:val="single"/>
      </w:rPr>
    </w:lvl>
    <w:lvl w:ilvl="7">
      <w:start w:val="1"/>
      <w:numFmt w:val="decimal"/>
      <w:isLgl/>
      <w:lvlText w:val="%1.%2.%3.%4.%5.%6.%7.%8"/>
      <w:lvlJc w:val="left"/>
      <w:pPr>
        <w:ind w:left="4527" w:hanging="1440"/>
      </w:pPr>
      <w:rPr>
        <w:rFonts w:hint="default"/>
        <w:u w:val="single"/>
      </w:rPr>
    </w:lvl>
    <w:lvl w:ilvl="8">
      <w:start w:val="1"/>
      <w:numFmt w:val="decimal"/>
      <w:isLgl/>
      <w:lvlText w:val="%1.%2.%3.%4.%5.%6.%7.%8.%9"/>
      <w:lvlJc w:val="left"/>
      <w:pPr>
        <w:ind w:left="4887" w:hanging="1440"/>
      </w:pPr>
      <w:rPr>
        <w:rFonts w:hint="default"/>
        <w:u w:val="single"/>
      </w:r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599530669">
    <w:abstractNumId w:val="10"/>
  </w:num>
  <w:num w:numId="23" w16cid:durableId="26280555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4"/>
    <w:rsid w:val="00014ADE"/>
    <w:rsid w:val="00033EE1"/>
    <w:rsid w:val="00042B72"/>
    <w:rsid w:val="000558BD"/>
    <w:rsid w:val="000B57E7"/>
    <w:rsid w:val="000B6373"/>
    <w:rsid w:val="000E4E5B"/>
    <w:rsid w:val="000F09DF"/>
    <w:rsid w:val="000F61B2"/>
    <w:rsid w:val="0010231A"/>
    <w:rsid w:val="001075E9"/>
    <w:rsid w:val="00116E93"/>
    <w:rsid w:val="0014152F"/>
    <w:rsid w:val="00151152"/>
    <w:rsid w:val="00153B56"/>
    <w:rsid w:val="00180183"/>
    <w:rsid w:val="0018024D"/>
    <w:rsid w:val="0018649F"/>
    <w:rsid w:val="00196389"/>
    <w:rsid w:val="001B3EF6"/>
    <w:rsid w:val="001C7A89"/>
    <w:rsid w:val="00241FD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A8C"/>
    <w:rsid w:val="003A0D43"/>
    <w:rsid w:val="003A48CE"/>
    <w:rsid w:val="003B00E5"/>
    <w:rsid w:val="003B0FBF"/>
    <w:rsid w:val="003E0B46"/>
    <w:rsid w:val="003F1176"/>
    <w:rsid w:val="00407B78"/>
    <w:rsid w:val="00424203"/>
    <w:rsid w:val="00430C64"/>
    <w:rsid w:val="00452493"/>
    <w:rsid w:val="00453318"/>
    <w:rsid w:val="00454AF2"/>
    <w:rsid w:val="00454E07"/>
    <w:rsid w:val="00472C5C"/>
    <w:rsid w:val="00485F8A"/>
    <w:rsid w:val="004936AF"/>
    <w:rsid w:val="004E05B7"/>
    <w:rsid w:val="004E5703"/>
    <w:rsid w:val="0050108D"/>
    <w:rsid w:val="00513081"/>
    <w:rsid w:val="00517901"/>
    <w:rsid w:val="00526683"/>
    <w:rsid w:val="00526DB8"/>
    <w:rsid w:val="005639C1"/>
    <w:rsid w:val="005709E0"/>
    <w:rsid w:val="00572E19"/>
    <w:rsid w:val="005961C8"/>
    <w:rsid w:val="005966F1"/>
    <w:rsid w:val="005D6435"/>
    <w:rsid w:val="005D7914"/>
    <w:rsid w:val="005E2B41"/>
    <w:rsid w:val="005F0B42"/>
    <w:rsid w:val="005F6748"/>
    <w:rsid w:val="00617A43"/>
    <w:rsid w:val="006345DB"/>
    <w:rsid w:val="00640F49"/>
    <w:rsid w:val="00680D03"/>
    <w:rsid w:val="00681A10"/>
    <w:rsid w:val="006A1ED8"/>
    <w:rsid w:val="006C2031"/>
    <w:rsid w:val="006C4A95"/>
    <w:rsid w:val="006D461A"/>
    <w:rsid w:val="006F35EE"/>
    <w:rsid w:val="007021FF"/>
    <w:rsid w:val="00712895"/>
    <w:rsid w:val="00734ACB"/>
    <w:rsid w:val="00757357"/>
    <w:rsid w:val="0077724B"/>
    <w:rsid w:val="00792497"/>
    <w:rsid w:val="007E4D08"/>
    <w:rsid w:val="00806737"/>
    <w:rsid w:val="00825F8D"/>
    <w:rsid w:val="00834B71"/>
    <w:rsid w:val="0086445C"/>
    <w:rsid w:val="00894693"/>
    <w:rsid w:val="008A08D7"/>
    <w:rsid w:val="008A37C8"/>
    <w:rsid w:val="008B6909"/>
    <w:rsid w:val="008D53B6"/>
    <w:rsid w:val="008F7609"/>
    <w:rsid w:val="00906890"/>
    <w:rsid w:val="00911BE4"/>
    <w:rsid w:val="009406F2"/>
    <w:rsid w:val="00951972"/>
    <w:rsid w:val="009608F3"/>
    <w:rsid w:val="009A24AC"/>
    <w:rsid w:val="009C59D7"/>
    <w:rsid w:val="009C6FE6"/>
    <w:rsid w:val="009D7E7D"/>
    <w:rsid w:val="009E062B"/>
    <w:rsid w:val="00A051AC"/>
    <w:rsid w:val="00A14DA8"/>
    <w:rsid w:val="00A312BC"/>
    <w:rsid w:val="00A84021"/>
    <w:rsid w:val="00A84D35"/>
    <w:rsid w:val="00A917B3"/>
    <w:rsid w:val="00AB09A1"/>
    <w:rsid w:val="00AB4B51"/>
    <w:rsid w:val="00AE6E02"/>
    <w:rsid w:val="00B10CC7"/>
    <w:rsid w:val="00B17404"/>
    <w:rsid w:val="00B36DF7"/>
    <w:rsid w:val="00B539E7"/>
    <w:rsid w:val="00B62458"/>
    <w:rsid w:val="00BA19FB"/>
    <w:rsid w:val="00BC18B2"/>
    <w:rsid w:val="00BD0322"/>
    <w:rsid w:val="00BD33EE"/>
    <w:rsid w:val="00BE1CC7"/>
    <w:rsid w:val="00C106D6"/>
    <w:rsid w:val="00C119AE"/>
    <w:rsid w:val="00C60F0C"/>
    <w:rsid w:val="00C71E84"/>
    <w:rsid w:val="00C805C9"/>
    <w:rsid w:val="00C870B8"/>
    <w:rsid w:val="00C92939"/>
    <w:rsid w:val="00CA1679"/>
    <w:rsid w:val="00CB151C"/>
    <w:rsid w:val="00CE5A1A"/>
    <w:rsid w:val="00CF55F6"/>
    <w:rsid w:val="00D0338B"/>
    <w:rsid w:val="00D33D63"/>
    <w:rsid w:val="00D5253A"/>
    <w:rsid w:val="00D65811"/>
    <w:rsid w:val="00D873A8"/>
    <w:rsid w:val="00D90028"/>
    <w:rsid w:val="00D90138"/>
    <w:rsid w:val="00D9145B"/>
    <w:rsid w:val="00DD78D1"/>
    <w:rsid w:val="00DE32CD"/>
    <w:rsid w:val="00DF5767"/>
    <w:rsid w:val="00DF71B9"/>
    <w:rsid w:val="00E12C5F"/>
    <w:rsid w:val="00E73F76"/>
    <w:rsid w:val="00EA2C9F"/>
    <w:rsid w:val="00EA420E"/>
    <w:rsid w:val="00EB7955"/>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CA86"/>
  <w15:docId w15:val="{7E148C7D-9BBA-4EDD-B960-E3DD3F3B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3A0A8C"/>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rsid w:val="003A0A8C"/>
    <w:rPr>
      <w:b/>
      <w:sz w:val="28"/>
      <w:lang w:val="ru-RU" w:eastAsia="ru-RU"/>
    </w:rPr>
  </w:style>
  <w:style w:type="character" w:customStyle="1" w:styleId="SingleTxtGChar">
    <w:name w:val="_ Single Txt_G Char"/>
    <w:link w:val="SingleTxtG"/>
    <w:rsid w:val="00C870B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05R0037"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A7B05-7C00-4339-93F6-E213C4E7A440}"/>
</file>

<file path=customXml/itemProps2.xml><?xml version="1.0" encoding="utf-8"?>
<ds:datastoreItem xmlns:ds="http://schemas.openxmlformats.org/officeDocument/2006/customXml" ds:itemID="{ECB70A37-7FC6-4953-BF7D-D303FB0E5BE5}"/>
</file>

<file path=docProps/app.xml><?xml version="1.0" encoding="utf-8"?>
<Properties xmlns="http://schemas.openxmlformats.org/officeDocument/2006/extended-properties" xmlns:vt="http://schemas.openxmlformats.org/officeDocument/2006/docPropsVTypes">
  <Template>ECE.dotm</Template>
  <TotalTime>0</TotalTime>
  <Pages>3</Pages>
  <Words>851</Words>
  <Characters>6447</Characters>
  <Application>Microsoft Office Word</Application>
  <DocSecurity>0</DocSecurity>
  <Lines>143</Lines>
  <Paragraphs>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ECE/TRANS/WP.11/2023/17</dc:title>
  <dc:subject/>
  <dc:creator>Shuvalova NATALIA</dc:creator>
  <cp:keywords/>
  <cp:lastModifiedBy>Natalia Shuvalova</cp:lastModifiedBy>
  <cp:revision>2</cp:revision>
  <cp:lastPrinted>2008-01-15T07:58:00Z</cp:lastPrinted>
  <dcterms:created xsi:type="dcterms:W3CDTF">2023-09-04T11:13:00Z</dcterms:created>
  <dcterms:modified xsi:type="dcterms:W3CDTF">2023-09-04T11:13:00Z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