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05C85" w14:paraId="5746EF89" w14:textId="77777777" w:rsidTr="00A27C92">
        <w:trPr>
          <w:trHeight w:hRule="exact" w:val="851"/>
        </w:trPr>
        <w:tc>
          <w:tcPr>
            <w:tcW w:w="9639" w:type="dxa"/>
            <w:gridSpan w:val="2"/>
            <w:tcBorders>
              <w:bottom w:val="single" w:sz="4" w:space="0" w:color="auto"/>
            </w:tcBorders>
            <w:shd w:val="clear" w:color="auto" w:fill="auto"/>
            <w:vAlign w:val="bottom"/>
          </w:tcPr>
          <w:p w14:paraId="71EE1FCD" w14:textId="40B32E34" w:rsidR="003C6CE4" w:rsidRPr="00D05C85" w:rsidRDefault="003C6CE4" w:rsidP="003C6CE4">
            <w:pPr>
              <w:jc w:val="right"/>
              <w:rPr>
                <w:lang w:val="fr-FR"/>
              </w:rPr>
            </w:pPr>
            <w:r w:rsidRPr="00D05C85">
              <w:rPr>
                <w:sz w:val="40"/>
                <w:lang w:val="fr-FR"/>
              </w:rPr>
              <w:t>E</w:t>
            </w:r>
            <w:r w:rsidRPr="00D05C85">
              <w:rPr>
                <w:lang w:val="fr-FR"/>
              </w:rPr>
              <w:t>/ECE/TRANS/505/Rev.3/Add.147/Amend.5</w:t>
            </w:r>
          </w:p>
        </w:tc>
      </w:tr>
      <w:tr w:rsidR="00421A10" w:rsidRPr="00D05C85" w14:paraId="62C1F705" w14:textId="77777777" w:rsidTr="00A27C92">
        <w:trPr>
          <w:trHeight w:hRule="exact" w:val="2835"/>
        </w:trPr>
        <w:tc>
          <w:tcPr>
            <w:tcW w:w="6804" w:type="dxa"/>
            <w:tcBorders>
              <w:top w:val="single" w:sz="4" w:space="0" w:color="auto"/>
              <w:bottom w:val="single" w:sz="12" w:space="0" w:color="auto"/>
            </w:tcBorders>
            <w:shd w:val="clear" w:color="auto" w:fill="auto"/>
          </w:tcPr>
          <w:p w14:paraId="5760428B" w14:textId="77777777" w:rsidR="00421A10" w:rsidRPr="00D05C85" w:rsidRDefault="00421A10" w:rsidP="00A27C92">
            <w:pPr>
              <w:spacing w:before="120" w:line="380" w:lineRule="exact"/>
              <w:rPr>
                <w:lang w:val="fr-FR"/>
              </w:rPr>
            </w:pPr>
          </w:p>
        </w:tc>
        <w:tc>
          <w:tcPr>
            <w:tcW w:w="2835" w:type="dxa"/>
            <w:tcBorders>
              <w:top w:val="single" w:sz="4" w:space="0" w:color="auto"/>
              <w:bottom w:val="single" w:sz="12" w:space="0" w:color="auto"/>
            </w:tcBorders>
            <w:shd w:val="clear" w:color="auto" w:fill="auto"/>
          </w:tcPr>
          <w:p w14:paraId="22E5BE4B" w14:textId="77777777" w:rsidR="00421A10" w:rsidRPr="00D05C85" w:rsidRDefault="003C6CE4" w:rsidP="00A27C92">
            <w:pPr>
              <w:spacing w:before="480" w:line="240" w:lineRule="exact"/>
              <w:rPr>
                <w:lang w:val="fr-FR"/>
              </w:rPr>
            </w:pPr>
            <w:r w:rsidRPr="00D05C85">
              <w:rPr>
                <w:lang w:val="fr-FR"/>
              </w:rPr>
              <w:t>3 mars 2023</w:t>
            </w:r>
          </w:p>
        </w:tc>
      </w:tr>
    </w:tbl>
    <w:p w14:paraId="22ACB071" w14:textId="77777777" w:rsidR="00AF2126" w:rsidRPr="00D05C85" w:rsidRDefault="00AF2126" w:rsidP="00AF2126">
      <w:pPr>
        <w:keepNext/>
        <w:keepLines/>
        <w:tabs>
          <w:tab w:val="right" w:pos="851"/>
        </w:tabs>
        <w:spacing w:before="360" w:after="240" w:line="300" w:lineRule="exact"/>
        <w:ind w:left="1134" w:right="1134" w:hanging="1134"/>
        <w:rPr>
          <w:b/>
          <w:sz w:val="28"/>
          <w:lang w:val="fr-FR"/>
        </w:rPr>
      </w:pPr>
      <w:r w:rsidRPr="00D05C85">
        <w:rPr>
          <w:b/>
          <w:sz w:val="28"/>
          <w:lang w:val="fr-FR"/>
        </w:rPr>
        <w:tab/>
      </w:r>
      <w:r w:rsidRPr="00D05C85">
        <w:rPr>
          <w:b/>
          <w:sz w:val="28"/>
          <w:lang w:val="fr-FR"/>
        </w:rPr>
        <w:tab/>
        <w:t>Accord</w:t>
      </w:r>
    </w:p>
    <w:p w14:paraId="55F9B4B1" w14:textId="0C1A2DB7" w:rsidR="00AF2126" w:rsidRPr="00D05C85" w:rsidRDefault="00AF2126" w:rsidP="00AF2126">
      <w:pPr>
        <w:pStyle w:val="H1G"/>
        <w:spacing w:before="240"/>
        <w:rPr>
          <w:lang w:val="fr-FR"/>
        </w:rPr>
      </w:pPr>
      <w:r w:rsidRPr="00D05C85">
        <w:rPr>
          <w:lang w:val="fr-FR"/>
        </w:rPr>
        <w:tab/>
      </w:r>
      <w:r w:rsidRPr="00D05C85">
        <w:rPr>
          <w:lang w:val="fr-FR"/>
        </w:rPr>
        <w:tab/>
      </w:r>
      <w:r w:rsidRPr="00D05C85">
        <w:rPr>
          <w:rFonts w:eastAsia="SimSun"/>
          <w:lang w:val="fr-FR"/>
        </w:rPr>
        <w:t xml:space="preserve">Concernant l’adoption de Règlements techniques harmonisés de l’ONU applicables aux véhicules à roues </w:t>
      </w:r>
      <w:r w:rsidR="00910B33">
        <w:rPr>
          <w:rFonts w:eastAsia="SimSun"/>
          <w:lang w:val="fr-FR"/>
        </w:rPr>
        <w:t xml:space="preserve">et </w:t>
      </w:r>
      <w:r w:rsidRPr="00D05C85">
        <w:rPr>
          <w:rFonts w:eastAsia="SimSun"/>
          <w:lang w:val="fr-FR"/>
        </w:rPr>
        <w:t xml:space="preserve">aux équipements </w:t>
      </w:r>
      <w:r w:rsidR="00910B33">
        <w:rPr>
          <w:rFonts w:eastAsia="SimSun"/>
          <w:lang w:val="fr-FR"/>
        </w:rPr>
        <w:t xml:space="preserve">et </w:t>
      </w:r>
      <w:r w:rsidRPr="00D05C85">
        <w:rPr>
          <w:rFonts w:eastAsia="SimSun"/>
          <w:lang w:val="fr-FR"/>
        </w:rPr>
        <w:t xml:space="preserve">pièces susceptibles d’être montés ou utilisés sur les véhicules à roues </w:t>
      </w:r>
      <w:r w:rsidR="00910B33">
        <w:rPr>
          <w:rFonts w:eastAsia="SimSun"/>
          <w:lang w:val="fr-FR"/>
        </w:rPr>
        <w:t xml:space="preserve">et </w:t>
      </w:r>
      <w:r w:rsidRPr="00D05C85">
        <w:rPr>
          <w:rFonts w:eastAsia="SimSun"/>
          <w:lang w:val="fr-FR"/>
        </w:rPr>
        <w:t>les conditions de reconnaissance réciproque des homologations délivrées conformément à ces Règlements</w:t>
      </w:r>
      <w:r w:rsidRPr="00D05C85">
        <w:rPr>
          <w:b w:val="0"/>
          <w:bCs/>
          <w:sz w:val="20"/>
          <w:lang w:val="fr-FR"/>
        </w:rPr>
        <w:footnoteReference w:customMarkFollows="1" w:id="2"/>
        <w:t>*</w:t>
      </w:r>
    </w:p>
    <w:p w14:paraId="6795DBBD" w14:textId="77777777" w:rsidR="00AF2126" w:rsidRPr="00D05C85" w:rsidRDefault="00AF2126" w:rsidP="00AF2126">
      <w:pPr>
        <w:keepNext/>
        <w:keepLines/>
        <w:tabs>
          <w:tab w:val="right" w:pos="851"/>
        </w:tabs>
        <w:spacing w:before="360" w:after="240" w:line="270" w:lineRule="exact"/>
        <w:ind w:left="1134" w:right="1134" w:hanging="1134"/>
        <w:rPr>
          <w:lang w:val="fr-FR"/>
        </w:rPr>
      </w:pPr>
      <w:r w:rsidRPr="00D05C85">
        <w:rPr>
          <w:lang w:val="fr-FR"/>
        </w:rPr>
        <w:tab/>
      </w:r>
      <w:r w:rsidRPr="00D05C85">
        <w:rPr>
          <w:lang w:val="fr-FR"/>
        </w:rPr>
        <w:tab/>
      </w:r>
      <w:r w:rsidRPr="00D05C85">
        <w:rPr>
          <w:rFonts w:eastAsia="SimSun"/>
          <w:lang w:val="fr-FR"/>
        </w:rPr>
        <w:t>(Révision 3, comprenant les amendements entrés en vigueur le 14 septembre 2017)</w:t>
      </w:r>
    </w:p>
    <w:p w14:paraId="7B1BE202" w14:textId="77777777" w:rsidR="00AF2126" w:rsidRPr="00D05C85" w:rsidRDefault="00AF2126" w:rsidP="00AF2126">
      <w:pPr>
        <w:keepNext/>
        <w:keepLines/>
        <w:tabs>
          <w:tab w:val="right" w:pos="851"/>
        </w:tabs>
        <w:spacing w:before="120" w:after="240" w:line="270" w:lineRule="exact"/>
        <w:jc w:val="center"/>
        <w:rPr>
          <w:b/>
          <w:sz w:val="24"/>
          <w:lang w:val="fr-FR"/>
        </w:rPr>
      </w:pPr>
      <w:r w:rsidRPr="00D05C85">
        <w:rPr>
          <w:b/>
          <w:sz w:val="24"/>
          <w:lang w:val="fr-FR"/>
        </w:rPr>
        <w:t>_________</w:t>
      </w:r>
    </w:p>
    <w:p w14:paraId="77BA6CB2" w14:textId="1CD21D71" w:rsidR="00AF2126" w:rsidRPr="00D05C85" w:rsidRDefault="00AF2126" w:rsidP="00AF2126">
      <w:pPr>
        <w:keepNext/>
        <w:keepLines/>
        <w:tabs>
          <w:tab w:val="right" w:pos="851"/>
        </w:tabs>
        <w:spacing w:before="360" w:after="240" w:line="270" w:lineRule="exact"/>
        <w:ind w:left="1134" w:right="1134" w:hanging="1134"/>
        <w:rPr>
          <w:b/>
          <w:sz w:val="24"/>
          <w:lang w:val="fr-FR"/>
        </w:rPr>
      </w:pPr>
      <w:r w:rsidRPr="00D05C85">
        <w:rPr>
          <w:b/>
          <w:sz w:val="24"/>
          <w:lang w:val="fr-FR"/>
        </w:rPr>
        <w:tab/>
      </w:r>
      <w:r w:rsidRPr="00D05C85">
        <w:rPr>
          <w:b/>
          <w:sz w:val="24"/>
          <w:lang w:val="fr-FR"/>
        </w:rPr>
        <w:tab/>
        <w:t xml:space="preserve">Additif 147 </w:t>
      </w:r>
      <w:r w:rsidRPr="00D05C85">
        <w:rPr>
          <w:b/>
          <w:sz w:val="24"/>
          <w:lang w:val="fr-FR"/>
        </w:rPr>
        <w:t>−</w:t>
      </w:r>
      <w:r w:rsidRPr="00D05C85">
        <w:rPr>
          <w:b/>
          <w:sz w:val="24"/>
          <w:lang w:val="fr-FR"/>
        </w:rPr>
        <w:t xml:space="preserve"> Règlement ONU n</w:t>
      </w:r>
      <w:r w:rsidRPr="00D05C85">
        <w:rPr>
          <w:b/>
          <w:sz w:val="24"/>
          <w:vertAlign w:val="superscript"/>
          <w:lang w:val="fr-FR"/>
        </w:rPr>
        <w:t>o</w:t>
      </w:r>
      <w:r w:rsidRPr="00D05C85">
        <w:rPr>
          <w:b/>
          <w:sz w:val="24"/>
          <w:lang w:val="fr-FR"/>
        </w:rPr>
        <w:t> 148</w:t>
      </w:r>
    </w:p>
    <w:p w14:paraId="45E8E02D" w14:textId="77777777" w:rsidR="00AF2126" w:rsidRPr="00D05C85" w:rsidRDefault="00AF2126" w:rsidP="00AF2126">
      <w:pPr>
        <w:pStyle w:val="H1G"/>
        <w:spacing w:before="240"/>
        <w:rPr>
          <w:lang w:val="fr-FR"/>
        </w:rPr>
      </w:pPr>
      <w:r w:rsidRPr="00D05C85">
        <w:rPr>
          <w:lang w:val="fr-FR"/>
        </w:rPr>
        <w:tab/>
      </w:r>
      <w:r w:rsidRPr="00D05C85">
        <w:rPr>
          <w:lang w:val="fr-FR"/>
        </w:rPr>
        <w:tab/>
        <w:t>Amendement 5</w:t>
      </w:r>
    </w:p>
    <w:p w14:paraId="11ECED66" w14:textId="3E4FCBD8" w:rsidR="00AF2126" w:rsidRPr="00D05C85" w:rsidRDefault="00AF2126" w:rsidP="00AF2126">
      <w:pPr>
        <w:pStyle w:val="SingleTxtG"/>
        <w:spacing w:after="360"/>
        <w:ind w:right="1089"/>
        <w:jc w:val="left"/>
        <w:rPr>
          <w:spacing w:val="-2"/>
          <w:lang w:val="fr-FR"/>
        </w:rPr>
      </w:pPr>
      <w:r w:rsidRPr="00D05C85">
        <w:rPr>
          <w:spacing w:val="-2"/>
          <w:lang w:val="fr-FR"/>
        </w:rPr>
        <w:t xml:space="preserve">Série 01 d’amendements </w:t>
      </w:r>
      <w:r w:rsidRPr="00D05C85">
        <w:rPr>
          <w:spacing w:val="-2"/>
          <w:lang w:val="fr-FR"/>
        </w:rPr>
        <w:t>−</w:t>
      </w:r>
      <w:r w:rsidRPr="00D05C85">
        <w:rPr>
          <w:spacing w:val="-2"/>
          <w:lang w:val="fr-FR"/>
        </w:rPr>
        <w:t xml:space="preserve"> Date d’entrée en vigueur : 4 janvier 2023</w:t>
      </w:r>
    </w:p>
    <w:p w14:paraId="495C2DBB" w14:textId="570D9F2E" w:rsidR="00AF2126" w:rsidRPr="00D05C85" w:rsidRDefault="00AF2126" w:rsidP="00AF2126">
      <w:pPr>
        <w:pStyle w:val="HChG"/>
        <w:rPr>
          <w:lang w:val="fr-FR"/>
        </w:rPr>
      </w:pPr>
      <w:r w:rsidRPr="00D05C85">
        <w:rPr>
          <w:lang w:val="fr-FR"/>
        </w:rPr>
        <w:tab/>
      </w:r>
      <w:r w:rsidRPr="00D05C85">
        <w:rPr>
          <w:lang w:val="fr-FR"/>
        </w:rPr>
        <w:tab/>
      </w:r>
      <w:r w:rsidRPr="00D05C85">
        <w:rPr>
          <w:sz w:val="24"/>
          <w:szCs w:val="18"/>
          <w:lang w:val="fr-FR"/>
        </w:rPr>
        <w:t>Règlement ONU énonçant des prescriptions uniformes relatives à</w:t>
      </w:r>
      <w:r w:rsidRPr="00D05C85">
        <w:rPr>
          <w:sz w:val="24"/>
          <w:szCs w:val="18"/>
          <w:lang w:val="fr-FR"/>
        </w:rPr>
        <w:t> </w:t>
      </w:r>
      <w:r w:rsidRPr="00D05C85">
        <w:rPr>
          <w:sz w:val="24"/>
          <w:szCs w:val="18"/>
          <w:lang w:val="fr-FR"/>
        </w:rPr>
        <w:t>l’homologation des dispositifs (feux) de signalisation lumineuse pour</w:t>
      </w:r>
      <w:r w:rsidRPr="00D05C85">
        <w:rPr>
          <w:sz w:val="24"/>
          <w:szCs w:val="18"/>
          <w:lang w:val="fr-FR"/>
        </w:rPr>
        <w:t> </w:t>
      </w:r>
      <w:r w:rsidRPr="00D05C85">
        <w:rPr>
          <w:sz w:val="24"/>
          <w:szCs w:val="18"/>
          <w:lang w:val="fr-FR"/>
        </w:rPr>
        <w:t xml:space="preserve">les véhicules à moteur </w:t>
      </w:r>
      <w:r w:rsidR="00910B33">
        <w:rPr>
          <w:sz w:val="24"/>
          <w:szCs w:val="18"/>
          <w:lang w:val="fr-FR"/>
        </w:rPr>
        <w:t xml:space="preserve">et </w:t>
      </w:r>
      <w:r w:rsidRPr="00D05C85">
        <w:rPr>
          <w:sz w:val="24"/>
          <w:szCs w:val="18"/>
          <w:lang w:val="fr-FR"/>
        </w:rPr>
        <w:t>leurs remorques</w:t>
      </w:r>
    </w:p>
    <w:p w14:paraId="70534A4E" w14:textId="77777777" w:rsidR="00AF2126" w:rsidRPr="00D05C85" w:rsidRDefault="00AF2126" w:rsidP="00AF2126">
      <w:pPr>
        <w:spacing w:after="40"/>
        <w:ind w:left="1134" w:right="1134" w:firstLine="567"/>
        <w:jc w:val="both"/>
        <w:rPr>
          <w:spacing w:val="-1"/>
          <w:lang w:val="fr-FR" w:eastAsia="en-GB"/>
        </w:rPr>
      </w:pPr>
      <w:r w:rsidRPr="00D05C85">
        <w:rPr>
          <w:rFonts w:eastAsia="SimSun"/>
          <w:spacing w:val="-1"/>
          <w:lang w:val="fr-FR" w:eastAsia="en-GB"/>
        </w:rPr>
        <w:t>Le présent document est communiqué uniquement à titre d’information. Le texte authentique, juridiquement contraignant, est celui du document</w:t>
      </w:r>
      <w:r w:rsidRPr="00D05C85">
        <w:rPr>
          <w:spacing w:val="-1"/>
          <w:lang w:val="fr-FR" w:eastAsia="en-GB"/>
        </w:rPr>
        <w:t xml:space="preserve"> ECE/TRANS/WP.29/2022/92 (tel que modifié par le paragraphe 142 du rapport ECE/TRANS/WP.29/1166).</w:t>
      </w:r>
    </w:p>
    <w:p w14:paraId="46567757" w14:textId="77777777" w:rsidR="00AF2126" w:rsidRPr="00D05C85" w:rsidRDefault="00AF2126" w:rsidP="00AF2126">
      <w:pPr>
        <w:suppressAutoHyphens w:val="0"/>
        <w:spacing w:line="240" w:lineRule="auto"/>
        <w:jc w:val="center"/>
        <w:rPr>
          <w:b/>
          <w:sz w:val="24"/>
          <w:lang w:val="fr-FR"/>
        </w:rPr>
      </w:pPr>
      <w:r w:rsidRPr="00D05C85">
        <w:rPr>
          <w:b/>
          <w:noProof/>
          <w:sz w:val="24"/>
          <w:lang w:val="fr-FR"/>
        </w:rPr>
        <w:drawing>
          <wp:anchor distT="0" distB="137160" distL="114300" distR="114300" simplePos="0" relativeHeight="251659264" behindDoc="0" locked="0" layoutInCell="1" allowOverlap="1" wp14:anchorId="79159077" wp14:editId="4B541612">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D05C85">
        <w:rPr>
          <w:b/>
          <w:sz w:val="24"/>
          <w:lang w:val="fr-FR"/>
        </w:rPr>
        <w:t>_________</w:t>
      </w:r>
    </w:p>
    <w:p w14:paraId="7E2D18BF" w14:textId="77777777" w:rsidR="00AF2126" w:rsidRPr="00D05C85" w:rsidRDefault="00AF2126" w:rsidP="00AF2126">
      <w:pPr>
        <w:suppressAutoHyphens w:val="0"/>
        <w:spacing w:line="240" w:lineRule="auto"/>
        <w:jc w:val="center"/>
        <w:rPr>
          <w:b/>
          <w:sz w:val="24"/>
          <w:lang w:val="fr-FR"/>
        </w:rPr>
      </w:pPr>
      <w:r w:rsidRPr="00D05C85">
        <w:rPr>
          <w:b/>
          <w:sz w:val="24"/>
          <w:lang w:val="fr-FR"/>
        </w:rPr>
        <w:t>NATIONS UNIES</w:t>
      </w:r>
    </w:p>
    <w:p w14:paraId="6AE22ED7" w14:textId="77777777" w:rsidR="00AF2126" w:rsidRPr="00D05C85" w:rsidRDefault="00AF2126" w:rsidP="00AF2126">
      <w:pPr>
        <w:pStyle w:val="SingleTxtG"/>
        <w:rPr>
          <w:lang w:val="fr-FR"/>
        </w:rPr>
      </w:pPr>
      <w:r w:rsidRPr="00D05C85">
        <w:rPr>
          <w:lang w:val="fr-FR"/>
        </w:rPr>
        <w:lastRenderedPageBreak/>
        <w:tab/>
        <w:t>Règlement ONU n</w:t>
      </w:r>
      <w:r w:rsidRPr="00D05C85">
        <w:rPr>
          <w:vertAlign w:val="superscript"/>
          <w:lang w:val="fr-FR"/>
        </w:rPr>
        <w:t>o</w:t>
      </w:r>
      <w:r w:rsidRPr="00D05C85">
        <w:rPr>
          <w:lang w:val="fr-FR"/>
        </w:rPr>
        <w:t xml:space="preserve"> 148, </w:t>
      </w:r>
      <w:r w:rsidRPr="00D05C85">
        <w:rPr>
          <w:i/>
          <w:iCs/>
          <w:lang w:val="fr-FR"/>
        </w:rPr>
        <w:t>lire </w:t>
      </w:r>
      <w:r w:rsidRPr="00D05C85">
        <w:rPr>
          <w:lang w:val="fr-FR"/>
        </w:rPr>
        <w:t>:</w:t>
      </w:r>
    </w:p>
    <w:p w14:paraId="022BD429" w14:textId="698B24E6" w:rsidR="00AF2126" w:rsidRPr="00D05C85" w:rsidRDefault="00AF2126" w:rsidP="00AF2126">
      <w:pPr>
        <w:pStyle w:val="HChG"/>
        <w:rPr>
          <w:lang w:val="fr-FR"/>
        </w:rPr>
      </w:pPr>
      <w:bookmarkStart w:id="0" w:name="_Toc473483449"/>
      <w:r w:rsidRPr="00D05C85">
        <w:rPr>
          <w:lang w:val="fr-FR"/>
        </w:rPr>
        <w:tab/>
      </w:r>
      <w:r w:rsidRPr="00D05C85">
        <w:rPr>
          <w:lang w:val="fr-FR"/>
        </w:rPr>
        <w:tab/>
      </w:r>
      <w:r w:rsidRPr="00D05C85">
        <w:rPr>
          <w:b w:val="0"/>
          <w:sz w:val="20"/>
          <w:lang w:val="fr-FR"/>
        </w:rPr>
        <w:t>«</w:t>
      </w:r>
      <w:r w:rsidRPr="00D05C85">
        <w:rPr>
          <w:bCs/>
          <w:lang w:val="fr-FR"/>
        </w:rPr>
        <w:t xml:space="preserve"> Règlement ONU énonçant des prescriptions uniformes relatives à l’homologation des dispositifs (feux) </w:t>
      </w:r>
      <w:r w:rsidRPr="00D05C85">
        <w:rPr>
          <w:bCs/>
          <w:lang w:val="fr-FR"/>
        </w:rPr>
        <w:br/>
        <w:t xml:space="preserve">de signalisation lumineuse pour les véhicules </w:t>
      </w:r>
      <w:r w:rsidRPr="00D05C85">
        <w:rPr>
          <w:bCs/>
          <w:lang w:val="fr-FR"/>
        </w:rPr>
        <w:br/>
        <w:t xml:space="preserve">à moteur </w:t>
      </w:r>
      <w:r w:rsidR="00910B33">
        <w:rPr>
          <w:bCs/>
          <w:lang w:val="fr-FR"/>
        </w:rPr>
        <w:t xml:space="preserve">et </w:t>
      </w:r>
      <w:r w:rsidRPr="00D05C85">
        <w:rPr>
          <w:bCs/>
          <w:lang w:val="fr-FR"/>
        </w:rPr>
        <w:t>leurs remorques</w:t>
      </w:r>
      <w:bookmarkEnd w:id="0"/>
    </w:p>
    <w:p w14:paraId="6676EBA7" w14:textId="77777777" w:rsidR="00AF2126" w:rsidRPr="00D05C85" w:rsidRDefault="00AF2126" w:rsidP="00AF2126">
      <w:pPr>
        <w:spacing w:after="120"/>
        <w:rPr>
          <w:sz w:val="28"/>
          <w:lang w:val="fr-FR"/>
        </w:rPr>
      </w:pPr>
      <w:r w:rsidRPr="00D05C85">
        <w:rPr>
          <w:sz w:val="28"/>
          <w:lang w:val="fr-FR"/>
        </w:rPr>
        <w:t>Table des matières</w:t>
      </w:r>
    </w:p>
    <w:p w14:paraId="7B3B5FCD" w14:textId="77777777" w:rsidR="00AF2126" w:rsidRPr="00D05C85" w:rsidRDefault="00AF2126" w:rsidP="00AF2126">
      <w:pPr>
        <w:tabs>
          <w:tab w:val="right" w:pos="9638"/>
        </w:tabs>
        <w:spacing w:after="120"/>
        <w:ind w:left="283"/>
        <w:rPr>
          <w:i/>
          <w:sz w:val="18"/>
          <w:lang w:val="fr-FR"/>
        </w:rPr>
      </w:pPr>
      <w:r w:rsidRPr="00D05C85">
        <w:rPr>
          <w:i/>
          <w:sz w:val="18"/>
          <w:lang w:val="fr-FR"/>
        </w:rPr>
        <w:tab/>
        <w:t>Page</w:t>
      </w:r>
    </w:p>
    <w:p w14:paraId="2FD72F2A"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Règlement</w:t>
      </w:r>
    </w:p>
    <w:p w14:paraId="6D39231D"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1.</w:t>
      </w:r>
      <w:r w:rsidRPr="00D05C85">
        <w:rPr>
          <w:iCs/>
          <w:lang w:val="fr-FR"/>
        </w:rPr>
        <w:tab/>
      </w:r>
      <w:r w:rsidRPr="00D05C85">
        <w:rPr>
          <w:bCs/>
          <w:lang w:val="fr-FR"/>
        </w:rPr>
        <w:t>Domaine d’application</w:t>
      </w:r>
      <w:r w:rsidRPr="00D05C85">
        <w:rPr>
          <w:iCs/>
          <w:lang w:val="fr-FR"/>
        </w:rPr>
        <w:tab/>
      </w:r>
      <w:r w:rsidRPr="00D05C85">
        <w:rPr>
          <w:iCs/>
          <w:lang w:val="fr-FR"/>
        </w:rPr>
        <w:tab/>
        <w:t>3</w:t>
      </w:r>
    </w:p>
    <w:p w14:paraId="44050CF7"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2.</w:t>
      </w:r>
      <w:r w:rsidRPr="00D05C85">
        <w:rPr>
          <w:iCs/>
          <w:lang w:val="fr-FR"/>
        </w:rPr>
        <w:tab/>
      </w:r>
      <w:r w:rsidRPr="00D05C85">
        <w:rPr>
          <w:bCs/>
          <w:lang w:val="fr-FR"/>
        </w:rPr>
        <w:t>Définitions</w:t>
      </w:r>
      <w:r w:rsidRPr="00D05C85">
        <w:rPr>
          <w:iCs/>
          <w:lang w:val="fr-FR"/>
        </w:rPr>
        <w:tab/>
      </w:r>
      <w:r w:rsidRPr="00D05C85">
        <w:rPr>
          <w:iCs/>
          <w:lang w:val="fr-FR"/>
        </w:rPr>
        <w:tab/>
        <w:t>3</w:t>
      </w:r>
    </w:p>
    <w:p w14:paraId="10CF3C45"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3.</w:t>
      </w:r>
      <w:r w:rsidRPr="00D05C85">
        <w:rPr>
          <w:iCs/>
          <w:lang w:val="fr-FR"/>
        </w:rPr>
        <w:tab/>
      </w:r>
      <w:r w:rsidRPr="00D05C85">
        <w:rPr>
          <w:bCs/>
          <w:lang w:val="fr-FR"/>
        </w:rPr>
        <w:t>Dispositions administratives</w:t>
      </w:r>
      <w:r w:rsidRPr="00D05C85">
        <w:rPr>
          <w:iCs/>
          <w:lang w:val="fr-FR"/>
        </w:rPr>
        <w:tab/>
      </w:r>
      <w:r w:rsidRPr="00D05C85">
        <w:rPr>
          <w:iCs/>
          <w:lang w:val="fr-FR"/>
        </w:rPr>
        <w:tab/>
        <w:t>4</w:t>
      </w:r>
    </w:p>
    <w:p w14:paraId="7947E30D"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4.</w:t>
      </w:r>
      <w:r w:rsidRPr="00D05C85">
        <w:rPr>
          <w:iCs/>
          <w:lang w:val="fr-FR"/>
        </w:rPr>
        <w:tab/>
      </w:r>
      <w:r w:rsidRPr="00D05C85">
        <w:rPr>
          <w:bCs/>
          <w:lang w:val="fr-FR"/>
        </w:rPr>
        <w:t>Prescriptions techniques générales</w:t>
      </w:r>
      <w:r w:rsidRPr="00D05C85">
        <w:rPr>
          <w:iCs/>
          <w:lang w:val="fr-FR"/>
        </w:rPr>
        <w:tab/>
      </w:r>
      <w:r w:rsidRPr="00D05C85">
        <w:rPr>
          <w:iCs/>
          <w:lang w:val="fr-FR"/>
        </w:rPr>
        <w:tab/>
        <w:t>12</w:t>
      </w:r>
    </w:p>
    <w:p w14:paraId="55DE6E92"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5.</w:t>
      </w:r>
      <w:r w:rsidRPr="00D05C85">
        <w:rPr>
          <w:iCs/>
          <w:lang w:val="fr-FR"/>
        </w:rPr>
        <w:tab/>
      </w:r>
      <w:r w:rsidRPr="00D05C85">
        <w:rPr>
          <w:bCs/>
          <w:lang w:val="fr-FR"/>
        </w:rPr>
        <w:t>Prescriptions techniques particulières</w:t>
      </w:r>
      <w:r w:rsidRPr="00D05C85">
        <w:rPr>
          <w:iCs/>
          <w:lang w:val="fr-FR"/>
        </w:rPr>
        <w:tab/>
      </w:r>
      <w:r w:rsidRPr="00D05C85">
        <w:rPr>
          <w:iCs/>
          <w:lang w:val="fr-FR"/>
        </w:rPr>
        <w:tab/>
        <w:t>20</w:t>
      </w:r>
    </w:p>
    <w:p w14:paraId="5144B2D3"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6.</w:t>
      </w:r>
      <w:r w:rsidRPr="00D05C85">
        <w:rPr>
          <w:iCs/>
          <w:lang w:val="fr-FR"/>
        </w:rPr>
        <w:tab/>
      </w:r>
      <w:r w:rsidRPr="00D05C85">
        <w:rPr>
          <w:bCs/>
          <w:lang w:val="fr-FR"/>
        </w:rPr>
        <w:t>Conformité de la production</w:t>
      </w:r>
      <w:r w:rsidRPr="00D05C85">
        <w:rPr>
          <w:iCs/>
          <w:lang w:val="fr-FR"/>
        </w:rPr>
        <w:tab/>
      </w:r>
      <w:r w:rsidRPr="00D05C85">
        <w:rPr>
          <w:iCs/>
          <w:lang w:val="fr-FR"/>
        </w:rPr>
        <w:tab/>
        <w:t>30</w:t>
      </w:r>
    </w:p>
    <w:p w14:paraId="538D360C"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7.</w:t>
      </w:r>
      <w:r w:rsidRPr="00D05C85">
        <w:rPr>
          <w:iCs/>
          <w:lang w:val="fr-FR"/>
        </w:rPr>
        <w:tab/>
      </w:r>
      <w:r w:rsidRPr="00D05C85">
        <w:rPr>
          <w:bCs/>
          <w:lang w:val="fr-FR"/>
        </w:rPr>
        <w:t>Dispositions transitoires</w:t>
      </w:r>
      <w:r w:rsidRPr="00D05C85">
        <w:rPr>
          <w:iCs/>
          <w:lang w:val="fr-FR"/>
        </w:rPr>
        <w:tab/>
      </w:r>
      <w:r w:rsidRPr="00D05C85">
        <w:rPr>
          <w:iCs/>
          <w:lang w:val="fr-FR"/>
        </w:rPr>
        <w:tab/>
        <w:t>31</w:t>
      </w:r>
    </w:p>
    <w:p w14:paraId="6B5F4BB0" w14:textId="77777777" w:rsidR="00AF2126" w:rsidRPr="00D05C85" w:rsidRDefault="00AF2126" w:rsidP="00AF2126">
      <w:pPr>
        <w:tabs>
          <w:tab w:val="right" w:pos="850"/>
        </w:tabs>
        <w:spacing w:after="120"/>
        <w:rPr>
          <w:lang w:val="fr-FR"/>
        </w:rPr>
      </w:pPr>
      <w:r w:rsidRPr="00D05C85">
        <w:rPr>
          <w:lang w:val="fr-FR"/>
        </w:rPr>
        <w:tab/>
        <w:t>Annexes</w:t>
      </w:r>
    </w:p>
    <w:p w14:paraId="41E79D44"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1.</w:t>
      </w:r>
      <w:r w:rsidRPr="00D05C85">
        <w:rPr>
          <w:iCs/>
          <w:lang w:val="fr-FR"/>
        </w:rPr>
        <w:tab/>
      </w:r>
      <w:r w:rsidRPr="00D05C85">
        <w:rPr>
          <w:lang w:val="fr-FR"/>
        </w:rPr>
        <w:t>Communication</w:t>
      </w:r>
      <w:r w:rsidRPr="00D05C85">
        <w:rPr>
          <w:iCs/>
          <w:lang w:val="fr-FR"/>
        </w:rPr>
        <w:tab/>
      </w:r>
      <w:r w:rsidRPr="00D05C85">
        <w:rPr>
          <w:iCs/>
          <w:lang w:val="fr-FR"/>
        </w:rPr>
        <w:tab/>
        <w:t>33</w:t>
      </w:r>
    </w:p>
    <w:p w14:paraId="6D891D21"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2.</w:t>
      </w:r>
      <w:r w:rsidRPr="00D05C85">
        <w:rPr>
          <w:iCs/>
          <w:lang w:val="fr-FR"/>
        </w:rPr>
        <w:tab/>
      </w:r>
      <w:r w:rsidRPr="00D05C85">
        <w:rPr>
          <w:lang w:val="fr-FR"/>
        </w:rPr>
        <w:t>Angles de visibilité géométrique</w:t>
      </w:r>
      <w:r w:rsidRPr="00D05C85">
        <w:rPr>
          <w:iCs/>
          <w:lang w:val="fr-FR"/>
        </w:rPr>
        <w:tab/>
      </w:r>
      <w:r w:rsidRPr="00D05C85">
        <w:rPr>
          <w:iCs/>
          <w:lang w:val="fr-FR"/>
        </w:rPr>
        <w:tab/>
        <w:t>36</w:t>
      </w:r>
    </w:p>
    <w:p w14:paraId="402F7C9D"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3.</w:t>
      </w:r>
      <w:r w:rsidRPr="00D05C85">
        <w:rPr>
          <w:iCs/>
          <w:lang w:val="fr-FR"/>
        </w:rPr>
        <w:tab/>
      </w:r>
      <w:r w:rsidRPr="00D05C85">
        <w:rPr>
          <w:lang w:val="fr-FR"/>
        </w:rPr>
        <w:t>Répartition normalisée de la lumière</w:t>
      </w:r>
      <w:r w:rsidRPr="00D05C85">
        <w:rPr>
          <w:iCs/>
          <w:lang w:val="fr-FR"/>
        </w:rPr>
        <w:tab/>
      </w:r>
      <w:r w:rsidRPr="00D05C85">
        <w:rPr>
          <w:iCs/>
          <w:lang w:val="fr-FR"/>
        </w:rPr>
        <w:tab/>
        <w:t>41</w:t>
      </w:r>
    </w:p>
    <w:p w14:paraId="78CC762A"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4.</w:t>
      </w:r>
      <w:r w:rsidRPr="00D05C85">
        <w:rPr>
          <w:iCs/>
          <w:lang w:val="fr-FR"/>
        </w:rPr>
        <w:tab/>
      </w:r>
      <w:r w:rsidRPr="00D05C85">
        <w:rPr>
          <w:lang w:val="fr-FR"/>
        </w:rPr>
        <w:t xml:space="preserve">Prescriptions minimales concernant les procédures de contrôle de la conformité </w:t>
      </w:r>
      <w:r w:rsidRPr="00D05C85">
        <w:rPr>
          <w:lang w:val="fr-FR"/>
        </w:rPr>
        <w:br/>
        <w:t>de la production</w:t>
      </w:r>
      <w:r w:rsidRPr="00D05C85">
        <w:rPr>
          <w:iCs/>
          <w:lang w:val="fr-FR"/>
        </w:rPr>
        <w:tab/>
      </w:r>
      <w:r w:rsidRPr="00D05C85">
        <w:rPr>
          <w:iCs/>
          <w:lang w:val="fr-FR"/>
        </w:rPr>
        <w:tab/>
        <w:t>49</w:t>
      </w:r>
    </w:p>
    <w:p w14:paraId="56DE0F02"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5.</w:t>
      </w:r>
      <w:r w:rsidRPr="00D05C85">
        <w:rPr>
          <w:iCs/>
          <w:lang w:val="fr-FR"/>
        </w:rPr>
        <w:tab/>
      </w:r>
      <w:r w:rsidRPr="00D05C85">
        <w:rPr>
          <w:lang w:val="fr-FR"/>
        </w:rPr>
        <w:t>Prescriptions minimales concernant l’échantillonnage fait par un inspecteur</w:t>
      </w:r>
      <w:r w:rsidRPr="00D05C85">
        <w:rPr>
          <w:iCs/>
          <w:lang w:val="fr-FR"/>
        </w:rPr>
        <w:tab/>
      </w:r>
      <w:r w:rsidRPr="00D05C85">
        <w:rPr>
          <w:iCs/>
          <w:lang w:val="fr-FR"/>
        </w:rPr>
        <w:tab/>
        <w:t>51</w:t>
      </w:r>
    </w:p>
    <w:p w14:paraId="1FF2B358" w14:textId="7A138C96"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6.</w:t>
      </w:r>
      <w:r w:rsidRPr="00D05C85">
        <w:rPr>
          <w:iCs/>
          <w:lang w:val="fr-FR"/>
        </w:rPr>
        <w:tab/>
      </w:r>
      <w:r w:rsidRPr="00D05C85">
        <w:rPr>
          <w:lang w:val="fr-FR"/>
        </w:rPr>
        <w:t xml:space="preserve">Essai de résistance à la chaleur pour les feux de brouillard arrière </w:t>
      </w:r>
      <w:r w:rsidR="00910B33">
        <w:rPr>
          <w:lang w:val="fr-FR"/>
        </w:rPr>
        <w:t xml:space="preserve">et </w:t>
      </w:r>
      <w:r w:rsidRPr="00D05C85">
        <w:rPr>
          <w:lang w:val="fr-FR"/>
        </w:rPr>
        <w:t xml:space="preserve">les feux </w:t>
      </w:r>
      <w:r w:rsidRPr="00D05C85">
        <w:rPr>
          <w:lang w:val="fr-FR"/>
        </w:rPr>
        <w:br/>
        <w:t>de circulation diurne</w:t>
      </w:r>
      <w:r w:rsidRPr="00D05C85">
        <w:rPr>
          <w:iCs/>
          <w:lang w:val="fr-FR"/>
        </w:rPr>
        <w:tab/>
      </w:r>
      <w:r w:rsidRPr="00D05C85">
        <w:rPr>
          <w:iCs/>
          <w:lang w:val="fr-FR"/>
        </w:rPr>
        <w:tab/>
        <w:t>53</w:t>
      </w:r>
    </w:p>
    <w:p w14:paraId="3CD6F4DC" w14:textId="77777777" w:rsidR="00AF2126" w:rsidRPr="00D05C85" w:rsidRDefault="00AF2126" w:rsidP="00AF2126">
      <w:pPr>
        <w:tabs>
          <w:tab w:val="right" w:pos="850"/>
          <w:tab w:val="right" w:leader="dot" w:pos="8787"/>
          <w:tab w:val="right" w:pos="9638"/>
        </w:tabs>
        <w:spacing w:after="120"/>
        <w:ind w:left="1134" w:hanging="1134"/>
        <w:rPr>
          <w:iCs/>
          <w:lang w:val="fr-FR"/>
        </w:rPr>
      </w:pPr>
      <w:r w:rsidRPr="00D05C85">
        <w:rPr>
          <w:iCs/>
          <w:lang w:val="fr-FR"/>
        </w:rPr>
        <w:tab/>
        <w:t>7.</w:t>
      </w:r>
      <w:r w:rsidRPr="00D05C85">
        <w:rPr>
          <w:iCs/>
          <w:lang w:val="fr-FR"/>
        </w:rPr>
        <w:tab/>
      </w:r>
      <w:r w:rsidRPr="00D05C85">
        <w:rPr>
          <w:lang w:val="fr-FR"/>
        </w:rPr>
        <w:t>Exemples de marques d’homologation</w:t>
      </w:r>
      <w:r w:rsidRPr="00D05C85">
        <w:rPr>
          <w:iCs/>
          <w:lang w:val="fr-FR"/>
        </w:rPr>
        <w:tab/>
      </w:r>
      <w:r w:rsidRPr="00D05C85">
        <w:rPr>
          <w:iCs/>
          <w:lang w:val="fr-FR"/>
        </w:rPr>
        <w:tab/>
        <w:t>54</w:t>
      </w:r>
    </w:p>
    <w:p w14:paraId="1D7C771D" w14:textId="77777777" w:rsidR="00AF2126" w:rsidRPr="00D05C85" w:rsidRDefault="00AF2126" w:rsidP="00AF2126">
      <w:pPr>
        <w:tabs>
          <w:tab w:val="right" w:pos="850"/>
          <w:tab w:val="right" w:leader="dot" w:pos="8787"/>
          <w:tab w:val="right" w:pos="9638"/>
        </w:tabs>
        <w:spacing w:after="120"/>
        <w:ind w:left="1134" w:hanging="1134"/>
        <w:rPr>
          <w:lang w:val="fr-FR"/>
        </w:rPr>
      </w:pPr>
      <w:r w:rsidRPr="00D05C85">
        <w:rPr>
          <w:lang w:val="fr-FR"/>
        </w:rPr>
        <w:tab/>
        <w:t>8.</w:t>
      </w:r>
      <w:r w:rsidRPr="00D05C85">
        <w:rPr>
          <w:lang w:val="fr-FR"/>
        </w:rPr>
        <w:tab/>
        <w:t>Procédures d’essai applicables aux sources lumineuses</w:t>
      </w:r>
      <w:r w:rsidRPr="00D05C85">
        <w:rPr>
          <w:lang w:val="fr-FR"/>
        </w:rPr>
        <w:tab/>
      </w:r>
      <w:r w:rsidRPr="00D05C85">
        <w:rPr>
          <w:lang w:val="fr-FR"/>
        </w:rPr>
        <w:tab/>
        <w:t>57</w:t>
      </w:r>
    </w:p>
    <w:p w14:paraId="4AF2492F" w14:textId="77777777" w:rsidR="00AF2126" w:rsidRPr="00D05C85" w:rsidRDefault="00AF2126" w:rsidP="00AF2126">
      <w:pPr>
        <w:rPr>
          <w:lang w:val="fr-FR"/>
        </w:rPr>
      </w:pPr>
      <w:r w:rsidRPr="00D05C85">
        <w:rPr>
          <w:lang w:val="fr-FR"/>
        </w:rPr>
        <w:br w:type="page"/>
      </w:r>
    </w:p>
    <w:p w14:paraId="4BEE6C03" w14:textId="77777777" w:rsidR="00AF2126" w:rsidRPr="00D05C85" w:rsidRDefault="00AF2126" w:rsidP="00AF2126">
      <w:pPr>
        <w:pStyle w:val="HChG"/>
        <w:rPr>
          <w:lang w:val="fr-FR"/>
        </w:rPr>
      </w:pPr>
      <w:r w:rsidRPr="00D05C85">
        <w:rPr>
          <w:lang w:val="fr-FR"/>
        </w:rPr>
        <w:lastRenderedPageBreak/>
        <w:tab/>
      </w:r>
      <w:r w:rsidRPr="00D05C85">
        <w:rPr>
          <w:lang w:val="fr-FR"/>
        </w:rPr>
        <w:tab/>
        <w:t>Introduction (pour information)</w:t>
      </w:r>
    </w:p>
    <w:p w14:paraId="14B28410" w14:textId="6DC2E6A8" w:rsidR="00AF2126" w:rsidRPr="00D05C85" w:rsidRDefault="00AF2126" w:rsidP="00AF2126">
      <w:pPr>
        <w:pStyle w:val="SingleTxtG"/>
        <w:rPr>
          <w:rFonts w:eastAsia="Times New Roman"/>
          <w:lang w:val="fr-FR"/>
        </w:rPr>
      </w:pPr>
      <w:r w:rsidRPr="00D05C85">
        <w:rPr>
          <w:lang w:val="fr-FR"/>
        </w:rPr>
        <w:tab/>
      </w:r>
      <w:r w:rsidRPr="00D05C85">
        <w:rPr>
          <w:lang w:val="fr-FR"/>
        </w:rPr>
        <w:tab/>
        <w:t>Le présent Règlement regroupe les dispositions des Règlements ONU n</w:t>
      </w:r>
      <w:r w:rsidRPr="00D05C85">
        <w:rPr>
          <w:vertAlign w:val="superscript"/>
          <w:lang w:val="fr-FR"/>
        </w:rPr>
        <w:t>os</w:t>
      </w:r>
      <w:r w:rsidRPr="00D05C85">
        <w:rPr>
          <w:lang w:val="fr-FR"/>
        </w:rPr>
        <w:t xml:space="preserve"> 4, 6, 7, 23, 38, 50, 77, 87 </w:t>
      </w:r>
      <w:r w:rsidR="00910B33">
        <w:rPr>
          <w:lang w:val="fr-FR"/>
        </w:rPr>
        <w:t xml:space="preserve">et </w:t>
      </w:r>
      <w:r w:rsidRPr="00D05C85">
        <w:rPr>
          <w:lang w:val="fr-FR"/>
        </w:rPr>
        <w:t xml:space="preserve">91 en un Règlement unique, en application de la décision prise par le Forum mondial de l’harmonisation des Règlements concernant les véhicules (WP.29) de simplifier les Règlements relatifs à l’éclairage </w:t>
      </w:r>
      <w:r w:rsidR="00910B33">
        <w:rPr>
          <w:lang w:val="fr-FR"/>
        </w:rPr>
        <w:t xml:space="preserve">et </w:t>
      </w:r>
      <w:r w:rsidRPr="00D05C85">
        <w:rPr>
          <w:lang w:val="fr-FR"/>
        </w:rPr>
        <w:t xml:space="preserve">à la signalisation lumineuse sur la base de la proposition initiale soumise par l’Union européenne </w:t>
      </w:r>
      <w:r w:rsidR="00910B33">
        <w:rPr>
          <w:lang w:val="fr-FR"/>
        </w:rPr>
        <w:t xml:space="preserve">et </w:t>
      </w:r>
      <w:r w:rsidRPr="00D05C85">
        <w:rPr>
          <w:lang w:val="fr-FR"/>
        </w:rPr>
        <w:t>le Japon.</w:t>
      </w:r>
    </w:p>
    <w:p w14:paraId="1F810C8B" w14:textId="4E37ACAA" w:rsidR="00AF2126" w:rsidRPr="00D05C85" w:rsidRDefault="00AF2126" w:rsidP="00AF2126">
      <w:pPr>
        <w:pStyle w:val="SingleTxtG"/>
        <w:rPr>
          <w:rFonts w:eastAsia="Times New Roman"/>
          <w:lang w:val="fr-FR"/>
        </w:rPr>
      </w:pPr>
      <w:r w:rsidRPr="00D05C85">
        <w:rPr>
          <w:lang w:val="fr-FR"/>
        </w:rPr>
        <w:tab/>
      </w:r>
      <w:r w:rsidRPr="00D05C85">
        <w:rPr>
          <w:lang w:val="fr-FR"/>
        </w:rPr>
        <w:tab/>
        <w:t>Le présent Règlement a pour obj</w:t>
      </w:r>
      <w:r w:rsidR="00910B33">
        <w:rPr>
          <w:lang w:val="fr-FR"/>
        </w:rPr>
        <w:t xml:space="preserve">et </w:t>
      </w:r>
      <w:r w:rsidRPr="00D05C85">
        <w:rPr>
          <w:lang w:val="fr-FR"/>
        </w:rPr>
        <w:t xml:space="preserve">de clarifier, de synthétiser </w:t>
      </w:r>
      <w:r w:rsidR="00910B33">
        <w:rPr>
          <w:lang w:val="fr-FR"/>
        </w:rPr>
        <w:t xml:space="preserve">et </w:t>
      </w:r>
      <w:r w:rsidRPr="00D05C85">
        <w:rPr>
          <w:lang w:val="fr-FR"/>
        </w:rPr>
        <w:t>de simplifier les prescriptions des Règlements ONU n</w:t>
      </w:r>
      <w:r w:rsidRPr="00D05C85">
        <w:rPr>
          <w:vertAlign w:val="superscript"/>
          <w:lang w:val="fr-FR"/>
        </w:rPr>
        <w:t>os</w:t>
      </w:r>
      <w:r w:rsidRPr="00D05C85">
        <w:rPr>
          <w:lang w:val="fr-FR"/>
        </w:rPr>
        <w:t xml:space="preserve"> 4, 6, 7, 23, 38, 50, 77, 87 </w:t>
      </w:r>
      <w:r w:rsidR="00910B33">
        <w:rPr>
          <w:lang w:val="fr-FR"/>
        </w:rPr>
        <w:t xml:space="preserve">et </w:t>
      </w:r>
      <w:r w:rsidRPr="00D05C85">
        <w:rPr>
          <w:lang w:val="fr-FR"/>
        </w:rPr>
        <w:t xml:space="preserve">91 </w:t>
      </w:r>
      <w:r w:rsidR="00910B33">
        <w:rPr>
          <w:lang w:val="fr-FR"/>
        </w:rPr>
        <w:t xml:space="preserve">et </w:t>
      </w:r>
      <w:r w:rsidRPr="00D05C85">
        <w:rPr>
          <w:lang w:val="fr-FR"/>
        </w:rPr>
        <w:t>de préparer le terrain pour la transition à des prescriptions fonctionnelles, en réduisant le nombre des Règlements en apportant des modifications de forme sans toutefois modifier la moindre prescription technique applicable à la date d’entrée en vigueur du présent Règlement. En introduisant la série originale d’amendements au Règlement ONU n</w:t>
      </w:r>
      <w:r w:rsidRPr="00D05C85">
        <w:rPr>
          <w:vertAlign w:val="superscript"/>
          <w:lang w:val="fr-FR"/>
        </w:rPr>
        <w:t>o</w:t>
      </w:r>
      <w:r w:rsidRPr="00D05C85">
        <w:rPr>
          <w:lang w:val="fr-FR"/>
        </w:rPr>
        <w:t xml:space="preserve"> 148, le groupe de travail informel de la simplification des Règlements relatifs à l’éclairage </w:t>
      </w:r>
      <w:r w:rsidR="00910B33">
        <w:rPr>
          <w:lang w:val="fr-FR"/>
        </w:rPr>
        <w:t xml:space="preserve">et </w:t>
      </w:r>
      <w:r w:rsidRPr="00D05C85">
        <w:rPr>
          <w:lang w:val="fr-FR"/>
        </w:rPr>
        <w:t xml:space="preserve">à la signalisation lumineuse, qui relève du Groupe de travail de l’éclairage </w:t>
      </w:r>
      <w:r w:rsidR="00910B33">
        <w:rPr>
          <w:lang w:val="fr-FR"/>
        </w:rPr>
        <w:t xml:space="preserve">et </w:t>
      </w:r>
      <w:r w:rsidRPr="00D05C85">
        <w:rPr>
          <w:lang w:val="fr-FR"/>
        </w:rPr>
        <w:t>de la signalisation lumineuse, avait ainsi atteint l’un de ses objectifs.</w:t>
      </w:r>
    </w:p>
    <w:p w14:paraId="34CAE2D9" w14:textId="2E790FFF" w:rsidR="00AF2126" w:rsidRPr="00D05C85" w:rsidRDefault="00AF2126" w:rsidP="00AF2126">
      <w:pPr>
        <w:pStyle w:val="SingleTxtG"/>
        <w:rPr>
          <w:rFonts w:eastAsia="Times New Roman"/>
          <w:lang w:val="fr-FR"/>
        </w:rPr>
      </w:pPr>
      <w:r w:rsidRPr="00D05C85">
        <w:rPr>
          <w:lang w:val="fr-FR"/>
        </w:rPr>
        <w:tab/>
      </w:r>
      <w:r w:rsidRPr="00D05C85">
        <w:rPr>
          <w:lang w:val="fr-FR"/>
        </w:rPr>
        <w:tab/>
        <w:t>Avec l’introduction de la série 01 d’amendements au Règlement ONU n</w:t>
      </w:r>
      <w:r w:rsidRPr="00D05C85">
        <w:rPr>
          <w:vertAlign w:val="superscript"/>
          <w:lang w:val="fr-FR"/>
        </w:rPr>
        <w:t>o</w:t>
      </w:r>
      <w:r w:rsidRPr="00D05C85">
        <w:rPr>
          <w:lang w:val="fr-FR"/>
        </w:rPr>
        <w:t xml:space="preserve"> 148, un nouvel objectif du groupe de travail informel a été atteint. Cette nouvelle série d’amendements intègre les modifications </w:t>
      </w:r>
      <w:r w:rsidR="00910B33">
        <w:rPr>
          <w:lang w:val="fr-FR"/>
        </w:rPr>
        <w:t xml:space="preserve">et </w:t>
      </w:r>
      <w:r w:rsidRPr="00D05C85">
        <w:rPr>
          <w:lang w:val="fr-FR"/>
        </w:rPr>
        <w:t xml:space="preserve">les clarifications apportées au Règlement de sorte que, dans toute la mesure du possible à l’heure actuelle, le texte soit neutre sur le plan technologique, repose sur des prescriptions fonctionnelles </w:t>
      </w:r>
      <w:r w:rsidR="00910B33">
        <w:rPr>
          <w:lang w:val="fr-FR"/>
        </w:rPr>
        <w:t xml:space="preserve">et </w:t>
      </w:r>
      <w:r w:rsidRPr="00D05C85">
        <w:rPr>
          <w:lang w:val="fr-FR"/>
        </w:rPr>
        <w:t>prévoie des conditions d’essai objectives. Elle va de pair avec des amendements correspondants aux Règlements ONU n</w:t>
      </w:r>
      <w:r w:rsidRPr="00D05C85">
        <w:rPr>
          <w:vertAlign w:val="superscript"/>
          <w:lang w:val="fr-FR"/>
        </w:rPr>
        <w:t>os</w:t>
      </w:r>
      <w:r w:rsidRPr="00D05C85">
        <w:rPr>
          <w:lang w:val="fr-FR"/>
        </w:rPr>
        <w:t xml:space="preserve"> 48, 53, 74 </w:t>
      </w:r>
      <w:r w:rsidR="00910B33">
        <w:rPr>
          <w:lang w:val="fr-FR"/>
        </w:rPr>
        <w:t xml:space="preserve">et </w:t>
      </w:r>
      <w:r w:rsidRPr="00D05C85">
        <w:rPr>
          <w:lang w:val="fr-FR"/>
        </w:rPr>
        <w:t xml:space="preserve">86 relatifs à l’installation des dispositifs d’éclairage </w:t>
      </w:r>
      <w:r w:rsidR="00910B33">
        <w:rPr>
          <w:lang w:val="fr-FR"/>
        </w:rPr>
        <w:t xml:space="preserve">et </w:t>
      </w:r>
      <w:r w:rsidRPr="00D05C85">
        <w:rPr>
          <w:lang w:val="fr-FR"/>
        </w:rPr>
        <w:t xml:space="preserve">de signalisation lumineuse. </w:t>
      </w:r>
    </w:p>
    <w:p w14:paraId="666D7B11" w14:textId="77777777" w:rsidR="00AF2126" w:rsidRPr="00D05C85" w:rsidRDefault="00AF2126" w:rsidP="00AF2126">
      <w:pPr>
        <w:pStyle w:val="HChG"/>
        <w:tabs>
          <w:tab w:val="clear" w:pos="851"/>
          <w:tab w:val="right" w:pos="1134"/>
        </w:tabs>
        <w:ind w:left="2268"/>
        <w:outlineLvl w:val="0"/>
        <w:rPr>
          <w:lang w:val="fr-FR"/>
        </w:rPr>
      </w:pPr>
      <w:r w:rsidRPr="00D05C85">
        <w:rPr>
          <w:lang w:val="fr-FR"/>
        </w:rPr>
        <w:t>1.</w:t>
      </w:r>
      <w:r w:rsidRPr="00D05C85">
        <w:rPr>
          <w:lang w:val="fr-FR"/>
        </w:rPr>
        <w:tab/>
      </w:r>
      <w:r w:rsidRPr="00D05C85">
        <w:rPr>
          <w:lang w:val="fr-FR"/>
        </w:rPr>
        <w:tab/>
      </w:r>
      <w:r w:rsidRPr="00D05C85">
        <w:rPr>
          <w:bCs/>
          <w:lang w:val="fr-FR"/>
        </w:rPr>
        <w:t>Domaine d’application</w:t>
      </w:r>
    </w:p>
    <w:p w14:paraId="11172C05" w14:textId="77777777" w:rsidR="00AF2126" w:rsidRPr="00D05C85" w:rsidRDefault="00AF2126" w:rsidP="00AF2126">
      <w:pPr>
        <w:pStyle w:val="SingleTxtG"/>
        <w:ind w:left="2268"/>
        <w:rPr>
          <w:lang w:val="fr-FR"/>
        </w:rPr>
      </w:pPr>
      <w:r w:rsidRPr="00D05C85">
        <w:rPr>
          <w:lang w:val="fr-FR"/>
        </w:rPr>
        <w:t>Le présent Règlement s’applique aux dispositifs (feux) de signalisation lumineuse suivants :</w:t>
      </w:r>
    </w:p>
    <w:p w14:paraId="4100846C" w14:textId="77777777" w:rsidR="00AF2126" w:rsidRPr="00D05C85" w:rsidRDefault="00AF2126" w:rsidP="00AF2126">
      <w:pPr>
        <w:pStyle w:val="Bullet1G"/>
        <w:numPr>
          <w:ilvl w:val="0"/>
          <w:numId w:val="1"/>
        </w:numPr>
        <w:ind w:left="2438"/>
        <w:rPr>
          <w:lang w:val="fr-FR"/>
        </w:rPr>
      </w:pPr>
      <w:r w:rsidRPr="00D05C85">
        <w:rPr>
          <w:lang w:val="fr-FR"/>
        </w:rPr>
        <w:t>Feux d’éclairage de la plaque d’immatriculation arrière ;</w:t>
      </w:r>
    </w:p>
    <w:p w14:paraId="4BE4FD73" w14:textId="77777777" w:rsidR="00AF2126" w:rsidRPr="00D05C85" w:rsidRDefault="00AF2126" w:rsidP="00AF2126">
      <w:pPr>
        <w:pStyle w:val="Bullet1G"/>
        <w:numPr>
          <w:ilvl w:val="0"/>
          <w:numId w:val="1"/>
        </w:numPr>
        <w:ind w:left="2438"/>
        <w:rPr>
          <w:lang w:val="fr-FR"/>
        </w:rPr>
      </w:pPr>
      <w:r w:rsidRPr="00D05C85">
        <w:rPr>
          <w:lang w:val="fr-FR"/>
        </w:rPr>
        <w:t>Feux indicateurs de direction ;</w:t>
      </w:r>
    </w:p>
    <w:p w14:paraId="2ADBF2EE" w14:textId="77777777" w:rsidR="00AF2126" w:rsidRPr="00D05C85" w:rsidRDefault="00AF2126" w:rsidP="00AF2126">
      <w:pPr>
        <w:pStyle w:val="Bullet1G"/>
        <w:numPr>
          <w:ilvl w:val="0"/>
          <w:numId w:val="1"/>
        </w:numPr>
        <w:ind w:left="2438"/>
        <w:rPr>
          <w:lang w:val="fr-FR"/>
        </w:rPr>
      </w:pPr>
      <w:r w:rsidRPr="00D05C85">
        <w:rPr>
          <w:lang w:val="fr-FR"/>
        </w:rPr>
        <w:t>Feux de position ;</w:t>
      </w:r>
    </w:p>
    <w:p w14:paraId="5303593F" w14:textId="77777777" w:rsidR="00AF2126" w:rsidRPr="00D05C85" w:rsidRDefault="00AF2126" w:rsidP="00AF2126">
      <w:pPr>
        <w:pStyle w:val="Bullet1G"/>
        <w:numPr>
          <w:ilvl w:val="0"/>
          <w:numId w:val="1"/>
        </w:numPr>
        <w:ind w:left="2438"/>
        <w:rPr>
          <w:lang w:val="fr-FR"/>
        </w:rPr>
      </w:pPr>
      <w:r w:rsidRPr="00D05C85">
        <w:rPr>
          <w:lang w:val="fr-FR"/>
        </w:rPr>
        <w:t>Feux-stop ;</w:t>
      </w:r>
    </w:p>
    <w:p w14:paraId="428395FC" w14:textId="77777777" w:rsidR="00AF2126" w:rsidRPr="00D05C85" w:rsidRDefault="00AF2126" w:rsidP="00AF2126">
      <w:pPr>
        <w:pStyle w:val="Bullet1G"/>
        <w:numPr>
          <w:ilvl w:val="0"/>
          <w:numId w:val="1"/>
        </w:numPr>
        <w:ind w:left="2438"/>
        <w:rPr>
          <w:lang w:val="fr-FR"/>
        </w:rPr>
      </w:pPr>
      <w:r w:rsidRPr="00D05C85">
        <w:rPr>
          <w:lang w:val="fr-FR"/>
        </w:rPr>
        <w:t>Feux d’encombrement ;</w:t>
      </w:r>
    </w:p>
    <w:p w14:paraId="4D1DC50E" w14:textId="77777777" w:rsidR="00AF2126" w:rsidRPr="00D05C85" w:rsidRDefault="00AF2126" w:rsidP="00AF2126">
      <w:pPr>
        <w:pStyle w:val="Bullet1G"/>
        <w:numPr>
          <w:ilvl w:val="0"/>
          <w:numId w:val="1"/>
        </w:numPr>
        <w:ind w:left="2438"/>
        <w:rPr>
          <w:lang w:val="fr-FR"/>
        </w:rPr>
      </w:pPr>
      <w:r w:rsidRPr="00D05C85">
        <w:rPr>
          <w:lang w:val="fr-FR"/>
        </w:rPr>
        <w:t>Feux de marche arrière ;</w:t>
      </w:r>
    </w:p>
    <w:p w14:paraId="0A1D8221" w14:textId="77777777" w:rsidR="00AF2126" w:rsidRPr="00D05C85" w:rsidRDefault="00AF2126" w:rsidP="00AF2126">
      <w:pPr>
        <w:pStyle w:val="Bullet1G"/>
        <w:numPr>
          <w:ilvl w:val="0"/>
          <w:numId w:val="1"/>
        </w:numPr>
        <w:ind w:left="2438"/>
        <w:rPr>
          <w:lang w:val="fr-FR"/>
        </w:rPr>
      </w:pPr>
      <w:r w:rsidRPr="00D05C85">
        <w:rPr>
          <w:lang w:val="fr-FR"/>
        </w:rPr>
        <w:t>Feux de manœuvre ;</w:t>
      </w:r>
    </w:p>
    <w:p w14:paraId="2915EFE0" w14:textId="77777777" w:rsidR="00AF2126" w:rsidRPr="00D05C85" w:rsidRDefault="00AF2126" w:rsidP="00AF2126">
      <w:pPr>
        <w:pStyle w:val="Bullet1G"/>
        <w:numPr>
          <w:ilvl w:val="0"/>
          <w:numId w:val="1"/>
        </w:numPr>
        <w:ind w:left="2438"/>
        <w:rPr>
          <w:lang w:val="fr-FR"/>
        </w:rPr>
      </w:pPr>
      <w:r w:rsidRPr="00D05C85">
        <w:rPr>
          <w:lang w:val="fr-FR"/>
        </w:rPr>
        <w:t>Feux de brouillard arrière ;</w:t>
      </w:r>
    </w:p>
    <w:p w14:paraId="49A02D94" w14:textId="77777777" w:rsidR="00AF2126" w:rsidRPr="00D05C85" w:rsidRDefault="00AF2126" w:rsidP="00AF2126">
      <w:pPr>
        <w:pStyle w:val="Bullet1G"/>
        <w:numPr>
          <w:ilvl w:val="0"/>
          <w:numId w:val="1"/>
        </w:numPr>
        <w:ind w:left="2438"/>
        <w:rPr>
          <w:lang w:val="fr-FR"/>
        </w:rPr>
      </w:pPr>
      <w:r w:rsidRPr="00D05C85">
        <w:rPr>
          <w:lang w:val="fr-FR"/>
        </w:rPr>
        <w:t>Feux de stationnement ;</w:t>
      </w:r>
    </w:p>
    <w:p w14:paraId="2101725D" w14:textId="77777777" w:rsidR="00AF2126" w:rsidRPr="00D05C85" w:rsidRDefault="00AF2126" w:rsidP="00AF2126">
      <w:pPr>
        <w:pStyle w:val="Bullet1G"/>
        <w:numPr>
          <w:ilvl w:val="0"/>
          <w:numId w:val="1"/>
        </w:numPr>
        <w:ind w:left="2438"/>
        <w:rPr>
          <w:lang w:val="fr-FR"/>
        </w:rPr>
      </w:pPr>
      <w:r w:rsidRPr="00D05C85">
        <w:rPr>
          <w:lang w:val="fr-FR"/>
        </w:rPr>
        <w:t>Feux de circulation diurne ;</w:t>
      </w:r>
    </w:p>
    <w:p w14:paraId="4F8D2D54" w14:textId="77777777" w:rsidR="00AF2126" w:rsidRPr="00D05C85" w:rsidRDefault="00AF2126" w:rsidP="00AF2126">
      <w:pPr>
        <w:pStyle w:val="Bullet1G"/>
        <w:numPr>
          <w:ilvl w:val="0"/>
          <w:numId w:val="1"/>
        </w:numPr>
        <w:ind w:left="2438"/>
        <w:rPr>
          <w:lang w:val="fr-FR"/>
        </w:rPr>
      </w:pPr>
      <w:r w:rsidRPr="00D05C85">
        <w:rPr>
          <w:lang w:val="fr-FR"/>
        </w:rPr>
        <w:t>Feux de position latéraux.</w:t>
      </w:r>
    </w:p>
    <w:p w14:paraId="7610DDA8" w14:textId="77777777" w:rsidR="00AF2126" w:rsidRPr="00D05C85" w:rsidRDefault="00AF2126" w:rsidP="00AF2126">
      <w:pPr>
        <w:pStyle w:val="HChG"/>
        <w:tabs>
          <w:tab w:val="clear" w:pos="851"/>
          <w:tab w:val="right" w:pos="1134"/>
        </w:tabs>
        <w:ind w:left="2268"/>
        <w:outlineLvl w:val="0"/>
        <w:rPr>
          <w:sz w:val="20"/>
          <w:lang w:val="fr-FR"/>
        </w:rPr>
      </w:pPr>
      <w:r w:rsidRPr="00D05C85">
        <w:rPr>
          <w:bCs/>
          <w:lang w:val="fr-FR"/>
        </w:rPr>
        <w:t>2.</w:t>
      </w:r>
      <w:r w:rsidRPr="00D05C85">
        <w:rPr>
          <w:lang w:val="fr-FR"/>
        </w:rPr>
        <w:tab/>
      </w:r>
      <w:r w:rsidRPr="00D05C85">
        <w:rPr>
          <w:bCs/>
          <w:lang w:val="fr-FR"/>
        </w:rPr>
        <w:t>Définitions</w:t>
      </w:r>
    </w:p>
    <w:p w14:paraId="001476B0" w14:textId="77777777" w:rsidR="00AF2126" w:rsidRPr="00D05C85" w:rsidRDefault="00AF2126" w:rsidP="00AF2126">
      <w:pPr>
        <w:pStyle w:val="SingleTxtG"/>
        <w:ind w:left="2268"/>
        <w:rPr>
          <w:lang w:val="fr-FR"/>
        </w:rPr>
      </w:pPr>
      <w:r w:rsidRPr="00D05C85">
        <w:rPr>
          <w:lang w:val="fr-FR"/>
        </w:rPr>
        <w:t>Aux fins du présent Règlement :</w:t>
      </w:r>
    </w:p>
    <w:p w14:paraId="2C19ECC5" w14:textId="5F008A8C" w:rsidR="00AF2126" w:rsidRPr="00D05C85" w:rsidRDefault="00AF2126" w:rsidP="00AF2126">
      <w:pPr>
        <w:pStyle w:val="SingleTxtG"/>
        <w:ind w:left="2268" w:hanging="1134"/>
        <w:rPr>
          <w:lang w:val="fr-FR"/>
        </w:rPr>
      </w:pPr>
      <w:r w:rsidRPr="00D05C85">
        <w:rPr>
          <w:lang w:val="fr-FR"/>
        </w:rPr>
        <w:t>2.1</w:t>
      </w:r>
      <w:r w:rsidRPr="00D05C85">
        <w:rPr>
          <w:lang w:val="fr-FR"/>
        </w:rPr>
        <w:tab/>
        <w:t>Sauf indication contraire dans le présent Règlement ou dans les Règlements ONU n</w:t>
      </w:r>
      <w:r w:rsidRPr="00D05C85">
        <w:rPr>
          <w:vertAlign w:val="superscript"/>
          <w:lang w:val="fr-FR"/>
        </w:rPr>
        <w:t>os</w:t>
      </w:r>
      <w:r w:rsidRPr="00D05C85">
        <w:rPr>
          <w:lang w:val="fr-FR"/>
        </w:rPr>
        <w:t xml:space="preserve"> 53, 74 </w:t>
      </w:r>
      <w:r w:rsidR="00910B33">
        <w:rPr>
          <w:lang w:val="fr-FR"/>
        </w:rPr>
        <w:t xml:space="preserve">et </w:t>
      </w:r>
      <w:r w:rsidRPr="00D05C85">
        <w:rPr>
          <w:lang w:val="fr-FR"/>
        </w:rPr>
        <w:t>86 concernant l’installation, toutes les définitions figurant dans le Règlement ONU n</w:t>
      </w:r>
      <w:r w:rsidRPr="00D05C85">
        <w:rPr>
          <w:vertAlign w:val="superscript"/>
          <w:lang w:val="fr-FR"/>
        </w:rPr>
        <w:t>o</w:t>
      </w:r>
      <w:r w:rsidRPr="00D05C85">
        <w:rPr>
          <w:lang w:val="fr-FR"/>
        </w:rPr>
        <w:t xml:space="preserve"> 48 </w:t>
      </w:r>
      <w:r w:rsidR="00910B33">
        <w:rPr>
          <w:lang w:val="fr-FR"/>
        </w:rPr>
        <w:t xml:space="preserve">et </w:t>
      </w:r>
      <w:r w:rsidRPr="00D05C85">
        <w:rPr>
          <w:lang w:val="fr-FR"/>
        </w:rPr>
        <w:t>les amendements y relatifs en vigueur à la date de la demande d’homologation de type sont applicables.</w:t>
      </w:r>
    </w:p>
    <w:p w14:paraId="799D0932" w14:textId="77777777" w:rsidR="00AF2126" w:rsidRPr="00D05C85" w:rsidRDefault="00AF2126" w:rsidP="00AF2126">
      <w:pPr>
        <w:pStyle w:val="SingleTxtG"/>
        <w:keepNext/>
        <w:ind w:left="2268" w:hanging="1134"/>
        <w:rPr>
          <w:lang w:val="fr-FR"/>
        </w:rPr>
      </w:pPr>
      <w:r w:rsidRPr="00D05C85">
        <w:rPr>
          <w:lang w:val="fr-FR"/>
        </w:rPr>
        <w:lastRenderedPageBreak/>
        <w:t>2.2</w:t>
      </w:r>
      <w:r w:rsidRPr="00D05C85">
        <w:rPr>
          <w:lang w:val="fr-FR"/>
        </w:rPr>
        <w:tab/>
        <w:t>On entend par “</w:t>
      </w:r>
      <w:r w:rsidRPr="00D05C85">
        <w:rPr>
          <w:i/>
          <w:iCs/>
          <w:lang w:val="fr-FR"/>
        </w:rPr>
        <w:t>feux de différents types</w:t>
      </w:r>
      <w:r w:rsidRPr="00D05C85">
        <w:rPr>
          <w:lang w:val="fr-FR"/>
        </w:rPr>
        <w:t>”, des feux qui présentent entre eux des différences essentielles pouvant porter notamment sur :</w:t>
      </w:r>
    </w:p>
    <w:p w14:paraId="1876C385" w14:textId="77777777" w:rsidR="00AF2126" w:rsidRPr="00D05C85" w:rsidRDefault="00AF2126" w:rsidP="00AF2126">
      <w:pPr>
        <w:pStyle w:val="SingleTxtG"/>
        <w:ind w:left="2835" w:hanging="567"/>
        <w:rPr>
          <w:lang w:val="fr-FR"/>
        </w:rPr>
      </w:pPr>
      <w:bookmarkStart w:id="1" w:name="_Toc473483453"/>
      <w:r w:rsidRPr="00D05C85">
        <w:rPr>
          <w:lang w:val="fr-FR"/>
        </w:rPr>
        <w:t>a)</w:t>
      </w:r>
      <w:r w:rsidRPr="00D05C85">
        <w:rPr>
          <w:lang w:val="fr-FR"/>
        </w:rPr>
        <w:tab/>
        <w:t>La marque de fabrique ou de commerce :</w:t>
      </w:r>
      <w:bookmarkEnd w:id="1"/>
    </w:p>
    <w:p w14:paraId="1F377EA4" w14:textId="77777777" w:rsidR="00AF2126" w:rsidRPr="00D05C85" w:rsidRDefault="00AF2126" w:rsidP="00AF2126">
      <w:pPr>
        <w:pStyle w:val="SingleTxtG"/>
        <w:ind w:left="3402" w:hanging="567"/>
        <w:rPr>
          <w:lang w:val="fr-FR"/>
        </w:rPr>
      </w:pPr>
      <w:bookmarkStart w:id="2" w:name="_Toc473483454"/>
      <w:r w:rsidRPr="00D05C85">
        <w:rPr>
          <w:lang w:val="fr-FR"/>
        </w:rPr>
        <w:t>i)</w:t>
      </w:r>
      <w:r w:rsidRPr="00D05C85">
        <w:rPr>
          <w:lang w:val="fr-FR"/>
        </w:rPr>
        <w:tab/>
        <w:t>Les feux portant la même marque de fabrique ou de commerce, mais produits par des fabricants différents, sont considérés comme étant de différents types ;</w:t>
      </w:r>
      <w:bookmarkEnd w:id="2"/>
    </w:p>
    <w:p w14:paraId="2F020B55" w14:textId="77777777" w:rsidR="00AF2126" w:rsidRPr="00D05C85" w:rsidRDefault="00AF2126" w:rsidP="00AF2126">
      <w:pPr>
        <w:pStyle w:val="SingleTxtG"/>
        <w:ind w:left="3402" w:hanging="567"/>
        <w:rPr>
          <w:lang w:val="fr-FR"/>
        </w:rPr>
      </w:pPr>
      <w:bookmarkStart w:id="3" w:name="_Toc473483455"/>
      <w:r w:rsidRPr="00D05C85">
        <w:rPr>
          <w:lang w:val="fr-FR"/>
        </w:rPr>
        <w:t>ii)</w:t>
      </w:r>
      <w:r w:rsidRPr="00D05C85">
        <w:rPr>
          <w:lang w:val="fr-FR"/>
        </w:rPr>
        <w:tab/>
        <w:t>Les feux produits par le même fabricant, ne différant entre eux que par la marque de fabrique ou de commerce, sont considérés comme étant du même type ;</w:t>
      </w:r>
      <w:bookmarkEnd w:id="3"/>
    </w:p>
    <w:p w14:paraId="7C7986BB" w14:textId="77777777" w:rsidR="00AF2126" w:rsidRPr="00D05C85" w:rsidRDefault="00AF2126" w:rsidP="00AF2126">
      <w:pPr>
        <w:pStyle w:val="SingleTxtG"/>
        <w:ind w:left="2835" w:hanging="567"/>
        <w:rPr>
          <w:lang w:val="fr-FR"/>
        </w:rPr>
      </w:pPr>
      <w:bookmarkStart w:id="4" w:name="_Toc473483456"/>
      <w:r w:rsidRPr="00D05C85">
        <w:rPr>
          <w:lang w:val="fr-FR"/>
        </w:rPr>
        <w:t>b)</w:t>
      </w:r>
      <w:r w:rsidRPr="00D05C85">
        <w:rPr>
          <w:lang w:val="fr-FR"/>
        </w:rPr>
        <w:tab/>
        <w:t>Les caractéristiques du système optique (niveaux d’intensité, angles de répartition de la lumière, adjonction ou suppression d’éléments susceptibles de modifier les effets optiques par réflexion, réfraction, absorption ou déformation pendant le fonctionnement, etc.) ;</w:t>
      </w:r>
      <w:bookmarkEnd w:id="4"/>
    </w:p>
    <w:p w14:paraId="5D329F61" w14:textId="77777777" w:rsidR="00AF2126" w:rsidRPr="00D05C85" w:rsidRDefault="00AF2126" w:rsidP="00AF2126">
      <w:pPr>
        <w:pStyle w:val="SingleTxtG"/>
        <w:ind w:left="2835" w:hanging="567"/>
        <w:rPr>
          <w:lang w:val="fr-FR"/>
        </w:rPr>
      </w:pPr>
      <w:bookmarkStart w:id="5" w:name="_Toc473483457"/>
      <w:r w:rsidRPr="00D05C85">
        <w:rPr>
          <w:lang w:val="fr-FR"/>
        </w:rPr>
        <w:t>c)</w:t>
      </w:r>
      <w:r w:rsidRPr="00D05C85">
        <w:rPr>
          <w:lang w:val="fr-FR"/>
        </w:rPr>
        <w:tab/>
        <w:t>Les catégories de sources lumineuses utilisées et/ou les codes d’identification propres aux modules d’éclairage concernés ;</w:t>
      </w:r>
      <w:bookmarkEnd w:id="5"/>
    </w:p>
    <w:p w14:paraId="7A19385B" w14:textId="77777777" w:rsidR="00AF2126" w:rsidRPr="00D05C85" w:rsidRDefault="00AF2126" w:rsidP="00AF2126">
      <w:pPr>
        <w:pStyle w:val="SingleTxtG"/>
        <w:ind w:left="2835" w:hanging="567"/>
        <w:rPr>
          <w:lang w:val="fr-FR"/>
        </w:rPr>
      </w:pPr>
      <w:r w:rsidRPr="00D05C85">
        <w:rPr>
          <w:lang w:val="fr-FR"/>
        </w:rPr>
        <w:t>d)</w:t>
      </w:r>
      <w:r w:rsidRPr="00D05C85">
        <w:rPr>
          <w:lang w:val="fr-FR"/>
        </w:rPr>
        <w:tab/>
        <w:t>La catégorie du feu, le cas échéant ;</w:t>
      </w:r>
      <w:bookmarkStart w:id="6" w:name="_Toc473483458"/>
      <w:bookmarkEnd w:id="6"/>
    </w:p>
    <w:p w14:paraId="3493FF62" w14:textId="77777777" w:rsidR="00AF2126" w:rsidRPr="00D05C85" w:rsidRDefault="00AF2126" w:rsidP="00AF2126">
      <w:pPr>
        <w:pStyle w:val="SingleTxtG"/>
        <w:ind w:left="2835" w:hanging="567"/>
        <w:rPr>
          <w:lang w:val="fr-FR"/>
        </w:rPr>
      </w:pPr>
      <w:r w:rsidRPr="00D05C85">
        <w:rPr>
          <w:lang w:val="fr-FR"/>
        </w:rPr>
        <w:t>e)</w:t>
      </w:r>
      <w:r w:rsidRPr="00D05C85">
        <w:rPr>
          <w:lang w:val="fr-FR"/>
        </w:rPr>
        <w:tab/>
        <w:t>Le régulateur d’intensité, le cas échéant ;</w:t>
      </w:r>
      <w:bookmarkStart w:id="7" w:name="_Toc473483459"/>
      <w:bookmarkEnd w:id="7"/>
    </w:p>
    <w:p w14:paraId="2CB9240D" w14:textId="77777777" w:rsidR="00AF2126" w:rsidRPr="00D05C85" w:rsidRDefault="00AF2126" w:rsidP="00AF2126">
      <w:pPr>
        <w:pStyle w:val="SingleTxtG"/>
        <w:ind w:left="2835" w:hanging="567"/>
        <w:rPr>
          <w:lang w:val="fr-FR"/>
        </w:rPr>
      </w:pPr>
      <w:r w:rsidRPr="00D05C85">
        <w:rPr>
          <w:lang w:val="fr-FR"/>
        </w:rPr>
        <w:t>f)</w:t>
      </w:r>
      <w:r w:rsidRPr="00D05C85">
        <w:rPr>
          <w:lang w:val="fr-FR"/>
        </w:rPr>
        <w:tab/>
        <w:t>L’activation séquentielle des sources lumineuses, le cas échéant.</w:t>
      </w:r>
      <w:bookmarkStart w:id="8" w:name="_Toc473483460"/>
      <w:bookmarkEnd w:id="8"/>
    </w:p>
    <w:p w14:paraId="55A8CB35" w14:textId="77777777" w:rsidR="00AF2126" w:rsidRPr="00D05C85" w:rsidRDefault="00AF2126" w:rsidP="00AF2126">
      <w:pPr>
        <w:pStyle w:val="SingleTxtG"/>
        <w:ind w:left="2268"/>
        <w:rPr>
          <w:lang w:val="fr-FR"/>
        </w:rPr>
      </w:pPr>
      <w:r w:rsidRPr="00D05C85">
        <w:rPr>
          <w:lang w:val="fr-FR"/>
        </w:rPr>
        <w:t>Néanmoins, les indicateurs de direction qui peuvent être allumés dans différents modes (séquentiels ou non) sans qu’intervienne une quelconque modification des caractéristiques optiques du feu ne constituent pas des “</w:t>
      </w:r>
      <w:r w:rsidRPr="00D05C85">
        <w:rPr>
          <w:i/>
          <w:iCs/>
          <w:lang w:val="fr-FR"/>
        </w:rPr>
        <w:t>indicateurs de direction de différents types</w:t>
      </w:r>
      <w:r w:rsidRPr="00D05C85">
        <w:rPr>
          <w:lang w:val="fr-FR"/>
        </w:rPr>
        <w:t>”.</w:t>
      </w:r>
    </w:p>
    <w:p w14:paraId="47888AD8" w14:textId="77777777" w:rsidR="00AF2126" w:rsidRPr="00D05C85" w:rsidRDefault="00AF2126" w:rsidP="00AF2126">
      <w:pPr>
        <w:pStyle w:val="SingleTxtG"/>
        <w:ind w:left="2268"/>
        <w:rPr>
          <w:lang w:val="fr-FR"/>
        </w:rPr>
      </w:pPr>
      <w:r w:rsidRPr="00D05C85">
        <w:rPr>
          <w:lang w:val="fr-FR"/>
        </w:rPr>
        <w:t>Une modification de la couleur d’une source lumineuse ou de la couleur d’un filtre ne constitue pas une modification du type.</w:t>
      </w:r>
    </w:p>
    <w:p w14:paraId="5C434B19" w14:textId="77777777" w:rsidR="00AF2126" w:rsidRPr="00D05C85" w:rsidRDefault="00AF2126" w:rsidP="00AF2126">
      <w:pPr>
        <w:pStyle w:val="SingleTxtG"/>
        <w:ind w:left="2268"/>
        <w:rPr>
          <w:rStyle w:val="Carpredefinitoparagrafo1"/>
          <w:bCs/>
          <w:lang w:val="fr-FR"/>
        </w:rPr>
      </w:pPr>
      <w:r w:rsidRPr="00D05C85">
        <w:rPr>
          <w:lang w:val="fr-FR"/>
        </w:rPr>
        <w:t>L’utilisation de sources lumineuses à DEL de substitution ne constitue pas une modification du type. Toutefois, les dispositions du paragraphe 4.8.1.6 s’appliquent.</w:t>
      </w:r>
    </w:p>
    <w:p w14:paraId="1CA4D4A0" w14:textId="77777777" w:rsidR="00AF2126" w:rsidRPr="00D05C85" w:rsidRDefault="00AF2126" w:rsidP="00AF2126">
      <w:pPr>
        <w:pStyle w:val="SingleTxtG"/>
        <w:ind w:left="2268" w:hanging="1134"/>
        <w:rPr>
          <w:lang w:val="fr-FR"/>
        </w:rPr>
      </w:pPr>
      <w:r w:rsidRPr="00D05C85">
        <w:rPr>
          <w:lang w:val="fr-FR"/>
        </w:rPr>
        <w:t>2.3</w:t>
      </w:r>
      <w:r w:rsidRPr="00D05C85">
        <w:rPr>
          <w:lang w:val="fr-FR"/>
        </w:rPr>
        <w:tab/>
        <w:t>On entend par “</w:t>
      </w:r>
      <w:r w:rsidRPr="00D05C85">
        <w:rPr>
          <w:i/>
          <w:iCs/>
          <w:lang w:val="fr-FR"/>
        </w:rPr>
        <w:t>faisant partie du feu</w:t>
      </w:r>
      <w:r w:rsidRPr="00D05C85">
        <w:rPr>
          <w:lang w:val="fr-FR"/>
        </w:rPr>
        <w:t>” le fait d’être physiquement intégré au boîtier du feu ou le fait d’être extérieur à celui-ci, séparé ou non, mais déclaré par le demandeur en tant que partie intégrante du système de feux.</w:t>
      </w:r>
    </w:p>
    <w:p w14:paraId="7A7DD018" w14:textId="77777777" w:rsidR="00AF2126" w:rsidRPr="00D05C85" w:rsidRDefault="00AF2126" w:rsidP="00AF2126">
      <w:pPr>
        <w:pStyle w:val="HChG"/>
        <w:tabs>
          <w:tab w:val="clear" w:pos="851"/>
          <w:tab w:val="right" w:pos="1134"/>
        </w:tabs>
        <w:ind w:left="2268"/>
        <w:outlineLvl w:val="0"/>
        <w:rPr>
          <w:rFonts w:eastAsia="Times New Roman"/>
          <w:lang w:val="fr-FR"/>
        </w:rPr>
      </w:pPr>
      <w:r w:rsidRPr="00D05C85">
        <w:rPr>
          <w:bCs/>
          <w:lang w:val="fr-FR"/>
        </w:rPr>
        <w:t>3.</w:t>
      </w:r>
      <w:r w:rsidRPr="00D05C85">
        <w:rPr>
          <w:lang w:val="fr-FR"/>
        </w:rPr>
        <w:tab/>
      </w:r>
      <w:r w:rsidRPr="00D05C85">
        <w:rPr>
          <w:bCs/>
          <w:lang w:val="fr-FR"/>
        </w:rPr>
        <w:t>Dispositions administratives</w:t>
      </w:r>
    </w:p>
    <w:p w14:paraId="47A51DFB" w14:textId="77777777" w:rsidR="00AF2126" w:rsidRPr="00D05C85" w:rsidRDefault="00AF2126" w:rsidP="00AF2126">
      <w:pPr>
        <w:pStyle w:val="SingleTxtG"/>
        <w:ind w:left="2268" w:hanging="1134"/>
        <w:rPr>
          <w:lang w:val="fr-FR"/>
        </w:rPr>
      </w:pPr>
      <w:r w:rsidRPr="00D05C85">
        <w:rPr>
          <w:lang w:val="fr-FR"/>
        </w:rPr>
        <w:t>3.1</w:t>
      </w:r>
      <w:r w:rsidRPr="00D05C85">
        <w:rPr>
          <w:lang w:val="fr-FR"/>
        </w:rPr>
        <w:tab/>
      </w:r>
      <w:r w:rsidRPr="00D05C85">
        <w:rPr>
          <w:lang w:val="fr-FR"/>
        </w:rPr>
        <w:tab/>
        <w:t>Demande d’homologation</w:t>
      </w:r>
    </w:p>
    <w:p w14:paraId="247C0A5D" w14:textId="77777777" w:rsidR="00AF2126" w:rsidRPr="00D05C85" w:rsidRDefault="00AF2126" w:rsidP="00AF2126">
      <w:pPr>
        <w:pStyle w:val="SingleTxtG"/>
        <w:ind w:left="2268" w:hanging="1134"/>
        <w:rPr>
          <w:lang w:val="fr-FR"/>
        </w:rPr>
      </w:pPr>
      <w:r w:rsidRPr="00D05C85">
        <w:rPr>
          <w:lang w:val="fr-FR"/>
        </w:rPr>
        <w:t>3.1.1</w:t>
      </w:r>
      <w:r w:rsidRPr="00D05C85">
        <w:rPr>
          <w:lang w:val="fr-FR"/>
        </w:rPr>
        <w:tab/>
        <w:t>La demande d’homologation de type est présentée par le détenteur de la marque de fabrique ou de commerce ou son représentant dûment accrédité.</w:t>
      </w:r>
    </w:p>
    <w:p w14:paraId="45A66601" w14:textId="77777777" w:rsidR="00AF2126" w:rsidRPr="00D05C85" w:rsidRDefault="00AF2126" w:rsidP="00AF2126">
      <w:pPr>
        <w:pStyle w:val="SingleTxtG"/>
        <w:ind w:left="2268" w:hanging="1134"/>
        <w:rPr>
          <w:lang w:val="fr-FR"/>
        </w:rPr>
      </w:pPr>
      <w:r w:rsidRPr="00D05C85">
        <w:rPr>
          <w:lang w:val="fr-FR"/>
        </w:rPr>
        <w:t>3.1.2</w:t>
      </w:r>
      <w:r w:rsidRPr="00D05C85">
        <w:rPr>
          <w:lang w:val="fr-FR"/>
        </w:rPr>
        <w:tab/>
        <w:t>Elle est accompagnée :</w:t>
      </w:r>
    </w:p>
    <w:p w14:paraId="1BA41480" w14:textId="72571EBE" w:rsidR="00AF2126" w:rsidRPr="00D05C85" w:rsidRDefault="00AF2126" w:rsidP="00AF2126">
      <w:pPr>
        <w:pStyle w:val="SingleTxtG"/>
        <w:ind w:left="2268" w:hanging="1134"/>
        <w:rPr>
          <w:lang w:val="fr-FR"/>
        </w:rPr>
      </w:pPr>
      <w:r w:rsidRPr="00D05C85">
        <w:rPr>
          <w:lang w:val="fr-FR"/>
        </w:rPr>
        <w:t>3.1.2.1</w:t>
      </w:r>
      <w:r w:rsidRPr="00D05C85">
        <w:rPr>
          <w:lang w:val="fr-FR"/>
        </w:rPr>
        <w:tab/>
        <w:t xml:space="preserve">De dessins suffisamment détaillés pour permettre l’identification du type et, le cas échéant, de la catégorie du feu, </w:t>
      </w:r>
      <w:r w:rsidR="00910B33">
        <w:rPr>
          <w:lang w:val="fr-FR"/>
        </w:rPr>
        <w:t xml:space="preserve">et </w:t>
      </w:r>
      <w:r w:rsidRPr="00D05C85">
        <w:rPr>
          <w:lang w:val="fr-FR"/>
        </w:rPr>
        <w:t>indiquant :</w:t>
      </w:r>
    </w:p>
    <w:p w14:paraId="00B327B4" w14:textId="77777777" w:rsidR="00AF2126" w:rsidRPr="00D05C85" w:rsidRDefault="00AF2126" w:rsidP="00AF2126">
      <w:pPr>
        <w:pStyle w:val="SingleTxtG"/>
        <w:ind w:left="2835" w:hanging="567"/>
        <w:rPr>
          <w:lang w:val="fr-FR"/>
        </w:rPr>
      </w:pPr>
      <w:r w:rsidRPr="00D05C85">
        <w:rPr>
          <w:lang w:val="fr-FR"/>
        </w:rPr>
        <w:t>a)</w:t>
      </w:r>
      <w:r w:rsidRPr="00D05C85">
        <w:rPr>
          <w:lang w:val="fr-FR"/>
        </w:rPr>
        <w:tab/>
        <w:t>Les caractéristiques géométriques du montage du ou des feux (ainsi que, le cas échéant, de la vitre arrière) sur le véhicule ;</w:t>
      </w:r>
    </w:p>
    <w:p w14:paraId="7406D684" w14:textId="1B60FD8B" w:rsidR="00AF2126" w:rsidRPr="00D05C85" w:rsidRDefault="00AF2126" w:rsidP="00AF2126">
      <w:pPr>
        <w:pStyle w:val="SingleTxtG"/>
        <w:ind w:left="2835" w:hanging="567"/>
        <w:rPr>
          <w:lang w:val="fr-FR"/>
        </w:rPr>
      </w:pPr>
      <w:r w:rsidRPr="00D05C85">
        <w:rPr>
          <w:lang w:val="fr-FR"/>
        </w:rPr>
        <w:t>b)</w:t>
      </w:r>
      <w:r w:rsidRPr="00D05C85">
        <w:rPr>
          <w:lang w:val="fr-FR"/>
        </w:rPr>
        <w:tab/>
        <w:t>L’axe d’observation qui doit être pris dans les essais comme axe de référence (angle horizontal H = 0°, angle vertical</w:t>
      </w:r>
      <w:r w:rsidR="005B36F1" w:rsidRPr="00D05C85">
        <w:rPr>
          <w:lang w:val="fr-FR"/>
        </w:rPr>
        <w:t> V</w:t>
      </w:r>
      <w:r w:rsidRPr="00D05C85">
        <w:rPr>
          <w:lang w:val="fr-FR"/>
        </w:rPr>
        <w:t xml:space="preserve"> = 0°), </w:t>
      </w:r>
      <w:r w:rsidR="00910B33">
        <w:rPr>
          <w:lang w:val="fr-FR"/>
        </w:rPr>
        <w:t xml:space="preserve">et </w:t>
      </w:r>
      <w:r w:rsidRPr="00D05C85">
        <w:rPr>
          <w:lang w:val="fr-FR"/>
        </w:rPr>
        <w:t>le point qui doit être pris comme centre de référence dans ces essais ;</w:t>
      </w:r>
    </w:p>
    <w:p w14:paraId="456073A6" w14:textId="77777777" w:rsidR="00AF2126" w:rsidRPr="00D05C85" w:rsidRDefault="00AF2126" w:rsidP="00AF2126">
      <w:pPr>
        <w:pStyle w:val="SingleTxtG"/>
        <w:ind w:left="2835" w:hanging="567"/>
        <w:rPr>
          <w:lang w:val="fr-FR"/>
        </w:rPr>
      </w:pPr>
      <w:r w:rsidRPr="00D05C85">
        <w:rPr>
          <w:lang w:val="fr-FR"/>
        </w:rPr>
        <w:t>c)</w:t>
      </w:r>
      <w:r w:rsidRPr="00D05C85">
        <w:rPr>
          <w:lang w:val="fr-FR"/>
        </w:rPr>
        <w:tab/>
        <w:t>La limite de la surface apparente de la ou des fonctions ;</w:t>
      </w:r>
    </w:p>
    <w:p w14:paraId="204189B0" w14:textId="4F0BDE9A" w:rsidR="00AF2126" w:rsidRPr="00D05C85" w:rsidRDefault="00AF2126" w:rsidP="00AF2126">
      <w:pPr>
        <w:pStyle w:val="SingleTxtG"/>
        <w:ind w:left="2835" w:hanging="567"/>
        <w:rPr>
          <w:lang w:val="fr-FR"/>
        </w:rPr>
      </w:pPr>
      <w:r w:rsidRPr="00D05C85">
        <w:rPr>
          <w:lang w:val="fr-FR"/>
        </w:rPr>
        <w:t>d)</w:t>
      </w:r>
      <w:r w:rsidRPr="00D05C85">
        <w:rPr>
          <w:lang w:val="fr-FR"/>
        </w:rPr>
        <w:tab/>
        <w:t xml:space="preserve">L’emplacement réservé </w:t>
      </w:r>
      <w:r w:rsidR="00910B33">
        <w:rPr>
          <w:lang w:val="fr-FR"/>
        </w:rPr>
        <w:t xml:space="preserve">et </w:t>
      </w:r>
      <w:r w:rsidRPr="00D05C85">
        <w:rPr>
          <w:lang w:val="fr-FR"/>
        </w:rPr>
        <w:t>la disposition prévue pour la marque d’homologation ou l’identifiant unique ;</w:t>
      </w:r>
    </w:p>
    <w:p w14:paraId="0D4BEB60" w14:textId="62262E99" w:rsidR="00AF2126" w:rsidRPr="00D05C85" w:rsidRDefault="00AF2126" w:rsidP="00AF2126">
      <w:pPr>
        <w:pStyle w:val="SingleTxtG"/>
        <w:ind w:left="2835" w:hanging="567"/>
        <w:rPr>
          <w:lang w:val="fr-FR"/>
        </w:rPr>
      </w:pPr>
      <w:r w:rsidRPr="00D05C85">
        <w:rPr>
          <w:lang w:val="fr-FR"/>
        </w:rPr>
        <w:lastRenderedPageBreak/>
        <w:t>e)</w:t>
      </w:r>
      <w:r w:rsidRPr="00D05C85">
        <w:rPr>
          <w:lang w:val="fr-FR"/>
        </w:rPr>
        <w:tab/>
        <w:t xml:space="preserve">Dans le cas d’un ou de plusieurs modules d’éclairage remplaçables, le ou les modules </w:t>
      </w:r>
      <w:r w:rsidR="00910B33">
        <w:rPr>
          <w:lang w:val="fr-FR"/>
        </w:rPr>
        <w:t xml:space="preserve">et </w:t>
      </w:r>
      <w:r w:rsidRPr="00D05C85">
        <w:rPr>
          <w:lang w:val="fr-FR"/>
        </w:rPr>
        <w:t xml:space="preserve">l’emplacement réservé, sur le feu </w:t>
      </w:r>
      <w:r w:rsidR="00910B33">
        <w:rPr>
          <w:lang w:val="fr-FR"/>
        </w:rPr>
        <w:t xml:space="preserve">et </w:t>
      </w:r>
      <w:r w:rsidRPr="00D05C85">
        <w:rPr>
          <w:lang w:val="fr-FR"/>
        </w:rPr>
        <w:t>sur le ou les modules, aux codes d’identification propres à ce ou ces modules ;</w:t>
      </w:r>
    </w:p>
    <w:p w14:paraId="34916B76" w14:textId="77777777" w:rsidR="00AF2126" w:rsidRPr="00D05C85" w:rsidRDefault="00AF2126" w:rsidP="00AF2126">
      <w:pPr>
        <w:pStyle w:val="SingleTxtG"/>
        <w:ind w:left="2835" w:hanging="567"/>
        <w:rPr>
          <w:lang w:val="fr-FR"/>
        </w:rPr>
      </w:pPr>
      <w:r w:rsidRPr="00D05C85">
        <w:rPr>
          <w:lang w:val="fr-FR"/>
        </w:rPr>
        <w:t>f)</w:t>
      </w:r>
      <w:r w:rsidRPr="00D05C85">
        <w:rPr>
          <w:lang w:val="fr-FR"/>
        </w:rPr>
        <w:tab/>
        <w:t>Dans le cas d’un système de feux interdépendants, le feu interdépendant ou la combinaison de feux interdépendants qui satisfont aux prescriptions pertinentes ;</w:t>
      </w:r>
    </w:p>
    <w:p w14:paraId="49D46070" w14:textId="77777777" w:rsidR="00AF2126" w:rsidRPr="00D05C85" w:rsidRDefault="00AF2126" w:rsidP="00AF2126">
      <w:pPr>
        <w:pStyle w:val="SingleTxtG"/>
        <w:ind w:left="2835" w:hanging="567"/>
        <w:rPr>
          <w:lang w:val="fr-FR"/>
        </w:rPr>
      </w:pPr>
      <w:r w:rsidRPr="00D05C85">
        <w:rPr>
          <w:lang w:val="fr-FR"/>
        </w:rPr>
        <w:t>g)</w:t>
      </w:r>
      <w:r w:rsidRPr="00D05C85">
        <w:rPr>
          <w:lang w:val="fr-FR"/>
        </w:rPr>
        <w:tab/>
        <w:t>Dans le cas d’un feu susceptible d’arborer un logo du constructeur du véhicule, le logo du constructeur du véhicule.</w:t>
      </w:r>
    </w:p>
    <w:p w14:paraId="738488F8" w14:textId="77777777" w:rsidR="00AF2126" w:rsidRPr="00D05C85" w:rsidRDefault="00AF2126" w:rsidP="00AF2126">
      <w:pPr>
        <w:pStyle w:val="SingleTxtG"/>
        <w:ind w:left="2268" w:hanging="1134"/>
        <w:rPr>
          <w:lang w:val="fr-FR"/>
        </w:rPr>
      </w:pPr>
      <w:r w:rsidRPr="00D05C85">
        <w:rPr>
          <w:lang w:val="fr-FR"/>
        </w:rPr>
        <w:t>3.1.2.2</w:t>
      </w:r>
      <w:r w:rsidRPr="00D05C85">
        <w:rPr>
          <w:lang w:val="fr-FR"/>
        </w:rPr>
        <w:tab/>
        <w:t>D’une courte description technique indiquant notamment :</w:t>
      </w:r>
    </w:p>
    <w:p w14:paraId="3E877B98" w14:textId="77777777" w:rsidR="00AF2126" w:rsidRPr="00D05C85" w:rsidRDefault="00AF2126" w:rsidP="00AF2126">
      <w:pPr>
        <w:pStyle w:val="SingleTxtG"/>
        <w:ind w:left="2835" w:hanging="567"/>
        <w:rPr>
          <w:rStyle w:val="Carpredefinitoparagrafo1"/>
          <w:bCs/>
          <w:lang w:val="fr-FR"/>
        </w:rPr>
      </w:pPr>
      <w:r w:rsidRPr="00D05C85">
        <w:rPr>
          <w:lang w:val="fr-FR"/>
        </w:rPr>
        <w:t>a)</w:t>
      </w:r>
      <w:r w:rsidRPr="00D05C85">
        <w:rPr>
          <w:lang w:val="fr-FR"/>
        </w:rPr>
        <w:tab/>
        <w:t xml:space="preserve">Dans le cas de feux équipés de sources lumineuses remplaçables approuvées par l’ONU, la ou les catégories de la ou des sources lumineuses prescrites ; </w:t>
      </w:r>
    </w:p>
    <w:p w14:paraId="6E9D4677" w14:textId="77777777" w:rsidR="00AF2126" w:rsidRPr="00D05C85" w:rsidRDefault="00AF2126" w:rsidP="00AF2126">
      <w:pPr>
        <w:pStyle w:val="SingleTxtG"/>
        <w:ind w:left="2835" w:hanging="567"/>
        <w:rPr>
          <w:lang w:val="fr-FR"/>
        </w:rPr>
      </w:pPr>
      <w:r w:rsidRPr="00D05C85">
        <w:rPr>
          <w:lang w:val="fr-FR"/>
        </w:rPr>
        <w:t>b)</w:t>
      </w:r>
      <w:r w:rsidRPr="00D05C85">
        <w:rPr>
          <w:lang w:val="fr-FR"/>
        </w:rPr>
        <w:tab/>
        <w:t>Dans le cas de feux équipés de modules d’éclairage remplaçables, le code d’identification propre au module d’éclairage ;</w:t>
      </w:r>
    </w:p>
    <w:p w14:paraId="22A531AD" w14:textId="14EEFF1E" w:rsidR="00AF2126" w:rsidRPr="00D05C85" w:rsidRDefault="00AF2126" w:rsidP="00AF2126">
      <w:pPr>
        <w:pStyle w:val="SingleTxtG"/>
        <w:ind w:left="2835" w:hanging="567"/>
        <w:rPr>
          <w:rStyle w:val="Carpredefinitoparagrafo1"/>
          <w:bCs/>
          <w:lang w:val="fr-FR"/>
        </w:rPr>
      </w:pPr>
      <w:r w:rsidRPr="00D05C85">
        <w:rPr>
          <w:lang w:val="fr-FR"/>
        </w:rPr>
        <w:t>c)</w:t>
      </w:r>
      <w:r w:rsidRPr="00D05C85">
        <w:rPr>
          <w:lang w:val="fr-FR"/>
        </w:rPr>
        <w:tab/>
        <w:t xml:space="preserve">La marque </w:t>
      </w:r>
      <w:r w:rsidR="00910B33">
        <w:rPr>
          <w:lang w:val="fr-FR"/>
        </w:rPr>
        <w:t xml:space="preserve">et </w:t>
      </w:r>
      <w:r w:rsidRPr="00D05C85">
        <w:rPr>
          <w:lang w:val="fr-FR"/>
        </w:rPr>
        <w:t xml:space="preserve">le type du ou des modules électroniques de régulation de source lumineuse ou du ou des régulateurs d’intensité, s’il y a lieu </w:t>
      </w:r>
      <w:r w:rsidR="00910B33">
        <w:rPr>
          <w:lang w:val="fr-FR"/>
        </w:rPr>
        <w:t xml:space="preserve">et </w:t>
      </w:r>
      <w:r w:rsidRPr="00D05C85">
        <w:rPr>
          <w:lang w:val="fr-FR"/>
        </w:rPr>
        <w:t>s’ils ne font pas partie du feu ;</w:t>
      </w:r>
    </w:p>
    <w:p w14:paraId="366F89CC" w14:textId="186273D4" w:rsidR="00AF2126" w:rsidRPr="00D05C85" w:rsidRDefault="00AF2126" w:rsidP="00AF2126">
      <w:pPr>
        <w:pStyle w:val="SingleTxtG"/>
        <w:ind w:left="2835" w:hanging="567"/>
        <w:rPr>
          <w:lang w:val="fr-FR"/>
        </w:rPr>
      </w:pPr>
      <w:r w:rsidRPr="00D05C85">
        <w:rPr>
          <w:lang w:val="fr-FR"/>
        </w:rPr>
        <w:t>d)</w:t>
      </w:r>
      <w:r w:rsidRPr="00D05C85">
        <w:rPr>
          <w:lang w:val="fr-FR"/>
        </w:rPr>
        <w:tab/>
        <w:t>Dans le cas où le feu doit aussi être homologué avec une ou plusieurs sources lumineuses à DEL de substitution conformément au Règlement ONU n</w:t>
      </w:r>
      <w:r w:rsidRPr="00D05C85">
        <w:rPr>
          <w:vertAlign w:val="superscript"/>
          <w:lang w:val="fr-FR"/>
        </w:rPr>
        <w:t>o</w:t>
      </w:r>
      <w:r w:rsidR="00666CD1" w:rsidRPr="00D05C85">
        <w:rPr>
          <w:lang w:val="fr-FR"/>
        </w:rPr>
        <w:t> </w:t>
      </w:r>
      <w:r w:rsidRPr="00D05C85">
        <w:rPr>
          <w:lang w:val="fr-FR"/>
        </w:rPr>
        <w:t xml:space="preserve">128, la ou les catégories de la ou des sources lumineuses prescrites ; </w:t>
      </w:r>
    </w:p>
    <w:p w14:paraId="700629AE" w14:textId="77777777" w:rsidR="00AF2126" w:rsidRPr="00D05C85" w:rsidRDefault="00AF2126" w:rsidP="00AF2126">
      <w:pPr>
        <w:pStyle w:val="SingleTxtG"/>
        <w:ind w:left="2835" w:hanging="567"/>
        <w:rPr>
          <w:lang w:val="fr-FR"/>
        </w:rPr>
      </w:pPr>
      <w:r w:rsidRPr="00D05C85">
        <w:rPr>
          <w:lang w:val="fr-FR"/>
        </w:rPr>
        <w:t>e)</w:t>
      </w:r>
      <w:r w:rsidRPr="00D05C85">
        <w:rPr>
          <w:lang w:val="fr-FR"/>
        </w:rPr>
        <w:tab/>
        <w:t>Dans le cas d’un dispositif destiné à être monté à l’intérieur du véhicule, les propriétés optiques (transmission, couleur, inclinaison, etc.) de la ou des vitres arrière ;</w:t>
      </w:r>
    </w:p>
    <w:p w14:paraId="3779D87F" w14:textId="77777777" w:rsidR="00AF2126" w:rsidRPr="00D05C85" w:rsidRDefault="00AF2126" w:rsidP="00AF2126">
      <w:pPr>
        <w:pStyle w:val="SingleTxtG"/>
        <w:ind w:left="2835" w:hanging="567"/>
        <w:rPr>
          <w:lang w:val="fr-FR"/>
        </w:rPr>
      </w:pPr>
      <w:r w:rsidRPr="00D05C85">
        <w:rPr>
          <w:lang w:val="fr-FR"/>
        </w:rPr>
        <w:t>f)</w:t>
      </w:r>
      <w:r w:rsidRPr="00D05C85">
        <w:rPr>
          <w:lang w:val="fr-FR"/>
        </w:rPr>
        <w:tab/>
        <w:t>Dans le cas d’un feu susceptible d’arborer un logo du constructeur du véhicule, le demandeur doit confirmer, au moyen d’une déclaration écrite fournie par ledit constructeur, qu’il s’agit bien du logo officiel approprié du constructeur du véhicule ou du carrossier, qui correspond à l’appellation commerciale.</w:t>
      </w:r>
    </w:p>
    <w:p w14:paraId="58734359" w14:textId="77777777" w:rsidR="00AF2126" w:rsidRPr="00D05C85" w:rsidRDefault="00AF2126" w:rsidP="00AF2126">
      <w:pPr>
        <w:pStyle w:val="SingleTxtG"/>
        <w:ind w:left="2268" w:hanging="1134"/>
        <w:rPr>
          <w:lang w:val="fr-FR"/>
        </w:rPr>
      </w:pPr>
      <w:r w:rsidRPr="00D05C85">
        <w:rPr>
          <w:lang w:val="fr-FR"/>
        </w:rPr>
        <w:t>3.1.2.3</w:t>
      </w:r>
      <w:r w:rsidRPr="00D05C85">
        <w:rPr>
          <w:lang w:val="fr-FR"/>
        </w:rPr>
        <w:tab/>
        <w:t>Lorsqu’il s’agit d’un type de dispositif ne différant d’un type déjà homologué que par la marque de fabrique ou de commerce, il suffit toutefois de joindre à la demande :</w:t>
      </w:r>
    </w:p>
    <w:p w14:paraId="58EB848C" w14:textId="22EE7BAF" w:rsidR="00AF2126" w:rsidRPr="00D05C85" w:rsidRDefault="00AF2126" w:rsidP="00AF2126">
      <w:pPr>
        <w:pStyle w:val="SingleTxtG"/>
        <w:ind w:left="2268" w:hanging="1134"/>
        <w:rPr>
          <w:lang w:val="fr-FR"/>
        </w:rPr>
      </w:pPr>
      <w:r w:rsidRPr="00D05C85">
        <w:rPr>
          <w:lang w:val="fr-FR"/>
        </w:rPr>
        <w:t>3.1.2.3.1</w:t>
      </w:r>
      <w:r w:rsidRPr="00D05C85">
        <w:rPr>
          <w:lang w:val="fr-FR"/>
        </w:rPr>
        <w:tab/>
        <w:t xml:space="preserve">Une déclaration du fabricant du feu précisant que le type soumis est identique (sauf quant à la marque de fabrique ou de commerce) au type déjà homologué, identifié par son code d’homologation, </w:t>
      </w:r>
      <w:r w:rsidR="00910B33">
        <w:rPr>
          <w:lang w:val="fr-FR"/>
        </w:rPr>
        <w:t xml:space="preserve">et </w:t>
      </w:r>
      <w:r w:rsidRPr="00D05C85">
        <w:rPr>
          <w:lang w:val="fr-FR"/>
        </w:rPr>
        <w:t>provient du même fabricant ;</w:t>
      </w:r>
    </w:p>
    <w:p w14:paraId="5E48D92E" w14:textId="77777777" w:rsidR="00AF2126" w:rsidRPr="00D05C85" w:rsidRDefault="00AF2126" w:rsidP="00AF2126">
      <w:pPr>
        <w:pStyle w:val="SingleTxtG"/>
        <w:ind w:left="2268" w:hanging="1134"/>
        <w:rPr>
          <w:lang w:val="fr-FR"/>
        </w:rPr>
      </w:pPr>
      <w:r w:rsidRPr="00D05C85">
        <w:rPr>
          <w:lang w:val="fr-FR"/>
        </w:rPr>
        <w:t>3.1.2.3.2</w:t>
      </w:r>
      <w:r w:rsidRPr="00D05C85">
        <w:rPr>
          <w:lang w:val="fr-FR"/>
        </w:rPr>
        <w:tab/>
        <w:t>Deux échantillons portant la nouvelle marque de fabrique ou de commerce ou des documents équivalents.</w:t>
      </w:r>
    </w:p>
    <w:p w14:paraId="2BC0B040" w14:textId="05540F08" w:rsidR="00AF2126" w:rsidRPr="00D05C85" w:rsidRDefault="00AF2126" w:rsidP="00AF2126">
      <w:pPr>
        <w:pStyle w:val="SingleTxtG"/>
        <w:ind w:left="2268" w:hanging="1134"/>
        <w:rPr>
          <w:lang w:val="fr-FR"/>
        </w:rPr>
      </w:pPr>
      <w:r w:rsidRPr="00D05C85">
        <w:rPr>
          <w:lang w:val="fr-FR"/>
        </w:rPr>
        <w:t>3.1.2.4</w:t>
      </w:r>
      <w:r w:rsidRPr="00D05C85">
        <w:rPr>
          <w:lang w:val="fr-FR"/>
        </w:rPr>
        <w:tab/>
        <w:t xml:space="preserve">Dans le cas d’un feu à intensité variable, d’une courte description du régulateur d’intensité, </w:t>
      </w:r>
      <w:r w:rsidR="00910B33">
        <w:rPr>
          <w:lang w:val="fr-FR"/>
        </w:rPr>
        <w:t xml:space="preserve">et </w:t>
      </w:r>
      <w:r w:rsidRPr="00D05C85">
        <w:rPr>
          <w:lang w:val="fr-FR"/>
        </w:rPr>
        <w:t>d’un schéma ainsi que d’un descriptif des caractéristiques du système couvrant l’ensemble de la plage d’intensité.</w:t>
      </w:r>
    </w:p>
    <w:p w14:paraId="1A36485E" w14:textId="77777777" w:rsidR="00AF2126" w:rsidRPr="00D05C85" w:rsidRDefault="00AF2126" w:rsidP="00AF2126">
      <w:pPr>
        <w:pStyle w:val="SingleTxtG"/>
        <w:ind w:left="2268" w:hanging="1134"/>
        <w:rPr>
          <w:lang w:val="fr-FR"/>
        </w:rPr>
      </w:pPr>
      <w:r w:rsidRPr="00D05C85">
        <w:rPr>
          <w:lang w:val="fr-FR"/>
        </w:rPr>
        <w:t>3.1.2.5</w:t>
      </w:r>
      <w:r w:rsidRPr="00D05C85">
        <w:rPr>
          <w:lang w:val="fr-FR"/>
        </w:rPr>
        <w:tab/>
        <w:t>Dans le cas de feux équipés d’une ou de plusieurs sources lumineuses à incandescence non remplaçables ou d’un ou de plusieurs modules d’éclairage équipés de sources lumineuses à incandescence non remplaçables, d’un rapport démontrant de manière acceptable pour l’autorité d’homologation de type la conformité de ces sources lumineuses à incandescence non remplaçables avec les prescriptions du paragraphe 4.11 de la publication CEI 60809, quatrième édition.</w:t>
      </w:r>
    </w:p>
    <w:p w14:paraId="2F82EBB5" w14:textId="6FF1442A" w:rsidR="00AF2126" w:rsidRPr="00D05C85" w:rsidRDefault="00AF2126" w:rsidP="00AF2126">
      <w:pPr>
        <w:pStyle w:val="SingleTxtG"/>
        <w:ind w:left="2268" w:hanging="1134"/>
        <w:rPr>
          <w:lang w:val="fr-FR"/>
        </w:rPr>
      </w:pPr>
      <w:r w:rsidRPr="00D05C85">
        <w:rPr>
          <w:lang w:val="fr-FR"/>
        </w:rPr>
        <w:t>3.1.2.6</w:t>
      </w:r>
      <w:r w:rsidRPr="00D05C85">
        <w:rPr>
          <w:lang w:val="fr-FR"/>
        </w:rPr>
        <w:tab/>
        <w:t xml:space="preserve">À la discrétion du demandeur, la description peut préciser si le feu peut être installé sur le véhicule avec différentes inclinaisons de l’axe de référence par rapport aux plans de référence du véhicule </w:t>
      </w:r>
      <w:r w:rsidR="00910B33">
        <w:rPr>
          <w:lang w:val="fr-FR"/>
        </w:rPr>
        <w:t xml:space="preserve">et </w:t>
      </w:r>
      <w:r w:rsidRPr="00D05C85">
        <w:rPr>
          <w:lang w:val="fr-FR"/>
        </w:rPr>
        <w:t>par rapport au sol, ou tourner autour de son axe de référence ; ces différentes conditions d’installation doivent être spécifiées dans la fiche de communication.</w:t>
      </w:r>
    </w:p>
    <w:p w14:paraId="4C994303" w14:textId="77777777" w:rsidR="00AF2126" w:rsidRPr="00D05C85" w:rsidRDefault="00AF2126" w:rsidP="00AF2126">
      <w:pPr>
        <w:pStyle w:val="SingleTxtG"/>
        <w:ind w:left="2268" w:hanging="1134"/>
        <w:rPr>
          <w:lang w:val="fr-FR"/>
        </w:rPr>
      </w:pPr>
      <w:r w:rsidRPr="00D05C85">
        <w:rPr>
          <w:lang w:val="fr-FR"/>
        </w:rPr>
        <w:lastRenderedPageBreak/>
        <w:t>3.1.2.7</w:t>
      </w:r>
      <w:r w:rsidRPr="00D05C85">
        <w:rPr>
          <w:lang w:val="fr-FR"/>
        </w:rPr>
        <w:tab/>
        <w:t>Sauf indication contraire concernant le feu concerné, des échantillons suivants :</w:t>
      </w:r>
    </w:p>
    <w:p w14:paraId="2EACB623" w14:textId="77777777" w:rsidR="00AF2126" w:rsidRPr="00D05C85" w:rsidRDefault="00AF2126" w:rsidP="00AF2126">
      <w:pPr>
        <w:pStyle w:val="SingleTxtG"/>
        <w:ind w:left="2835" w:hanging="567"/>
        <w:rPr>
          <w:lang w:val="fr-FR"/>
        </w:rPr>
      </w:pPr>
      <w:r w:rsidRPr="00D05C85">
        <w:rPr>
          <w:lang w:val="fr-FR"/>
        </w:rPr>
        <w:t>a)</w:t>
      </w:r>
      <w:r w:rsidRPr="00D05C85">
        <w:rPr>
          <w:lang w:val="fr-FR"/>
        </w:rPr>
        <w:tab/>
        <w:t>Deux échantillons complets du feu.</w:t>
      </w:r>
    </w:p>
    <w:p w14:paraId="32D433B5" w14:textId="399EAD86" w:rsidR="00AF2126" w:rsidRPr="00D05C85" w:rsidRDefault="00AF2126" w:rsidP="00AF2126">
      <w:pPr>
        <w:pStyle w:val="SingleTxtG"/>
        <w:ind w:left="2835"/>
        <w:rPr>
          <w:lang w:val="fr-FR"/>
        </w:rPr>
      </w:pPr>
      <w:r w:rsidRPr="00D05C85">
        <w:rPr>
          <w:lang w:val="fr-FR"/>
        </w:rPr>
        <w:tab/>
        <w:t xml:space="preserve">Si la demande d’homologation porte sur des feux qui ne sont pas identiques, mais symétriques </w:t>
      </w:r>
      <w:r w:rsidR="00910B33">
        <w:rPr>
          <w:lang w:val="fr-FR"/>
        </w:rPr>
        <w:t xml:space="preserve">et </w:t>
      </w:r>
      <w:r w:rsidRPr="00D05C85">
        <w:rPr>
          <w:lang w:val="fr-FR"/>
        </w:rPr>
        <w:t xml:space="preserve">conçus de façon à être montés respectivement sur le côté droit ou le côté gauche du véhicule, les deux échantillons présentés peuvent être identiques </w:t>
      </w:r>
      <w:r w:rsidR="00910B33">
        <w:rPr>
          <w:lang w:val="fr-FR"/>
        </w:rPr>
        <w:t xml:space="preserve">et </w:t>
      </w:r>
      <w:r w:rsidRPr="00D05C85">
        <w:rPr>
          <w:lang w:val="fr-FR"/>
        </w:rPr>
        <w:t>ne convenir que soit pour la partie droite, soit pour la partie gauche du véhicule ;</w:t>
      </w:r>
    </w:p>
    <w:p w14:paraId="11D07C2D" w14:textId="77777777" w:rsidR="00AF2126" w:rsidRPr="00D05C85" w:rsidRDefault="00AF2126" w:rsidP="00AF2126">
      <w:pPr>
        <w:pStyle w:val="SingleTxtG"/>
        <w:ind w:left="2835" w:hanging="567"/>
        <w:rPr>
          <w:lang w:val="fr-FR"/>
        </w:rPr>
      </w:pPr>
      <w:r w:rsidRPr="00D05C85">
        <w:rPr>
          <w:lang w:val="fr-FR"/>
        </w:rPr>
        <w:t>b)</w:t>
      </w:r>
      <w:r w:rsidRPr="00D05C85">
        <w:rPr>
          <w:lang w:val="fr-FR"/>
        </w:rPr>
        <w:tab/>
        <w:t>Pour un feu à intensité variable, un échantillon du régulateur d’intensité ou un générateur produisant un ou plusieurs signaux analogues.</w:t>
      </w:r>
    </w:p>
    <w:p w14:paraId="06388086" w14:textId="77777777" w:rsidR="00AF2126" w:rsidRPr="00D05C85" w:rsidRDefault="00AF2126" w:rsidP="00AF2126">
      <w:pPr>
        <w:pStyle w:val="SingleTxtG"/>
        <w:ind w:left="2268" w:hanging="1134"/>
        <w:rPr>
          <w:lang w:val="fr-FR"/>
        </w:rPr>
      </w:pPr>
      <w:r w:rsidRPr="00D05C85">
        <w:rPr>
          <w:lang w:val="fr-FR"/>
        </w:rPr>
        <w:t>3.1.2.8</w:t>
      </w:r>
      <w:r w:rsidRPr="00D05C85">
        <w:rPr>
          <w:lang w:val="fr-FR"/>
        </w:rPr>
        <w:tab/>
        <w:t>Dans le cas d’un feu destiné à être monté à l’intérieur du véhicule, d’un échantillon de vitre ou de plusieurs échantillons (s’il existe plusieurs possibilités) dotés de propriétés optiques équivalentes à celles des vitres arrière montées sur le véhicule.</w:t>
      </w:r>
    </w:p>
    <w:p w14:paraId="40A754AB" w14:textId="77777777" w:rsidR="00AF2126" w:rsidRPr="00D05C85" w:rsidRDefault="00AF2126" w:rsidP="00AF2126">
      <w:pPr>
        <w:pStyle w:val="SingleTxtG"/>
        <w:ind w:left="2268" w:hanging="1134"/>
        <w:rPr>
          <w:lang w:val="fr-FR"/>
        </w:rPr>
      </w:pPr>
      <w:r w:rsidRPr="00D05C85">
        <w:rPr>
          <w:lang w:val="fr-FR"/>
        </w:rPr>
        <w:t>3.2</w:t>
      </w:r>
      <w:r w:rsidRPr="00D05C85">
        <w:rPr>
          <w:lang w:val="fr-FR"/>
        </w:rPr>
        <w:tab/>
        <w:t>Homologation</w:t>
      </w:r>
    </w:p>
    <w:p w14:paraId="6E68029A" w14:textId="4FE808EB" w:rsidR="00AF2126" w:rsidRPr="00D05C85" w:rsidRDefault="00AF2126" w:rsidP="00AF2126">
      <w:pPr>
        <w:pStyle w:val="SingleTxtG"/>
        <w:ind w:left="2268" w:hanging="1134"/>
        <w:rPr>
          <w:lang w:val="fr-FR"/>
        </w:rPr>
      </w:pPr>
      <w:r w:rsidRPr="00D05C85">
        <w:rPr>
          <w:lang w:val="fr-FR"/>
        </w:rPr>
        <w:t>3.2.1</w:t>
      </w:r>
      <w:r w:rsidRPr="00D05C85">
        <w:rPr>
          <w:lang w:val="fr-FR"/>
        </w:rPr>
        <w:tab/>
      </w:r>
      <w:r w:rsidRPr="00D05C85">
        <w:rPr>
          <w:lang w:val="fr-FR"/>
        </w:rPr>
        <w:tab/>
        <w:t>Tous les feux énumérés au paragraphe 1 font l’obj</w:t>
      </w:r>
      <w:r w:rsidR="00910B33">
        <w:rPr>
          <w:lang w:val="fr-FR"/>
        </w:rPr>
        <w:t xml:space="preserve">et </w:t>
      </w:r>
      <w:r w:rsidRPr="00D05C85">
        <w:rPr>
          <w:lang w:val="fr-FR"/>
        </w:rPr>
        <w:t>d’une homologation distincte.</w:t>
      </w:r>
    </w:p>
    <w:p w14:paraId="2738D006" w14:textId="22B40C72" w:rsidR="00AF2126" w:rsidRPr="00D05C85" w:rsidRDefault="00AF2126" w:rsidP="00AF2126">
      <w:pPr>
        <w:pStyle w:val="SingleTxtG"/>
        <w:ind w:left="2268" w:hanging="1134"/>
        <w:rPr>
          <w:lang w:val="fr-FR"/>
        </w:rPr>
      </w:pPr>
      <w:r w:rsidRPr="00D05C85">
        <w:rPr>
          <w:lang w:val="fr-FR"/>
        </w:rPr>
        <w:t>3.2.2</w:t>
      </w:r>
      <w:r w:rsidRPr="00D05C85">
        <w:rPr>
          <w:lang w:val="fr-FR"/>
        </w:rPr>
        <w:tab/>
        <w:t>Lorsque deux ou plusieurs feux font partie du même ensemble de feux groupés, combinés ou mutuellement incorporés, l’homologation ne pourra être accordée que si chacun de ces feux satisfait aux prescriptions du présent Règlement ou d’un autre Règlement. Les feux qui ne satisfont aux dispositions d’aucun de ces Règlements ne doivent pas faire partie de c</w:t>
      </w:r>
      <w:r w:rsidR="00910B33">
        <w:rPr>
          <w:lang w:val="fr-FR"/>
        </w:rPr>
        <w:t xml:space="preserve">et </w:t>
      </w:r>
      <w:r w:rsidRPr="00D05C85">
        <w:rPr>
          <w:lang w:val="fr-FR"/>
        </w:rPr>
        <w:t>ensemble de feux groupés, combinés ou mutuellement incorporés.</w:t>
      </w:r>
    </w:p>
    <w:p w14:paraId="4991363E" w14:textId="01DB85A4" w:rsidR="00AF2126" w:rsidRPr="00D05C85" w:rsidRDefault="00AF2126" w:rsidP="00AF2126">
      <w:pPr>
        <w:pStyle w:val="SingleTxtG"/>
        <w:ind w:left="2268" w:hanging="1134"/>
        <w:rPr>
          <w:lang w:val="fr-FR"/>
        </w:rPr>
      </w:pPr>
      <w:r w:rsidRPr="00D05C85">
        <w:rPr>
          <w:lang w:val="fr-FR"/>
        </w:rPr>
        <w:t>3.2.3</w:t>
      </w:r>
      <w:r w:rsidRPr="00D05C85">
        <w:rPr>
          <w:lang w:val="fr-FR"/>
        </w:rPr>
        <w:tab/>
        <w:t xml:space="preserve">Si le type du ou des feux présentés à l’homologation en application du paragraphe 3.1 satisfait aux prescriptions du présent Règlement, l’homologation est accordée. Tous les dispositifs d’un système de feux interdépendants doivent être présentés à l’homologation de type par un seul </w:t>
      </w:r>
      <w:r w:rsidR="00910B33">
        <w:rPr>
          <w:lang w:val="fr-FR"/>
        </w:rPr>
        <w:t xml:space="preserve">et </w:t>
      </w:r>
      <w:r w:rsidRPr="00D05C85">
        <w:rPr>
          <w:lang w:val="fr-FR"/>
        </w:rPr>
        <w:t>même demandeur.</w:t>
      </w:r>
    </w:p>
    <w:p w14:paraId="62DACDF9" w14:textId="77777777" w:rsidR="00AF2126" w:rsidRPr="00D05C85" w:rsidRDefault="00AF2126" w:rsidP="00AF2126">
      <w:pPr>
        <w:pStyle w:val="SingleTxtG"/>
        <w:ind w:left="2268" w:hanging="1134"/>
        <w:rPr>
          <w:lang w:val="fr-FR"/>
        </w:rPr>
      </w:pPr>
      <w:r w:rsidRPr="00D05C85">
        <w:rPr>
          <w:lang w:val="fr-FR"/>
        </w:rPr>
        <w:t>3.2.3.1</w:t>
      </w:r>
      <w:r w:rsidRPr="00D05C85">
        <w:rPr>
          <w:lang w:val="fr-FR"/>
        </w:rPr>
        <w:tab/>
        <w:t>L’homologation, l’extension, le refus ou le retrait de l’homologation ou l’arrêt définitif de la production d’un type de feu, en application du présent Règlement, est communiqué aux Parties à l’Accord de 1958 appliquant le présent Règlement, au moyen d’une fiche conforme au modèle visé à l’annexe 1 dudit Règlement.</w:t>
      </w:r>
    </w:p>
    <w:p w14:paraId="7F1CC768" w14:textId="77777777" w:rsidR="00AF2126" w:rsidRPr="00D05C85" w:rsidRDefault="00AF2126" w:rsidP="00AF2126">
      <w:pPr>
        <w:pStyle w:val="SingleTxtG"/>
        <w:ind w:left="2268" w:hanging="1134"/>
        <w:rPr>
          <w:lang w:val="fr-FR"/>
        </w:rPr>
      </w:pPr>
      <w:r w:rsidRPr="00D05C85">
        <w:rPr>
          <w:lang w:val="fr-FR"/>
        </w:rPr>
        <w:t>3.2.3.2</w:t>
      </w:r>
      <w:r w:rsidRPr="00D05C85">
        <w:rPr>
          <w:lang w:val="fr-FR"/>
        </w:rPr>
        <w:tab/>
        <w:t>Un numéro d’homologation est attribué à chaque type de feu homologué ; ce numéro est indiqué, pour chaque feu, dans la fiche de communication figurant à l’annexe 1.</w:t>
      </w:r>
    </w:p>
    <w:p w14:paraId="0E1AEDF3" w14:textId="77777777" w:rsidR="00AF2126" w:rsidRPr="00D05C85" w:rsidRDefault="00AF2126" w:rsidP="00AF2126">
      <w:pPr>
        <w:pStyle w:val="SingleTxtG"/>
        <w:ind w:left="2268"/>
        <w:rPr>
          <w:lang w:val="fr-FR"/>
        </w:rPr>
      </w:pPr>
      <w:r w:rsidRPr="00D05C85">
        <w:rPr>
          <w:lang w:val="fr-FR"/>
        </w:rPr>
        <w:t>Une Partie contractante peut attribuer un même numéro d’homologation à des dispositifs ou à des systèmes de signalisation lumineuse comportant plusieurs feux ; mais ne peut pas attribuer un même numéro à deux feux de différents types remplissant la même fonction.</w:t>
      </w:r>
    </w:p>
    <w:p w14:paraId="3A273ED9" w14:textId="77777777" w:rsidR="00AF2126" w:rsidRPr="00D05C85" w:rsidRDefault="00AF2126" w:rsidP="00AF2126">
      <w:pPr>
        <w:pStyle w:val="SingleTxtG"/>
        <w:ind w:left="2268" w:hanging="1134"/>
        <w:rPr>
          <w:lang w:val="fr-FR"/>
        </w:rPr>
      </w:pPr>
      <w:r w:rsidRPr="00D05C85">
        <w:rPr>
          <w:lang w:val="fr-FR"/>
        </w:rPr>
        <w:t>3.2.4</w:t>
      </w:r>
      <w:r w:rsidRPr="00D05C85">
        <w:rPr>
          <w:lang w:val="fr-FR"/>
        </w:rPr>
        <w:tab/>
        <w:t>Symboles d’identification du feu de signalisation (fonction) qui a obtenu l’homologation de type :</w:t>
      </w:r>
    </w:p>
    <w:p w14:paraId="0EA2CDD2" w14:textId="77777777" w:rsidR="00AF2126" w:rsidRPr="00D05C85" w:rsidRDefault="00AF2126" w:rsidP="00AF2126">
      <w:pPr>
        <w:pStyle w:val="Titre1"/>
        <w:tabs>
          <w:tab w:val="left" w:pos="1701"/>
          <w:tab w:val="left" w:pos="2268"/>
          <w:tab w:val="left" w:pos="2835"/>
        </w:tabs>
        <w:spacing w:after="120"/>
        <w:ind w:left="2268"/>
        <w:rPr>
          <w:rStyle w:val="Carpredefinitoparagrafo1"/>
          <w:b/>
          <w:bCs/>
          <w:lang w:val="fr-FR"/>
        </w:rPr>
      </w:pPr>
      <w:r w:rsidRPr="00D05C85">
        <w:rPr>
          <w:lang w:val="fr-FR"/>
        </w:rPr>
        <w:t>Tableau 1</w:t>
      </w:r>
      <w:r w:rsidRPr="00D05C85">
        <w:rPr>
          <w:lang w:val="fr-FR"/>
        </w:rPr>
        <w:br/>
      </w:r>
      <w:r w:rsidRPr="00D05C85">
        <w:rPr>
          <w:b/>
          <w:bCs/>
          <w:lang w:val="fr-FR"/>
        </w:rPr>
        <w:t>Liste des symboles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23"/>
        <w:gridCol w:w="1006"/>
        <w:gridCol w:w="1008"/>
      </w:tblGrid>
      <w:tr w:rsidR="00AF2126" w:rsidRPr="00D05C85" w14:paraId="43319B93" w14:textId="77777777" w:rsidTr="00E70082">
        <w:trPr>
          <w:cantSplit/>
          <w:trHeight w:val="320"/>
          <w:tblHeader/>
        </w:trPr>
        <w:tc>
          <w:tcPr>
            <w:tcW w:w="4226" w:type="dxa"/>
            <w:shd w:val="clear" w:color="auto" w:fill="auto"/>
            <w:tcMar>
              <w:top w:w="0" w:type="dxa"/>
              <w:left w:w="2" w:type="dxa"/>
              <w:bottom w:w="0" w:type="dxa"/>
              <w:right w:w="2" w:type="dxa"/>
            </w:tcMar>
            <w:vAlign w:val="center"/>
          </w:tcPr>
          <w:p w14:paraId="16BEB39A" w14:textId="77777777" w:rsidR="00AF2126" w:rsidRPr="00D05C85" w:rsidRDefault="00AF2126" w:rsidP="00E70082">
            <w:pPr>
              <w:spacing w:before="80" w:after="80" w:line="200" w:lineRule="exact"/>
              <w:ind w:left="57"/>
              <w:rPr>
                <w:b/>
                <w:bCs/>
                <w:sz w:val="16"/>
                <w:szCs w:val="16"/>
                <w:lang w:val="fr-FR"/>
              </w:rPr>
            </w:pPr>
            <w:r w:rsidRPr="00D05C85">
              <w:rPr>
                <w:b/>
                <w:bCs/>
                <w:i/>
                <w:iCs/>
                <w:sz w:val="16"/>
                <w:szCs w:val="16"/>
                <w:lang w:val="fr-FR"/>
              </w:rPr>
              <w:t>Feu (fonction)</w:t>
            </w:r>
          </w:p>
        </w:tc>
        <w:tc>
          <w:tcPr>
            <w:tcW w:w="1006" w:type="dxa"/>
            <w:shd w:val="clear" w:color="auto" w:fill="auto"/>
            <w:tcMar>
              <w:top w:w="0" w:type="dxa"/>
              <w:left w:w="2" w:type="dxa"/>
              <w:bottom w:w="0" w:type="dxa"/>
              <w:right w:w="2" w:type="dxa"/>
            </w:tcMar>
            <w:vAlign w:val="center"/>
          </w:tcPr>
          <w:p w14:paraId="2CFCEB45" w14:textId="77777777" w:rsidR="00AF2126" w:rsidRPr="00D05C85" w:rsidRDefault="00AF2126" w:rsidP="00E70082">
            <w:pPr>
              <w:spacing w:before="80" w:after="80" w:line="200" w:lineRule="exact"/>
              <w:jc w:val="center"/>
              <w:rPr>
                <w:b/>
                <w:bCs/>
                <w:sz w:val="16"/>
                <w:szCs w:val="16"/>
                <w:lang w:val="fr-FR"/>
              </w:rPr>
            </w:pPr>
            <w:r w:rsidRPr="00D05C85">
              <w:rPr>
                <w:b/>
                <w:bCs/>
                <w:i/>
                <w:iCs/>
                <w:sz w:val="16"/>
                <w:szCs w:val="16"/>
                <w:lang w:val="fr-FR"/>
              </w:rPr>
              <w:t>Symbole</w:t>
            </w:r>
          </w:p>
        </w:tc>
        <w:tc>
          <w:tcPr>
            <w:tcW w:w="1008" w:type="dxa"/>
            <w:shd w:val="clear" w:color="auto" w:fill="auto"/>
            <w:tcMar>
              <w:top w:w="0" w:type="dxa"/>
              <w:left w:w="2" w:type="dxa"/>
              <w:bottom w:w="0" w:type="dxa"/>
              <w:right w:w="2" w:type="dxa"/>
            </w:tcMar>
            <w:vAlign w:val="center"/>
          </w:tcPr>
          <w:p w14:paraId="7DDA851D" w14:textId="77777777" w:rsidR="00AF2126" w:rsidRPr="00D05C85" w:rsidRDefault="00AF2126" w:rsidP="00E70082">
            <w:pPr>
              <w:spacing w:before="80" w:after="80" w:line="200" w:lineRule="exact"/>
              <w:jc w:val="center"/>
              <w:rPr>
                <w:b/>
                <w:bCs/>
                <w:sz w:val="16"/>
                <w:szCs w:val="16"/>
                <w:lang w:val="fr-FR"/>
              </w:rPr>
            </w:pPr>
            <w:r w:rsidRPr="00D05C85">
              <w:rPr>
                <w:b/>
                <w:bCs/>
                <w:i/>
                <w:iCs/>
                <w:sz w:val="16"/>
                <w:szCs w:val="16"/>
                <w:lang w:val="fr-FR"/>
              </w:rPr>
              <w:t>Paragraphe</w:t>
            </w:r>
          </w:p>
        </w:tc>
      </w:tr>
      <w:tr w:rsidR="00AF2126" w:rsidRPr="00D05C85" w14:paraId="67248CA9" w14:textId="77777777" w:rsidTr="00E70082">
        <w:trPr>
          <w:cantSplit/>
          <w:trHeight w:val="20"/>
        </w:trPr>
        <w:tc>
          <w:tcPr>
            <w:tcW w:w="4226" w:type="dxa"/>
            <w:shd w:val="clear" w:color="auto" w:fill="auto"/>
            <w:tcMar>
              <w:top w:w="0" w:type="dxa"/>
              <w:left w:w="2" w:type="dxa"/>
              <w:bottom w:w="0" w:type="dxa"/>
              <w:right w:w="2" w:type="dxa"/>
            </w:tcMar>
            <w:vAlign w:val="center"/>
          </w:tcPr>
          <w:p w14:paraId="612A41EC" w14:textId="77777777" w:rsidR="00AF2126" w:rsidRPr="00D05C85" w:rsidRDefault="00AF2126" w:rsidP="00E70082">
            <w:pPr>
              <w:spacing w:before="40" w:after="40" w:line="220" w:lineRule="exact"/>
              <w:ind w:left="57"/>
              <w:rPr>
                <w:sz w:val="18"/>
                <w:lang w:val="fr-FR"/>
              </w:rPr>
            </w:pPr>
            <w:r w:rsidRPr="00D05C85">
              <w:rPr>
                <w:sz w:val="18"/>
                <w:lang w:val="fr-FR"/>
              </w:rPr>
              <w:t>Feu de circulation diurne</w:t>
            </w:r>
          </w:p>
        </w:tc>
        <w:tc>
          <w:tcPr>
            <w:tcW w:w="1006" w:type="dxa"/>
            <w:shd w:val="clear" w:color="auto" w:fill="auto"/>
            <w:tcMar>
              <w:top w:w="0" w:type="dxa"/>
              <w:left w:w="2" w:type="dxa"/>
              <w:bottom w:w="0" w:type="dxa"/>
              <w:right w:w="2" w:type="dxa"/>
            </w:tcMar>
          </w:tcPr>
          <w:p w14:paraId="2D2FEDAD"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RL</w:t>
            </w:r>
          </w:p>
        </w:tc>
        <w:tc>
          <w:tcPr>
            <w:tcW w:w="1008" w:type="dxa"/>
            <w:shd w:val="clear" w:color="auto" w:fill="auto"/>
            <w:tcMar>
              <w:top w:w="0" w:type="dxa"/>
              <w:left w:w="2" w:type="dxa"/>
              <w:bottom w:w="0" w:type="dxa"/>
              <w:right w:w="2" w:type="dxa"/>
            </w:tcMar>
          </w:tcPr>
          <w:p w14:paraId="22BDD1C1"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5.4</w:t>
            </w:r>
          </w:p>
        </w:tc>
      </w:tr>
      <w:tr w:rsidR="00AF2126" w:rsidRPr="00D05C85" w14:paraId="16BCBCB7" w14:textId="77777777" w:rsidTr="00E70082">
        <w:trPr>
          <w:cantSplit/>
          <w:trHeight w:val="20"/>
        </w:trPr>
        <w:tc>
          <w:tcPr>
            <w:tcW w:w="4226" w:type="dxa"/>
            <w:shd w:val="clear" w:color="auto" w:fill="auto"/>
            <w:tcMar>
              <w:top w:w="0" w:type="dxa"/>
              <w:left w:w="2" w:type="dxa"/>
              <w:bottom w:w="0" w:type="dxa"/>
              <w:right w:w="2" w:type="dxa"/>
            </w:tcMar>
            <w:vAlign w:val="center"/>
          </w:tcPr>
          <w:p w14:paraId="00352E67" w14:textId="77777777" w:rsidR="00AF2126" w:rsidRPr="00D05C85" w:rsidRDefault="00AF2126" w:rsidP="00E70082">
            <w:pPr>
              <w:spacing w:before="40" w:after="40" w:line="220" w:lineRule="exact"/>
              <w:ind w:left="57"/>
              <w:rPr>
                <w:rStyle w:val="Carpredefinitoparagrafo1"/>
                <w:sz w:val="18"/>
                <w:szCs w:val="18"/>
                <w:lang w:val="fr-FR"/>
              </w:rPr>
            </w:pPr>
            <w:r w:rsidRPr="00D05C85">
              <w:rPr>
                <w:sz w:val="18"/>
                <w:szCs w:val="18"/>
                <w:lang w:val="fr-FR"/>
              </w:rPr>
              <w:t>Feu indicateur de direction avant</w:t>
            </w:r>
          </w:p>
        </w:tc>
        <w:tc>
          <w:tcPr>
            <w:tcW w:w="1006" w:type="dxa"/>
            <w:shd w:val="clear" w:color="auto" w:fill="auto"/>
            <w:tcMar>
              <w:top w:w="0" w:type="dxa"/>
              <w:left w:w="2" w:type="dxa"/>
              <w:bottom w:w="0" w:type="dxa"/>
              <w:right w:w="2" w:type="dxa"/>
            </w:tcMar>
          </w:tcPr>
          <w:p w14:paraId="1341D453" w14:textId="418224D4" w:rsidR="00AF2126" w:rsidRPr="00D05C85" w:rsidRDefault="00AF2126" w:rsidP="00E70082">
            <w:pPr>
              <w:spacing w:before="40" w:after="40" w:line="220" w:lineRule="exact"/>
              <w:jc w:val="center"/>
              <w:rPr>
                <w:rStyle w:val="Carpredefinitoparagrafo1"/>
                <w:sz w:val="18"/>
                <w:szCs w:val="18"/>
                <w:lang w:val="fr-FR"/>
              </w:rPr>
            </w:pPr>
            <w:r w:rsidRPr="00D05C85">
              <w:rPr>
                <w:sz w:val="18"/>
                <w:szCs w:val="18"/>
                <w:lang w:val="fr-FR"/>
              </w:rPr>
              <w:t xml:space="preserve">1, 1a, 1b, 11, 11a, 11b </w:t>
            </w:r>
            <w:r w:rsidR="00910B33">
              <w:rPr>
                <w:sz w:val="18"/>
                <w:szCs w:val="18"/>
                <w:lang w:val="fr-FR"/>
              </w:rPr>
              <w:t xml:space="preserve">et </w:t>
            </w:r>
            <w:r w:rsidRPr="00D05C85">
              <w:rPr>
                <w:sz w:val="18"/>
                <w:szCs w:val="18"/>
                <w:lang w:val="fr-FR"/>
              </w:rPr>
              <w:t>11c</w:t>
            </w:r>
          </w:p>
        </w:tc>
        <w:tc>
          <w:tcPr>
            <w:tcW w:w="1008" w:type="dxa"/>
            <w:shd w:val="clear" w:color="auto" w:fill="auto"/>
            <w:tcMar>
              <w:top w:w="0" w:type="dxa"/>
              <w:left w:w="2" w:type="dxa"/>
              <w:bottom w:w="0" w:type="dxa"/>
              <w:right w:w="2" w:type="dxa"/>
            </w:tcMar>
          </w:tcPr>
          <w:p w14:paraId="5F7B42C1" w14:textId="77777777" w:rsidR="00AF2126" w:rsidRPr="00D05C85" w:rsidRDefault="00AF2126" w:rsidP="00E70082">
            <w:pPr>
              <w:spacing w:before="40" w:after="40" w:line="220" w:lineRule="exact"/>
              <w:ind w:left="142"/>
              <w:jc w:val="center"/>
              <w:rPr>
                <w:rStyle w:val="Carpredefinitoparagrafo1"/>
                <w:sz w:val="18"/>
                <w:szCs w:val="18"/>
                <w:lang w:val="fr-FR"/>
              </w:rPr>
            </w:pPr>
            <w:r w:rsidRPr="00D05C85">
              <w:rPr>
                <w:sz w:val="18"/>
                <w:szCs w:val="18"/>
                <w:lang w:val="fr-FR"/>
              </w:rPr>
              <w:t>5.6</w:t>
            </w:r>
          </w:p>
        </w:tc>
      </w:tr>
      <w:tr w:rsidR="00AF2126" w:rsidRPr="00D05C85" w14:paraId="3C4EE23E" w14:textId="77777777" w:rsidTr="00E70082">
        <w:trPr>
          <w:cantSplit/>
          <w:trHeight w:val="20"/>
        </w:trPr>
        <w:tc>
          <w:tcPr>
            <w:tcW w:w="4226" w:type="dxa"/>
            <w:shd w:val="clear" w:color="auto" w:fill="auto"/>
            <w:tcMar>
              <w:top w:w="0" w:type="dxa"/>
              <w:left w:w="2" w:type="dxa"/>
              <w:bottom w:w="0" w:type="dxa"/>
              <w:right w:w="2" w:type="dxa"/>
            </w:tcMar>
            <w:vAlign w:val="center"/>
          </w:tcPr>
          <w:p w14:paraId="61A072EC"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d’encombrement avant</w:t>
            </w:r>
          </w:p>
        </w:tc>
        <w:tc>
          <w:tcPr>
            <w:tcW w:w="1006" w:type="dxa"/>
            <w:shd w:val="clear" w:color="auto" w:fill="auto"/>
            <w:tcMar>
              <w:top w:w="0" w:type="dxa"/>
              <w:left w:w="2" w:type="dxa"/>
              <w:bottom w:w="0" w:type="dxa"/>
              <w:right w:w="2" w:type="dxa"/>
            </w:tcMar>
          </w:tcPr>
          <w:p w14:paraId="6365BBA6"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AM</w:t>
            </w:r>
          </w:p>
        </w:tc>
        <w:tc>
          <w:tcPr>
            <w:tcW w:w="1008" w:type="dxa"/>
            <w:shd w:val="clear" w:color="auto" w:fill="auto"/>
            <w:tcMar>
              <w:top w:w="0" w:type="dxa"/>
              <w:left w:w="2" w:type="dxa"/>
              <w:bottom w:w="0" w:type="dxa"/>
              <w:right w:w="2" w:type="dxa"/>
            </w:tcMar>
          </w:tcPr>
          <w:p w14:paraId="50DCA911"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5.1</w:t>
            </w:r>
          </w:p>
        </w:tc>
      </w:tr>
      <w:tr w:rsidR="00AF2126" w:rsidRPr="00D05C85" w14:paraId="599B7580" w14:textId="77777777" w:rsidTr="00E70082">
        <w:trPr>
          <w:cantSplit/>
          <w:trHeight w:val="20"/>
        </w:trPr>
        <w:tc>
          <w:tcPr>
            <w:tcW w:w="4226" w:type="dxa"/>
            <w:shd w:val="clear" w:color="auto" w:fill="auto"/>
            <w:tcMar>
              <w:top w:w="0" w:type="dxa"/>
              <w:left w:w="2" w:type="dxa"/>
              <w:bottom w:w="0" w:type="dxa"/>
              <w:right w:w="2" w:type="dxa"/>
            </w:tcMar>
            <w:vAlign w:val="center"/>
          </w:tcPr>
          <w:p w14:paraId="394A4209"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 position avant pour véhicules de la catégorie L</w:t>
            </w:r>
          </w:p>
        </w:tc>
        <w:tc>
          <w:tcPr>
            <w:tcW w:w="1006" w:type="dxa"/>
            <w:shd w:val="clear" w:color="auto" w:fill="auto"/>
            <w:tcMar>
              <w:top w:w="0" w:type="dxa"/>
              <w:left w:w="2" w:type="dxa"/>
              <w:bottom w:w="0" w:type="dxa"/>
              <w:right w:w="2" w:type="dxa"/>
            </w:tcMar>
          </w:tcPr>
          <w:p w14:paraId="70D4211E"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MA</w:t>
            </w:r>
          </w:p>
        </w:tc>
        <w:tc>
          <w:tcPr>
            <w:tcW w:w="1008" w:type="dxa"/>
            <w:shd w:val="clear" w:color="auto" w:fill="auto"/>
            <w:tcMar>
              <w:top w:w="0" w:type="dxa"/>
              <w:left w:w="2" w:type="dxa"/>
              <w:bottom w:w="0" w:type="dxa"/>
              <w:right w:w="2" w:type="dxa"/>
            </w:tcMar>
          </w:tcPr>
          <w:p w14:paraId="1507718A"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5.1</w:t>
            </w:r>
          </w:p>
        </w:tc>
      </w:tr>
      <w:tr w:rsidR="00AF2126" w:rsidRPr="00D05C85" w14:paraId="7507C600" w14:textId="77777777" w:rsidTr="00E70082">
        <w:trPr>
          <w:cantSplit/>
          <w:trHeight w:val="20"/>
        </w:trPr>
        <w:tc>
          <w:tcPr>
            <w:tcW w:w="4226" w:type="dxa"/>
            <w:shd w:val="clear" w:color="auto" w:fill="auto"/>
            <w:tcMar>
              <w:top w:w="0" w:type="dxa"/>
              <w:left w:w="2" w:type="dxa"/>
              <w:bottom w:w="0" w:type="dxa"/>
              <w:right w:w="2" w:type="dxa"/>
            </w:tcMar>
            <w:vAlign w:val="center"/>
          </w:tcPr>
          <w:p w14:paraId="3BF79C72"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lastRenderedPageBreak/>
              <w:t>Feu de position avant</w:t>
            </w:r>
          </w:p>
        </w:tc>
        <w:tc>
          <w:tcPr>
            <w:tcW w:w="1006" w:type="dxa"/>
            <w:shd w:val="clear" w:color="auto" w:fill="auto"/>
            <w:tcMar>
              <w:top w:w="0" w:type="dxa"/>
              <w:left w:w="2" w:type="dxa"/>
              <w:bottom w:w="0" w:type="dxa"/>
              <w:right w:w="2" w:type="dxa"/>
            </w:tcMar>
          </w:tcPr>
          <w:p w14:paraId="25399F4D"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A</w:t>
            </w:r>
          </w:p>
        </w:tc>
        <w:tc>
          <w:tcPr>
            <w:tcW w:w="1008" w:type="dxa"/>
            <w:shd w:val="clear" w:color="auto" w:fill="auto"/>
            <w:tcMar>
              <w:top w:w="0" w:type="dxa"/>
              <w:left w:w="2" w:type="dxa"/>
              <w:bottom w:w="0" w:type="dxa"/>
              <w:right w:w="2" w:type="dxa"/>
            </w:tcMar>
          </w:tcPr>
          <w:p w14:paraId="2EA1174E"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5.1</w:t>
            </w:r>
          </w:p>
        </w:tc>
      </w:tr>
      <w:tr w:rsidR="00AF2126" w:rsidRPr="00D05C85" w14:paraId="644A5DB7" w14:textId="77777777" w:rsidTr="00E70082">
        <w:trPr>
          <w:cantSplit/>
          <w:trHeight w:val="20"/>
        </w:trPr>
        <w:tc>
          <w:tcPr>
            <w:tcW w:w="4226" w:type="dxa"/>
            <w:shd w:val="clear" w:color="auto" w:fill="auto"/>
            <w:tcMar>
              <w:top w:w="0" w:type="dxa"/>
              <w:left w:w="2" w:type="dxa"/>
              <w:bottom w:w="0" w:type="dxa"/>
              <w:right w:w="2" w:type="dxa"/>
            </w:tcMar>
            <w:vAlign w:val="center"/>
          </w:tcPr>
          <w:p w14:paraId="4643F6D2"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 manœuvre</w:t>
            </w:r>
          </w:p>
        </w:tc>
        <w:tc>
          <w:tcPr>
            <w:tcW w:w="1006" w:type="dxa"/>
            <w:shd w:val="clear" w:color="auto" w:fill="auto"/>
            <w:tcMar>
              <w:top w:w="0" w:type="dxa"/>
              <w:left w:w="2" w:type="dxa"/>
              <w:bottom w:w="0" w:type="dxa"/>
              <w:right w:w="2" w:type="dxa"/>
            </w:tcMar>
          </w:tcPr>
          <w:p w14:paraId="3860A3D7"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ML</w:t>
            </w:r>
          </w:p>
        </w:tc>
        <w:tc>
          <w:tcPr>
            <w:tcW w:w="1008" w:type="dxa"/>
            <w:shd w:val="clear" w:color="auto" w:fill="auto"/>
            <w:tcMar>
              <w:top w:w="0" w:type="dxa"/>
              <w:left w:w="2" w:type="dxa"/>
              <w:bottom w:w="0" w:type="dxa"/>
              <w:right w:w="2" w:type="dxa"/>
            </w:tcMar>
          </w:tcPr>
          <w:p w14:paraId="6E7A48DE"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5.10</w:t>
            </w:r>
          </w:p>
        </w:tc>
      </w:tr>
      <w:tr w:rsidR="00AF2126" w:rsidRPr="00D05C85" w14:paraId="3385426B" w14:textId="77777777" w:rsidTr="00E70082">
        <w:trPr>
          <w:cantSplit/>
          <w:trHeight w:val="20"/>
        </w:trPr>
        <w:tc>
          <w:tcPr>
            <w:tcW w:w="4226" w:type="dxa"/>
            <w:shd w:val="clear" w:color="auto" w:fill="auto"/>
            <w:tcMar>
              <w:top w:w="0" w:type="dxa"/>
              <w:left w:w="2" w:type="dxa"/>
              <w:bottom w:w="0" w:type="dxa"/>
              <w:right w:w="2" w:type="dxa"/>
            </w:tcMar>
            <w:vAlign w:val="center"/>
          </w:tcPr>
          <w:p w14:paraId="13FA1312"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 stationnement (faisant face vers l’avant ou vers l’arrière)</w:t>
            </w:r>
          </w:p>
        </w:tc>
        <w:tc>
          <w:tcPr>
            <w:tcW w:w="1006" w:type="dxa"/>
            <w:shd w:val="clear" w:color="auto" w:fill="auto"/>
            <w:tcMar>
              <w:top w:w="0" w:type="dxa"/>
              <w:left w:w="2" w:type="dxa"/>
              <w:bottom w:w="0" w:type="dxa"/>
              <w:right w:w="2" w:type="dxa"/>
            </w:tcMar>
          </w:tcPr>
          <w:p w14:paraId="7BBA47FE"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77R</w:t>
            </w:r>
          </w:p>
        </w:tc>
        <w:tc>
          <w:tcPr>
            <w:tcW w:w="1008" w:type="dxa"/>
            <w:shd w:val="clear" w:color="auto" w:fill="auto"/>
            <w:tcMar>
              <w:top w:w="0" w:type="dxa"/>
              <w:left w:w="2" w:type="dxa"/>
              <w:bottom w:w="0" w:type="dxa"/>
              <w:right w:w="2" w:type="dxa"/>
            </w:tcMar>
          </w:tcPr>
          <w:p w14:paraId="3468CCCA"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5.3</w:t>
            </w:r>
          </w:p>
        </w:tc>
      </w:tr>
      <w:tr w:rsidR="00AF2126" w:rsidRPr="00D05C85" w14:paraId="22DE5AA9" w14:textId="77777777" w:rsidTr="00E70082">
        <w:trPr>
          <w:cantSplit/>
          <w:trHeight w:val="20"/>
        </w:trPr>
        <w:tc>
          <w:tcPr>
            <w:tcW w:w="4226" w:type="dxa"/>
            <w:shd w:val="clear" w:color="auto" w:fill="auto"/>
            <w:tcMar>
              <w:top w:w="0" w:type="dxa"/>
              <w:left w:w="2" w:type="dxa"/>
              <w:bottom w:w="0" w:type="dxa"/>
              <w:right w:w="2" w:type="dxa"/>
            </w:tcMar>
            <w:vAlign w:val="center"/>
          </w:tcPr>
          <w:p w14:paraId="1A51BEF7"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indicateur de direction arrière (intensité constante)</w:t>
            </w:r>
          </w:p>
        </w:tc>
        <w:tc>
          <w:tcPr>
            <w:tcW w:w="1006" w:type="dxa"/>
            <w:shd w:val="clear" w:color="auto" w:fill="auto"/>
            <w:tcMar>
              <w:top w:w="0" w:type="dxa"/>
              <w:left w:w="2" w:type="dxa"/>
              <w:bottom w:w="0" w:type="dxa"/>
              <w:right w:w="2" w:type="dxa"/>
            </w:tcMar>
          </w:tcPr>
          <w:p w14:paraId="4D17D722"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2a</w:t>
            </w:r>
          </w:p>
        </w:tc>
        <w:tc>
          <w:tcPr>
            <w:tcW w:w="1008" w:type="dxa"/>
            <w:shd w:val="clear" w:color="auto" w:fill="auto"/>
            <w:tcMar>
              <w:top w:w="0" w:type="dxa"/>
              <w:left w:w="2" w:type="dxa"/>
              <w:bottom w:w="0" w:type="dxa"/>
              <w:right w:w="2" w:type="dxa"/>
            </w:tcMar>
          </w:tcPr>
          <w:p w14:paraId="26A4FF2E"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5.6</w:t>
            </w:r>
          </w:p>
        </w:tc>
      </w:tr>
      <w:tr w:rsidR="00AF2126" w:rsidRPr="00D05C85" w14:paraId="5F7447DD" w14:textId="77777777" w:rsidTr="00E70082">
        <w:trPr>
          <w:cantSplit/>
          <w:trHeight w:val="20"/>
        </w:trPr>
        <w:tc>
          <w:tcPr>
            <w:tcW w:w="4226" w:type="dxa"/>
            <w:shd w:val="clear" w:color="auto" w:fill="auto"/>
            <w:tcMar>
              <w:top w:w="0" w:type="dxa"/>
              <w:left w:w="2" w:type="dxa"/>
              <w:bottom w:w="0" w:type="dxa"/>
              <w:right w:w="2" w:type="dxa"/>
            </w:tcMar>
            <w:vAlign w:val="center"/>
          </w:tcPr>
          <w:p w14:paraId="4748BBCB"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indicateur de direction arrière (intensité variable)</w:t>
            </w:r>
          </w:p>
        </w:tc>
        <w:tc>
          <w:tcPr>
            <w:tcW w:w="1006" w:type="dxa"/>
            <w:shd w:val="clear" w:color="auto" w:fill="auto"/>
            <w:tcMar>
              <w:top w:w="0" w:type="dxa"/>
              <w:left w:w="2" w:type="dxa"/>
              <w:bottom w:w="0" w:type="dxa"/>
              <w:right w:w="2" w:type="dxa"/>
            </w:tcMar>
          </w:tcPr>
          <w:p w14:paraId="4C592FA4"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2b</w:t>
            </w:r>
          </w:p>
        </w:tc>
        <w:tc>
          <w:tcPr>
            <w:tcW w:w="1008" w:type="dxa"/>
            <w:shd w:val="clear" w:color="auto" w:fill="auto"/>
            <w:tcMar>
              <w:top w:w="0" w:type="dxa"/>
              <w:left w:w="2" w:type="dxa"/>
              <w:bottom w:w="0" w:type="dxa"/>
              <w:right w:w="2" w:type="dxa"/>
            </w:tcMar>
          </w:tcPr>
          <w:p w14:paraId="148578B4"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5.6</w:t>
            </w:r>
          </w:p>
        </w:tc>
      </w:tr>
      <w:tr w:rsidR="00AF2126" w:rsidRPr="00D05C85" w14:paraId="39D780B3" w14:textId="77777777" w:rsidTr="00E70082">
        <w:trPr>
          <w:cantSplit/>
          <w:trHeight w:val="20"/>
        </w:trPr>
        <w:tc>
          <w:tcPr>
            <w:tcW w:w="4226" w:type="dxa"/>
            <w:shd w:val="clear" w:color="auto" w:fill="auto"/>
            <w:tcMar>
              <w:top w:w="0" w:type="dxa"/>
              <w:left w:w="2" w:type="dxa"/>
              <w:bottom w:w="0" w:type="dxa"/>
              <w:right w:w="2" w:type="dxa"/>
            </w:tcMar>
            <w:vAlign w:val="center"/>
          </w:tcPr>
          <w:p w14:paraId="0AF5C527"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indicateur de direction arrière pour véhicules de la catégorie L</w:t>
            </w:r>
          </w:p>
        </w:tc>
        <w:tc>
          <w:tcPr>
            <w:tcW w:w="1006" w:type="dxa"/>
            <w:shd w:val="clear" w:color="auto" w:fill="auto"/>
            <w:tcMar>
              <w:top w:w="0" w:type="dxa"/>
              <w:left w:w="2" w:type="dxa"/>
              <w:bottom w:w="0" w:type="dxa"/>
              <w:right w:w="2" w:type="dxa"/>
            </w:tcMar>
          </w:tcPr>
          <w:p w14:paraId="119910CF"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12</w:t>
            </w:r>
          </w:p>
        </w:tc>
        <w:tc>
          <w:tcPr>
            <w:tcW w:w="1008" w:type="dxa"/>
            <w:shd w:val="clear" w:color="auto" w:fill="auto"/>
            <w:tcMar>
              <w:top w:w="0" w:type="dxa"/>
              <w:left w:w="2" w:type="dxa"/>
              <w:bottom w:w="0" w:type="dxa"/>
              <w:right w:w="2" w:type="dxa"/>
            </w:tcMar>
          </w:tcPr>
          <w:p w14:paraId="38268C0C"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5.6</w:t>
            </w:r>
          </w:p>
        </w:tc>
      </w:tr>
      <w:tr w:rsidR="00AF2126" w:rsidRPr="00D05C85" w14:paraId="31F74BF5" w14:textId="77777777" w:rsidTr="00E70082">
        <w:trPr>
          <w:cantSplit/>
          <w:trHeight w:val="20"/>
        </w:trPr>
        <w:tc>
          <w:tcPr>
            <w:tcW w:w="4226" w:type="dxa"/>
            <w:shd w:val="clear" w:color="auto" w:fill="auto"/>
            <w:tcMar>
              <w:top w:w="0" w:type="dxa"/>
              <w:left w:w="2" w:type="dxa"/>
              <w:bottom w:w="0" w:type="dxa"/>
              <w:right w:w="2" w:type="dxa"/>
            </w:tcMar>
            <w:vAlign w:val="center"/>
          </w:tcPr>
          <w:p w14:paraId="1B7132CA"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d’encombrement arrière (intensité constante)</w:t>
            </w:r>
          </w:p>
        </w:tc>
        <w:tc>
          <w:tcPr>
            <w:tcW w:w="1006" w:type="dxa"/>
            <w:shd w:val="clear" w:color="auto" w:fill="auto"/>
            <w:tcMar>
              <w:top w:w="0" w:type="dxa"/>
              <w:left w:w="2" w:type="dxa"/>
              <w:bottom w:w="0" w:type="dxa"/>
              <w:right w:w="2" w:type="dxa"/>
            </w:tcMar>
          </w:tcPr>
          <w:p w14:paraId="60B6281A"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RM1</w:t>
            </w:r>
          </w:p>
        </w:tc>
        <w:tc>
          <w:tcPr>
            <w:tcW w:w="1008" w:type="dxa"/>
            <w:shd w:val="clear" w:color="auto" w:fill="auto"/>
            <w:tcMar>
              <w:top w:w="0" w:type="dxa"/>
              <w:left w:w="2" w:type="dxa"/>
              <w:bottom w:w="0" w:type="dxa"/>
              <w:right w:w="2" w:type="dxa"/>
            </w:tcMar>
          </w:tcPr>
          <w:p w14:paraId="472D5A8A"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5.2</w:t>
            </w:r>
          </w:p>
        </w:tc>
      </w:tr>
      <w:tr w:rsidR="00AF2126" w:rsidRPr="00D05C85" w14:paraId="2DEA9A6A" w14:textId="77777777" w:rsidTr="00E70082">
        <w:trPr>
          <w:cantSplit/>
          <w:trHeight w:val="20"/>
        </w:trPr>
        <w:tc>
          <w:tcPr>
            <w:tcW w:w="4226" w:type="dxa"/>
            <w:shd w:val="clear" w:color="auto" w:fill="auto"/>
            <w:tcMar>
              <w:top w:w="0" w:type="dxa"/>
              <w:left w:w="2" w:type="dxa"/>
              <w:bottom w:w="0" w:type="dxa"/>
              <w:right w:w="2" w:type="dxa"/>
            </w:tcMar>
            <w:vAlign w:val="center"/>
          </w:tcPr>
          <w:p w14:paraId="7729B816"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d’encombrement arrière (intensité variable)</w:t>
            </w:r>
          </w:p>
        </w:tc>
        <w:tc>
          <w:tcPr>
            <w:tcW w:w="1006" w:type="dxa"/>
            <w:shd w:val="clear" w:color="auto" w:fill="auto"/>
            <w:tcMar>
              <w:top w:w="0" w:type="dxa"/>
              <w:left w:w="2" w:type="dxa"/>
              <w:bottom w:w="0" w:type="dxa"/>
              <w:right w:w="2" w:type="dxa"/>
            </w:tcMar>
          </w:tcPr>
          <w:p w14:paraId="16882C24"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RM2</w:t>
            </w:r>
          </w:p>
        </w:tc>
        <w:tc>
          <w:tcPr>
            <w:tcW w:w="1008" w:type="dxa"/>
            <w:shd w:val="clear" w:color="auto" w:fill="auto"/>
            <w:tcMar>
              <w:top w:w="0" w:type="dxa"/>
              <w:left w:w="2" w:type="dxa"/>
              <w:bottom w:w="0" w:type="dxa"/>
              <w:right w:w="2" w:type="dxa"/>
            </w:tcMar>
          </w:tcPr>
          <w:p w14:paraId="01121635"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5.2</w:t>
            </w:r>
          </w:p>
        </w:tc>
      </w:tr>
      <w:tr w:rsidR="00AF2126" w:rsidRPr="00D05C85" w14:paraId="00B782AA" w14:textId="77777777" w:rsidTr="00E70082">
        <w:trPr>
          <w:cantSplit/>
          <w:trHeight w:val="20"/>
        </w:trPr>
        <w:tc>
          <w:tcPr>
            <w:tcW w:w="4226" w:type="dxa"/>
            <w:shd w:val="clear" w:color="auto" w:fill="auto"/>
            <w:tcMar>
              <w:top w:w="0" w:type="dxa"/>
              <w:left w:w="2" w:type="dxa"/>
              <w:bottom w:w="0" w:type="dxa"/>
              <w:right w:w="2" w:type="dxa"/>
            </w:tcMar>
            <w:vAlign w:val="center"/>
          </w:tcPr>
          <w:p w14:paraId="1C329FF7" w14:textId="77777777" w:rsidR="00AF2126" w:rsidRPr="00D05C85" w:rsidRDefault="00AF2126" w:rsidP="00E70082">
            <w:pPr>
              <w:spacing w:before="40" w:after="120" w:line="220" w:lineRule="exact"/>
              <w:ind w:left="57" w:right="162"/>
              <w:rPr>
                <w:sz w:val="18"/>
                <w:szCs w:val="18"/>
                <w:lang w:val="fr-FR"/>
              </w:rPr>
            </w:pPr>
            <w:r w:rsidRPr="00D05C85">
              <w:rPr>
                <w:sz w:val="18"/>
                <w:szCs w:val="18"/>
                <w:lang w:val="fr-FR"/>
              </w:rPr>
              <w:t>Feu de brouillard arrière (intensité constante)</w:t>
            </w:r>
          </w:p>
        </w:tc>
        <w:tc>
          <w:tcPr>
            <w:tcW w:w="1006" w:type="dxa"/>
            <w:shd w:val="clear" w:color="auto" w:fill="auto"/>
            <w:tcMar>
              <w:top w:w="0" w:type="dxa"/>
              <w:left w:w="2" w:type="dxa"/>
              <w:bottom w:w="0" w:type="dxa"/>
              <w:right w:w="2" w:type="dxa"/>
            </w:tcMar>
          </w:tcPr>
          <w:p w14:paraId="5D2F8256"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F1</w:t>
            </w:r>
          </w:p>
        </w:tc>
        <w:tc>
          <w:tcPr>
            <w:tcW w:w="1008" w:type="dxa"/>
            <w:shd w:val="clear" w:color="auto" w:fill="auto"/>
            <w:tcMar>
              <w:top w:w="0" w:type="dxa"/>
              <w:left w:w="2" w:type="dxa"/>
              <w:bottom w:w="0" w:type="dxa"/>
              <w:right w:w="2" w:type="dxa"/>
            </w:tcMar>
          </w:tcPr>
          <w:p w14:paraId="02A7F6E6"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5.9</w:t>
            </w:r>
          </w:p>
        </w:tc>
      </w:tr>
      <w:tr w:rsidR="00AF2126" w:rsidRPr="00D05C85" w14:paraId="75B8B38D" w14:textId="77777777" w:rsidTr="00E70082">
        <w:trPr>
          <w:cantSplit/>
          <w:trHeight w:val="20"/>
        </w:trPr>
        <w:tc>
          <w:tcPr>
            <w:tcW w:w="4226" w:type="dxa"/>
            <w:shd w:val="clear" w:color="auto" w:fill="auto"/>
            <w:tcMar>
              <w:top w:w="0" w:type="dxa"/>
              <w:left w:w="2" w:type="dxa"/>
              <w:bottom w:w="0" w:type="dxa"/>
              <w:right w:w="2" w:type="dxa"/>
            </w:tcMar>
            <w:vAlign w:val="center"/>
          </w:tcPr>
          <w:p w14:paraId="1B1C7493"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 brouillard arrière (intensité variable)</w:t>
            </w:r>
          </w:p>
        </w:tc>
        <w:tc>
          <w:tcPr>
            <w:tcW w:w="1006" w:type="dxa"/>
            <w:shd w:val="clear" w:color="auto" w:fill="auto"/>
            <w:tcMar>
              <w:top w:w="0" w:type="dxa"/>
              <w:left w:w="2" w:type="dxa"/>
              <w:bottom w:w="0" w:type="dxa"/>
              <w:right w:w="2" w:type="dxa"/>
            </w:tcMar>
          </w:tcPr>
          <w:p w14:paraId="2DB0FA73"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F2</w:t>
            </w:r>
          </w:p>
        </w:tc>
        <w:tc>
          <w:tcPr>
            <w:tcW w:w="1008" w:type="dxa"/>
            <w:shd w:val="clear" w:color="auto" w:fill="auto"/>
            <w:tcMar>
              <w:top w:w="0" w:type="dxa"/>
              <w:left w:w="2" w:type="dxa"/>
              <w:bottom w:w="0" w:type="dxa"/>
              <w:right w:w="2" w:type="dxa"/>
            </w:tcMar>
          </w:tcPr>
          <w:p w14:paraId="7984C64F"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5.9</w:t>
            </w:r>
          </w:p>
        </w:tc>
      </w:tr>
      <w:tr w:rsidR="00AF2126" w:rsidRPr="00D05C85" w14:paraId="7D3FD05B" w14:textId="77777777" w:rsidTr="00E70082">
        <w:trPr>
          <w:cantSplit/>
          <w:trHeight w:val="20"/>
        </w:trPr>
        <w:tc>
          <w:tcPr>
            <w:tcW w:w="4226" w:type="dxa"/>
            <w:shd w:val="clear" w:color="auto" w:fill="auto"/>
            <w:tcMar>
              <w:top w:w="0" w:type="dxa"/>
              <w:left w:w="2" w:type="dxa"/>
              <w:bottom w:w="0" w:type="dxa"/>
              <w:right w:w="2" w:type="dxa"/>
            </w:tcMar>
            <w:vAlign w:val="center"/>
          </w:tcPr>
          <w:p w14:paraId="49CD3191"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 position arrière pour véhicules de la catégorie L</w:t>
            </w:r>
          </w:p>
        </w:tc>
        <w:tc>
          <w:tcPr>
            <w:tcW w:w="1006" w:type="dxa"/>
            <w:shd w:val="clear" w:color="auto" w:fill="auto"/>
            <w:tcMar>
              <w:top w:w="0" w:type="dxa"/>
              <w:left w:w="2" w:type="dxa"/>
              <w:bottom w:w="0" w:type="dxa"/>
              <w:right w:w="2" w:type="dxa"/>
            </w:tcMar>
          </w:tcPr>
          <w:p w14:paraId="5FF35F91"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MR</w:t>
            </w:r>
          </w:p>
        </w:tc>
        <w:tc>
          <w:tcPr>
            <w:tcW w:w="1008" w:type="dxa"/>
            <w:shd w:val="clear" w:color="auto" w:fill="auto"/>
            <w:tcMar>
              <w:top w:w="0" w:type="dxa"/>
              <w:left w:w="2" w:type="dxa"/>
              <w:bottom w:w="0" w:type="dxa"/>
              <w:right w:w="2" w:type="dxa"/>
            </w:tcMar>
          </w:tcPr>
          <w:p w14:paraId="16A619FE"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5.2</w:t>
            </w:r>
          </w:p>
        </w:tc>
      </w:tr>
      <w:tr w:rsidR="00AF2126" w:rsidRPr="00D05C85" w14:paraId="7FD81DE6" w14:textId="77777777" w:rsidTr="00E70082">
        <w:trPr>
          <w:cantSplit/>
          <w:trHeight w:val="20"/>
        </w:trPr>
        <w:tc>
          <w:tcPr>
            <w:tcW w:w="4226" w:type="dxa"/>
            <w:shd w:val="clear" w:color="auto" w:fill="auto"/>
            <w:tcMar>
              <w:top w:w="0" w:type="dxa"/>
              <w:left w:w="2" w:type="dxa"/>
              <w:bottom w:w="0" w:type="dxa"/>
              <w:right w:w="2" w:type="dxa"/>
            </w:tcMar>
            <w:vAlign w:val="center"/>
          </w:tcPr>
          <w:p w14:paraId="14291DE9"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 position arrière (intensité constante)</w:t>
            </w:r>
          </w:p>
        </w:tc>
        <w:tc>
          <w:tcPr>
            <w:tcW w:w="1006" w:type="dxa"/>
            <w:shd w:val="clear" w:color="auto" w:fill="auto"/>
            <w:tcMar>
              <w:top w:w="0" w:type="dxa"/>
              <w:left w:w="2" w:type="dxa"/>
              <w:bottom w:w="0" w:type="dxa"/>
              <w:right w:w="2" w:type="dxa"/>
            </w:tcMar>
          </w:tcPr>
          <w:p w14:paraId="086D2806"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R1</w:t>
            </w:r>
          </w:p>
        </w:tc>
        <w:tc>
          <w:tcPr>
            <w:tcW w:w="1008" w:type="dxa"/>
            <w:shd w:val="clear" w:color="auto" w:fill="auto"/>
            <w:tcMar>
              <w:top w:w="0" w:type="dxa"/>
              <w:left w:w="2" w:type="dxa"/>
              <w:bottom w:w="0" w:type="dxa"/>
              <w:right w:w="2" w:type="dxa"/>
            </w:tcMar>
          </w:tcPr>
          <w:p w14:paraId="5EA52061"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5.2</w:t>
            </w:r>
          </w:p>
        </w:tc>
      </w:tr>
      <w:tr w:rsidR="00AF2126" w:rsidRPr="00D05C85" w14:paraId="7A590C20" w14:textId="77777777" w:rsidTr="00E70082">
        <w:trPr>
          <w:cantSplit/>
          <w:trHeight w:val="20"/>
        </w:trPr>
        <w:tc>
          <w:tcPr>
            <w:tcW w:w="4226" w:type="dxa"/>
            <w:shd w:val="clear" w:color="auto" w:fill="auto"/>
            <w:tcMar>
              <w:top w:w="0" w:type="dxa"/>
              <w:left w:w="2" w:type="dxa"/>
              <w:bottom w:w="0" w:type="dxa"/>
              <w:right w:w="2" w:type="dxa"/>
            </w:tcMar>
            <w:vAlign w:val="center"/>
          </w:tcPr>
          <w:p w14:paraId="20FFF9A4"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 position arrière (intensité variable)</w:t>
            </w:r>
          </w:p>
        </w:tc>
        <w:tc>
          <w:tcPr>
            <w:tcW w:w="1006" w:type="dxa"/>
            <w:shd w:val="clear" w:color="auto" w:fill="auto"/>
            <w:tcMar>
              <w:top w:w="0" w:type="dxa"/>
              <w:left w:w="2" w:type="dxa"/>
              <w:bottom w:w="0" w:type="dxa"/>
              <w:right w:w="2" w:type="dxa"/>
            </w:tcMar>
          </w:tcPr>
          <w:p w14:paraId="1718D070"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R2</w:t>
            </w:r>
          </w:p>
        </w:tc>
        <w:tc>
          <w:tcPr>
            <w:tcW w:w="1008" w:type="dxa"/>
            <w:shd w:val="clear" w:color="auto" w:fill="auto"/>
            <w:tcMar>
              <w:top w:w="0" w:type="dxa"/>
              <w:left w:w="2" w:type="dxa"/>
              <w:bottom w:w="0" w:type="dxa"/>
              <w:right w:w="2" w:type="dxa"/>
            </w:tcMar>
          </w:tcPr>
          <w:p w14:paraId="2E011395"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5.2</w:t>
            </w:r>
          </w:p>
        </w:tc>
      </w:tr>
      <w:tr w:rsidR="00AF2126" w:rsidRPr="00D05C85" w14:paraId="275AEFA0" w14:textId="77777777" w:rsidTr="00E70082">
        <w:trPr>
          <w:cantSplit/>
          <w:trHeight w:val="20"/>
        </w:trPr>
        <w:tc>
          <w:tcPr>
            <w:tcW w:w="4226" w:type="dxa"/>
            <w:shd w:val="clear" w:color="auto" w:fill="auto"/>
            <w:tcMar>
              <w:top w:w="0" w:type="dxa"/>
              <w:left w:w="2" w:type="dxa"/>
              <w:bottom w:w="0" w:type="dxa"/>
              <w:right w:w="2" w:type="dxa"/>
            </w:tcMar>
            <w:vAlign w:val="center"/>
          </w:tcPr>
          <w:p w14:paraId="45330F07"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d’éclairage de la plaque d’immatriculation arrière</w:t>
            </w:r>
          </w:p>
        </w:tc>
        <w:tc>
          <w:tcPr>
            <w:tcW w:w="1006" w:type="dxa"/>
            <w:shd w:val="clear" w:color="auto" w:fill="auto"/>
            <w:tcMar>
              <w:top w:w="0" w:type="dxa"/>
              <w:left w:w="2" w:type="dxa"/>
              <w:bottom w:w="0" w:type="dxa"/>
              <w:right w:w="2" w:type="dxa"/>
            </w:tcMar>
          </w:tcPr>
          <w:p w14:paraId="52D44C7E"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L</w:t>
            </w:r>
          </w:p>
        </w:tc>
        <w:tc>
          <w:tcPr>
            <w:tcW w:w="1008" w:type="dxa"/>
            <w:shd w:val="clear" w:color="auto" w:fill="auto"/>
            <w:tcMar>
              <w:top w:w="0" w:type="dxa"/>
              <w:left w:w="2" w:type="dxa"/>
              <w:bottom w:w="0" w:type="dxa"/>
              <w:right w:w="2" w:type="dxa"/>
            </w:tcMar>
          </w:tcPr>
          <w:p w14:paraId="35876C85"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5.11</w:t>
            </w:r>
          </w:p>
        </w:tc>
      </w:tr>
      <w:tr w:rsidR="00AF2126" w:rsidRPr="00D05C85" w14:paraId="21284840" w14:textId="77777777" w:rsidTr="00E70082">
        <w:trPr>
          <w:cantSplit/>
          <w:trHeight w:val="20"/>
        </w:trPr>
        <w:tc>
          <w:tcPr>
            <w:tcW w:w="4226" w:type="dxa"/>
            <w:shd w:val="clear" w:color="auto" w:fill="auto"/>
            <w:tcMar>
              <w:top w:w="0" w:type="dxa"/>
              <w:left w:w="2" w:type="dxa"/>
              <w:bottom w:w="0" w:type="dxa"/>
              <w:right w:w="2" w:type="dxa"/>
            </w:tcMar>
            <w:vAlign w:val="center"/>
          </w:tcPr>
          <w:p w14:paraId="66A7A7A3"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d’éclairage de la plaque d’immatriculation arrière pour véhicules de la catégorie L</w:t>
            </w:r>
          </w:p>
        </w:tc>
        <w:tc>
          <w:tcPr>
            <w:tcW w:w="1006" w:type="dxa"/>
            <w:shd w:val="clear" w:color="auto" w:fill="auto"/>
            <w:tcMar>
              <w:top w:w="0" w:type="dxa"/>
              <w:left w:w="2" w:type="dxa"/>
              <w:bottom w:w="0" w:type="dxa"/>
              <w:right w:w="2" w:type="dxa"/>
            </w:tcMar>
          </w:tcPr>
          <w:p w14:paraId="48D7023D"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LM1</w:t>
            </w:r>
          </w:p>
        </w:tc>
        <w:tc>
          <w:tcPr>
            <w:tcW w:w="1008" w:type="dxa"/>
            <w:shd w:val="clear" w:color="auto" w:fill="auto"/>
            <w:tcMar>
              <w:top w:w="0" w:type="dxa"/>
              <w:left w:w="2" w:type="dxa"/>
              <w:bottom w:w="0" w:type="dxa"/>
              <w:right w:w="2" w:type="dxa"/>
            </w:tcMar>
          </w:tcPr>
          <w:p w14:paraId="7B7DB8D2"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5.11</w:t>
            </w:r>
          </w:p>
        </w:tc>
      </w:tr>
      <w:tr w:rsidR="00AF2126" w:rsidRPr="00D05C85" w14:paraId="33907D2E" w14:textId="77777777" w:rsidTr="00E70082">
        <w:trPr>
          <w:cantSplit/>
          <w:trHeight w:val="20"/>
        </w:trPr>
        <w:tc>
          <w:tcPr>
            <w:tcW w:w="4226" w:type="dxa"/>
            <w:shd w:val="clear" w:color="auto" w:fill="auto"/>
            <w:tcMar>
              <w:top w:w="0" w:type="dxa"/>
              <w:left w:w="2" w:type="dxa"/>
              <w:bottom w:w="0" w:type="dxa"/>
              <w:right w:w="2" w:type="dxa"/>
            </w:tcMar>
            <w:vAlign w:val="center"/>
          </w:tcPr>
          <w:p w14:paraId="216891C0" w14:textId="7B5C98EC" w:rsidR="00AF2126" w:rsidRPr="00D05C85" w:rsidRDefault="00AF2126" w:rsidP="00E70082">
            <w:pPr>
              <w:spacing w:before="40" w:after="40" w:line="220" w:lineRule="exact"/>
              <w:ind w:left="57"/>
              <w:rPr>
                <w:sz w:val="18"/>
                <w:szCs w:val="18"/>
                <w:lang w:val="fr-FR"/>
              </w:rPr>
            </w:pPr>
            <w:r w:rsidRPr="00D05C85">
              <w:rPr>
                <w:sz w:val="18"/>
                <w:szCs w:val="18"/>
                <w:lang w:val="fr-FR"/>
              </w:rPr>
              <w:t xml:space="preserve">Feu de marche arrière (note : les lettres A </w:t>
            </w:r>
            <w:r w:rsidR="00910B33">
              <w:rPr>
                <w:sz w:val="18"/>
                <w:szCs w:val="18"/>
                <w:lang w:val="fr-FR"/>
              </w:rPr>
              <w:t xml:space="preserve">et </w:t>
            </w:r>
            <w:r w:rsidRPr="00D05C85">
              <w:rPr>
                <w:sz w:val="18"/>
                <w:szCs w:val="18"/>
                <w:lang w:val="fr-FR"/>
              </w:rPr>
              <w:t>R peuvent être combinées)</w:t>
            </w:r>
          </w:p>
        </w:tc>
        <w:tc>
          <w:tcPr>
            <w:tcW w:w="1006" w:type="dxa"/>
            <w:shd w:val="clear" w:color="auto" w:fill="auto"/>
            <w:tcMar>
              <w:top w:w="0" w:type="dxa"/>
              <w:left w:w="2" w:type="dxa"/>
              <w:bottom w:w="0" w:type="dxa"/>
              <w:right w:w="2" w:type="dxa"/>
            </w:tcMar>
          </w:tcPr>
          <w:p w14:paraId="43AC25B4"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AR</w:t>
            </w:r>
          </w:p>
        </w:tc>
        <w:tc>
          <w:tcPr>
            <w:tcW w:w="1008" w:type="dxa"/>
            <w:shd w:val="clear" w:color="auto" w:fill="auto"/>
            <w:tcMar>
              <w:top w:w="0" w:type="dxa"/>
              <w:left w:w="2" w:type="dxa"/>
              <w:bottom w:w="0" w:type="dxa"/>
              <w:right w:w="2" w:type="dxa"/>
            </w:tcMar>
          </w:tcPr>
          <w:p w14:paraId="3E2F31A6"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5.8</w:t>
            </w:r>
          </w:p>
        </w:tc>
      </w:tr>
      <w:tr w:rsidR="00AF2126" w:rsidRPr="00D05C85" w14:paraId="5D42A2D4" w14:textId="77777777" w:rsidTr="00E70082">
        <w:trPr>
          <w:cantSplit/>
          <w:trHeight w:val="20"/>
        </w:trPr>
        <w:tc>
          <w:tcPr>
            <w:tcW w:w="4226" w:type="dxa"/>
            <w:shd w:val="clear" w:color="auto" w:fill="auto"/>
            <w:tcMar>
              <w:top w:w="0" w:type="dxa"/>
              <w:left w:w="2" w:type="dxa"/>
              <w:bottom w:w="0" w:type="dxa"/>
              <w:right w:w="2" w:type="dxa"/>
            </w:tcMar>
            <w:vAlign w:val="center"/>
          </w:tcPr>
          <w:p w14:paraId="491F1950" w14:textId="77777777" w:rsidR="00AF2126" w:rsidRPr="00D05C85" w:rsidRDefault="00AF2126" w:rsidP="00E70082">
            <w:pPr>
              <w:spacing w:before="40" w:after="40" w:line="220" w:lineRule="exact"/>
              <w:ind w:left="57"/>
              <w:rPr>
                <w:rStyle w:val="Carpredefinitoparagrafo1"/>
                <w:sz w:val="18"/>
                <w:szCs w:val="18"/>
                <w:lang w:val="fr-FR"/>
              </w:rPr>
            </w:pPr>
            <w:r w:rsidRPr="00D05C85">
              <w:rPr>
                <w:sz w:val="18"/>
                <w:szCs w:val="18"/>
                <w:lang w:val="fr-FR"/>
              </w:rPr>
              <w:t>Feu indicateur de direction latéral</w:t>
            </w:r>
          </w:p>
        </w:tc>
        <w:tc>
          <w:tcPr>
            <w:tcW w:w="1006" w:type="dxa"/>
            <w:shd w:val="clear" w:color="auto" w:fill="auto"/>
            <w:tcMar>
              <w:top w:w="0" w:type="dxa"/>
              <w:left w:w="2" w:type="dxa"/>
              <w:bottom w:w="0" w:type="dxa"/>
              <w:right w:w="2" w:type="dxa"/>
            </w:tcMar>
          </w:tcPr>
          <w:p w14:paraId="491AF677" w14:textId="4A3101DD" w:rsidR="00AF2126" w:rsidRPr="00D05C85" w:rsidRDefault="00AF2126" w:rsidP="00E70082">
            <w:pPr>
              <w:spacing w:before="40" w:after="40" w:line="220" w:lineRule="exact"/>
              <w:jc w:val="center"/>
              <w:rPr>
                <w:rStyle w:val="Carpredefinitoparagrafo1"/>
                <w:sz w:val="18"/>
                <w:szCs w:val="18"/>
                <w:lang w:val="fr-FR"/>
              </w:rPr>
            </w:pPr>
            <w:r w:rsidRPr="00D05C85">
              <w:rPr>
                <w:sz w:val="18"/>
                <w:szCs w:val="18"/>
                <w:lang w:val="fr-FR"/>
              </w:rPr>
              <w:t xml:space="preserve">5 </w:t>
            </w:r>
            <w:r w:rsidR="00910B33">
              <w:rPr>
                <w:sz w:val="18"/>
                <w:szCs w:val="18"/>
                <w:lang w:val="fr-FR"/>
              </w:rPr>
              <w:t xml:space="preserve">et </w:t>
            </w:r>
            <w:r w:rsidRPr="00D05C85">
              <w:rPr>
                <w:sz w:val="18"/>
                <w:szCs w:val="18"/>
                <w:lang w:val="fr-FR"/>
              </w:rPr>
              <w:t>6</w:t>
            </w:r>
          </w:p>
        </w:tc>
        <w:tc>
          <w:tcPr>
            <w:tcW w:w="1008" w:type="dxa"/>
            <w:shd w:val="clear" w:color="auto" w:fill="auto"/>
            <w:tcMar>
              <w:top w:w="0" w:type="dxa"/>
              <w:left w:w="2" w:type="dxa"/>
              <w:bottom w:w="0" w:type="dxa"/>
              <w:right w:w="2" w:type="dxa"/>
            </w:tcMar>
          </w:tcPr>
          <w:p w14:paraId="2A6E1C5B" w14:textId="77777777" w:rsidR="00AF2126" w:rsidRPr="00D05C85" w:rsidRDefault="00AF2126" w:rsidP="00E70082">
            <w:pPr>
              <w:spacing w:before="40" w:after="40" w:line="220" w:lineRule="exact"/>
              <w:ind w:left="142"/>
              <w:jc w:val="center"/>
              <w:rPr>
                <w:rStyle w:val="Carpredefinitoparagrafo1"/>
                <w:sz w:val="18"/>
                <w:szCs w:val="18"/>
                <w:lang w:val="fr-FR"/>
              </w:rPr>
            </w:pPr>
            <w:r w:rsidRPr="00D05C85">
              <w:rPr>
                <w:sz w:val="18"/>
                <w:szCs w:val="18"/>
                <w:lang w:val="fr-FR"/>
              </w:rPr>
              <w:t>5.6</w:t>
            </w:r>
          </w:p>
        </w:tc>
      </w:tr>
      <w:tr w:rsidR="00AF2126" w:rsidRPr="00D05C85" w14:paraId="1C909796" w14:textId="77777777" w:rsidTr="00E70082">
        <w:trPr>
          <w:cantSplit/>
          <w:trHeight w:val="20"/>
        </w:trPr>
        <w:tc>
          <w:tcPr>
            <w:tcW w:w="4226" w:type="dxa"/>
            <w:shd w:val="clear" w:color="auto" w:fill="auto"/>
            <w:tcMar>
              <w:top w:w="0" w:type="dxa"/>
              <w:left w:w="2" w:type="dxa"/>
              <w:bottom w:w="0" w:type="dxa"/>
              <w:right w:w="2" w:type="dxa"/>
            </w:tcMar>
            <w:vAlign w:val="center"/>
          </w:tcPr>
          <w:p w14:paraId="606D7BB3"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 position latéral pour toutes les catégories de véhicules</w:t>
            </w:r>
          </w:p>
        </w:tc>
        <w:tc>
          <w:tcPr>
            <w:tcW w:w="1006" w:type="dxa"/>
            <w:shd w:val="clear" w:color="auto" w:fill="auto"/>
            <w:tcMar>
              <w:top w:w="0" w:type="dxa"/>
              <w:left w:w="2" w:type="dxa"/>
              <w:bottom w:w="0" w:type="dxa"/>
              <w:right w:w="2" w:type="dxa"/>
            </w:tcMar>
          </w:tcPr>
          <w:p w14:paraId="632F7650"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SM1</w:t>
            </w:r>
          </w:p>
        </w:tc>
        <w:tc>
          <w:tcPr>
            <w:tcW w:w="1008" w:type="dxa"/>
            <w:shd w:val="clear" w:color="auto" w:fill="auto"/>
            <w:tcMar>
              <w:top w:w="0" w:type="dxa"/>
              <w:left w:w="2" w:type="dxa"/>
              <w:bottom w:w="0" w:type="dxa"/>
              <w:right w:w="2" w:type="dxa"/>
            </w:tcMar>
          </w:tcPr>
          <w:p w14:paraId="2EDAD7AB"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5.7</w:t>
            </w:r>
          </w:p>
        </w:tc>
      </w:tr>
      <w:tr w:rsidR="00AF2126" w:rsidRPr="00D05C85" w14:paraId="300A5773" w14:textId="77777777" w:rsidTr="00E70082">
        <w:trPr>
          <w:cantSplit/>
          <w:trHeight w:val="20"/>
        </w:trPr>
        <w:tc>
          <w:tcPr>
            <w:tcW w:w="4226" w:type="dxa"/>
            <w:shd w:val="clear" w:color="auto" w:fill="auto"/>
            <w:tcMar>
              <w:top w:w="0" w:type="dxa"/>
              <w:left w:w="2" w:type="dxa"/>
              <w:bottom w:w="0" w:type="dxa"/>
              <w:right w:w="2" w:type="dxa"/>
            </w:tcMar>
            <w:vAlign w:val="center"/>
          </w:tcPr>
          <w:p w14:paraId="72140E83"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 de position latéral pour véhicules de la catégorie M</w:t>
            </w:r>
            <w:r w:rsidRPr="00D05C85">
              <w:rPr>
                <w:sz w:val="18"/>
                <w:szCs w:val="18"/>
                <w:vertAlign w:val="subscript"/>
                <w:lang w:val="fr-FR"/>
              </w:rPr>
              <w:t>1</w:t>
            </w:r>
          </w:p>
        </w:tc>
        <w:tc>
          <w:tcPr>
            <w:tcW w:w="1006" w:type="dxa"/>
            <w:shd w:val="clear" w:color="auto" w:fill="auto"/>
            <w:tcMar>
              <w:top w:w="0" w:type="dxa"/>
              <w:left w:w="2" w:type="dxa"/>
              <w:bottom w:w="0" w:type="dxa"/>
              <w:right w:w="2" w:type="dxa"/>
            </w:tcMar>
          </w:tcPr>
          <w:p w14:paraId="067D9A33"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SM2</w:t>
            </w:r>
          </w:p>
        </w:tc>
        <w:tc>
          <w:tcPr>
            <w:tcW w:w="1008" w:type="dxa"/>
            <w:shd w:val="clear" w:color="auto" w:fill="auto"/>
            <w:tcMar>
              <w:top w:w="0" w:type="dxa"/>
              <w:left w:w="2" w:type="dxa"/>
              <w:bottom w:w="0" w:type="dxa"/>
              <w:right w:w="2" w:type="dxa"/>
            </w:tcMar>
          </w:tcPr>
          <w:p w14:paraId="1B914B81"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5.7</w:t>
            </w:r>
          </w:p>
        </w:tc>
      </w:tr>
      <w:tr w:rsidR="00AF2126" w:rsidRPr="00D05C85" w14:paraId="4AE16E0F" w14:textId="77777777" w:rsidTr="00E70082">
        <w:trPr>
          <w:cantSplit/>
          <w:trHeight w:val="20"/>
        </w:trPr>
        <w:tc>
          <w:tcPr>
            <w:tcW w:w="4226" w:type="dxa"/>
            <w:shd w:val="clear" w:color="auto" w:fill="auto"/>
            <w:tcMar>
              <w:top w:w="0" w:type="dxa"/>
              <w:left w:w="2" w:type="dxa"/>
              <w:bottom w:w="0" w:type="dxa"/>
              <w:right w:w="2" w:type="dxa"/>
            </w:tcMar>
            <w:vAlign w:val="center"/>
          </w:tcPr>
          <w:p w14:paraId="17C9AA7A"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Feu-stop central placé en hauteur (intensité constante)</w:t>
            </w:r>
          </w:p>
        </w:tc>
        <w:tc>
          <w:tcPr>
            <w:tcW w:w="1006" w:type="dxa"/>
            <w:shd w:val="clear" w:color="auto" w:fill="auto"/>
            <w:tcMar>
              <w:top w:w="0" w:type="dxa"/>
              <w:left w:w="2" w:type="dxa"/>
              <w:bottom w:w="0" w:type="dxa"/>
              <w:right w:w="2" w:type="dxa"/>
            </w:tcMar>
          </w:tcPr>
          <w:p w14:paraId="2E9DB9AD"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S3</w:t>
            </w:r>
          </w:p>
        </w:tc>
        <w:tc>
          <w:tcPr>
            <w:tcW w:w="1008" w:type="dxa"/>
            <w:shd w:val="clear" w:color="auto" w:fill="auto"/>
            <w:tcMar>
              <w:top w:w="0" w:type="dxa"/>
              <w:left w:w="2" w:type="dxa"/>
              <w:bottom w:w="0" w:type="dxa"/>
              <w:right w:w="2" w:type="dxa"/>
            </w:tcMar>
          </w:tcPr>
          <w:p w14:paraId="73E8F3E4"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5.5</w:t>
            </w:r>
          </w:p>
        </w:tc>
      </w:tr>
      <w:tr w:rsidR="00AF2126" w:rsidRPr="00D05C85" w14:paraId="238FA928" w14:textId="77777777" w:rsidTr="00E70082">
        <w:trPr>
          <w:cantSplit/>
          <w:trHeight w:val="20"/>
        </w:trPr>
        <w:tc>
          <w:tcPr>
            <w:tcW w:w="4226" w:type="dxa"/>
            <w:shd w:val="clear" w:color="auto" w:fill="auto"/>
            <w:tcMar>
              <w:top w:w="0" w:type="dxa"/>
              <w:left w:w="2" w:type="dxa"/>
              <w:bottom w:w="0" w:type="dxa"/>
              <w:right w:w="2" w:type="dxa"/>
            </w:tcMar>
            <w:vAlign w:val="center"/>
          </w:tcPr>
          <w:p w14:paraId="45481595"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Feu-stop central placé en hauteur (intensité variable)</w:t>
            </w:r>
          </w:p>
        </w:tc>
        <w:tc>
          <w:tcPr>
            <w:tcW w:w="1006" w:type="dxa"/>
            <w:shd w:val="clear" w:color="auto" w:fill="auto"/>
            <w:tcMar>
              <w:top w:w="0" w:type="dxa"/>
              <w:left w:w="2" w:type="dxa"/>
              <w:bottom w:w="0" w:type="dxa"/>
              <w:right w:w="2" w:type="dxa"/>
            </w:tcMar>
          </w:tcPr>
          <w:p w14:paraId="7970D0B0"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S4</w:t>
            </w:r>
          </w:p>
        </w:tc>
        <w:tc>
          <w:tcPr>
            <w:tcW w:w="1008" w:type="dxa"/>
            <w:shd w:val="clear" w:color="auto" w:fill="auto"/>
            <w:tcMar>
              <w:top w:w="0" w:type="dxa"/>
              <w:left w:w="2" w:type="dxa"/>
              <w:bottom w:w="0" w:type="dxa"/>
              <w:right w:w="2" w:type="dxa"/>
            </w:tcMar>
          </w:tcPr>
          <w:p w14:paraId="7802EECA"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5.5</w:t>
            </w:r>
          </w:p>
        </w:tc>
      </w:tr>
      <w:tr w:rsidR="00AF2126" w:rsidRPr="00D05C85" w14:paraId="6FA32996" w14:textId="77777777" w:rsidTr="00E70082">
        <w:trPr>
          <w:cantSplit/>
          <w:trHeight w:val="20"/>
        </w:trPr>
        <w:tc>
          <w:tcPr>
            <w:tcW w:w="4226" w:type="dxa"/>
            <w:shd w:val="clear" w:color="auto" w:fill="auto"/>
            <w:tcMar>
              <w:top w:w="0" w:type="dxa"/>
              <w:left w:w="2" w:type="dxa"/>
              <w:bottom w:w="0" w:type="dxa"/>
              <w:right w:w="2" w:type="dxa"/>
            </w:tcMar>
            <w:vAlign w:val="center"/>
          </w:tcPr>
          <w:p w14:paraId="59591B0D"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Feu-stop pour véhicules de la catégorie L</w:t>
            </w:r>
          </w:p>
        </w:tc>
        <w:tc>
          <w:tcPr>
            <w:tcW w:w="1006" w:type="dxa"/>
            <w:shd w:val="clear" w:color="auto" w:fill="auto"/>
            <w:tcMar>
              <w:top w:w="0" w:type="dxa"/>
              <w:left w:w="2" w:type="dxa"/>
              <w:bottom w:w="0" w:type="dxa"/>
              <w:right w:w="2" w:type="dxa"/>
            </w:tcMar>
          </w:tcPr>
          <w:p w14:paraId="4A6FB26A"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MS</w:t>
            </w:r>
          </w:p>
        </w:tc>
        <w:tc>
          <w:tcPr>
            <w:tcW w:w="1008" w:type="dxa"/>
            <w:shd w:val="clear" w:color="auto" w:fill="auto"/>
            <w:tcMar>
              <w:top w:w="0" w:type="dxa"/>
              <w:left w:w="2" w:type="dxa"/>
              <w:bottom w:w="0" w:type="dxa"/>
              <w:right w:w="2" w:type="dxa"/>
            </w:tcMar>
          </w:tcPr>
          <w:p w14:paraId="3A1C6D8A"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5.5</w:t>
            </w:r>
          </w:p>
        </w:tc>
      </w:tr>
      <w:tr w:rsidR="00AF2126" w:rsidRPr="00D05C85" w14:paraId="42ED924F" w14:textId="77777777" w:rsidTr="00E70082">
        <w:trPr>
          <w:cantSplit/>
          <w:trHeight w:val="20"/>
        </w:trPr>
        <w:tc>
          <w:tcPr>
            <w:tcW w:w="4226" w:type="dxa"/>
            <w:shd w:val="clear" w:color="auto" w:fill="auto"/>
            <w:tcMar>
              <w:top w:w="0" w:type="dxa"/>
              <w:left w:w="2" w:type="dxa"/>
              <w:bottom w:w="0" w:type="dxa"/>
              <w:right w:w="2" w:type="dxa"/>
            </w:tcMar>
            <w:vAlign w:val="center"/>
          </w:tcPr>
          <w:p w14:paraId="617F5341"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Feu-stop (intensité constante)</w:t>
            </w:r>
          </w:p>
        </w:tc>
        <w:tc>
          <w:tcPr>
            <w:tcW w:w="1006" w:type="dxa"/>
            <w:shd w:val="clear" w:color="auto" w:fill="auto"/>
            <w:tcMar>
              <w:top w:w="0" w:type="dxa"/>
              <w:left w:w="2" w:type="dxa"/>
              <w:bottom w:w="0" w:type="dxa"/>
              <w:right w:w="2" w:type="dxa"/>
            </w:tcMar>
          </w:tcPr>
          <w:p w14:paraId="6CA9D6E0"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S1</w:t>
            </w:r>
          </w:p>
        </w:tc>
        <w:tc>
          <w:tcPr>
            <w:tcW w:w="1008" w:type="dxa"/>
            <w:shd w:val="clear" w:color="auto" w:fill="auto"/>
            <w:tcMar>
              <w:top w:w="0" w:type="dxa"/>
              <w:left w:w="2" w:type="dxa"/>
              <w:bottom w:w="0" w:type="dxa"/>
              <w:right w:w="2" w:type="dxa"/>
            </w:tcMar>
          </w:tcPr>
          <w:p w14:paraId="4AA54FA7"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5.5</w:t>
            </w:r>
          </w:p>
        </w:tc>
      </w:tr>
      <w:tr w:rsidR="00AF2126" w:rsidRPr="00D05C85" w14:paraId="51D593ED" w14:textId="77777777" w:rsidTr="00E70082">
        <w:trPr>
          <w:cantSplit/>
          <w:trHeight w:val="20"/>
        </w:trPr>
        <w:tc>
          <w:tcPr>
            <w:tcW w:w="4226" w:type="dxa"/>
            <w:shd w:val="clear" w:color="auto" w:fill="auto"/>
            <w:tcMar>
              <w:top w:w="0" w:type="dxa"/>
              <w:left w:w="2" w:type="dxa"/>
              <w:bottom w:w="0" w:type="dxa"/>
              <w:right w:w="2" w:type="dxa"/>
            </w:tcMar>
            <w:vAlign w:val="center"/>
          </w:tcPr>
          <w:p w14:paraId="2F12B5F8" w14:textId="77777777" w:rsidR="00AF2126" w:rsidRPr="00D05C85" w:rsidRDefault="00AF2126" w:rsidP="00E70082">
            <w:pPr>
              <w:spacing w:before="40" w:after="40" w:line="220" w:lineRule="exact"/>
              <w:ind w:left="57"/>
              <w:rPr>
                <w:sz w:val="18"/>
                <w:szCs w:val="18"/>
                <w:lang w:val="fr-FR"/>
              </w:rPr>
            </w:pPr>
            <w:r w:rsidRPr="00D05C85">
              <w:rPr>
                <w:sz w:val="18"/>
                <w:szCs w:val="18"/>
                <w:lang w:val="fr-FR"/>
              </w:rPr>
              <w:t>Feu-stop (intensité variable)</w:t>
            </w:r>
          </w:p>
        </w:tc>
        <w:tc>
          <w:tcPr>
            <w:tcW w:w="1006" w:type="dxa"/>
            <w:shd w:val="clear" w:color="auto" w:fill="auto"/>
            <w:tcMar>
              <w:top w:w="0" w:type="dxa"/>
              <w:left w:w="2" w:type="dxa"/>
              <w:bottom w:w="0" w:type="dxa"/>
              <w:right w:w="2" w:type="dxa"/>
            </w:tcMar>
          </w:tcPr>
          <w:p w14:paraId="7BDBB9B1"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S2</w:t>
            </w:r>
          </w:p>
        </w:tc>
        <w:tc>
          <w:tcPr>
            <w:tcW w:w="1008" w:type="dxa"/>
            <w:shd w:val="clear" w:color="auto" w:fill="auto"/>
            <w:tcMar>
              <w:top w:w="0" w:type="dxa"/>
              <w:left w:w="2" w:type="dxa"/>
              <w:bottom w:w="0" w:type="dxa"/>
              <w:right w:w="2" w:type="dxa"/>
            </w:tcMar>
          </w:tcPr>
          <w:p w14:paraId="376FA9E5" w14:textId="77777777" w:rsidR="00AF2126" w:rsidRPr="00D05C85" w:rsidRDefault="00AF2126" w:rsidP="00E70082">
            <w:pPr>
              <w:spacing w:before="40" w:after="40" w:line="220" w:lineRule="exact"/>
              <w:ind w:left="142"/>
              <w:jc w:val="center"/>
              <w:rPr>
                <w:sz w:val="18"/>
                <w:szCs w:val="18"/>
                <w:lang w:val="fr-FR"/>
              </w:rPr>
            </w:pPr>
            <w:r w:rsidRPr="00D05C85">
              <w:rPr>
                <w:sz w:val="18"/>
                <w:szCs w:val="18"/>
                <w:lang w:val="fr-FR"/>
              </w:rPr>
              <w:t>5.5</w:t>
            </w:r>
          </w:p>
        </w:tc>
      </w:tr>
    </w:tbl>
    <w:p w14:paraId="0998CDDB" w14:textId="77777777" w:rsidR="00AF2126" w:rsidRPr="00D05C85" w:rsidRDefault="00AF2126" w:rsidP="00AF2126">
      <w:pPr>
        <w:pStyle w:val="SingleTxtG"/>
        <w:spacing w:before="240"/>
        <w:ind w:left="2268" w:hanging="1134"/>
        <w:rPr>
          <w:lang w:val="fr-FR"/>
        </w:rPr>
      </w:pPr>
      <w:r w:rsidRPr="00D05C85">
        <w:rPr>
          <w:lang w:val="fr-FR"/>
        </w:rPr>
        <w:t>3.2.5</w:t>
      </w:r>
      <w:r w:rsidRPr="00D05C85">
        <w:rPr>
          <w:lang w:val="fr-FR"/>
        </w:rPr>
        <w:tab/>
        <w:t>Les indices correspondant à la série d’amendements applicable à chaque dispositif sont les suivants (voir également le paragraphe 7.1.1) :</w:t>
      </w:r>
    </w:p>
    <w:p w14:paraId="461E0D78" w14:textId="786739D7" w:rsidR="00AF2126" w:rsidRPr="00D05C85" w:rsidRDefault="00AF2126" w:rsidP="00AF2126">
      <w:pPr>
        <w:pStyle w:val="Titre1"/>
        <w:tabs>
          <w:tab w:val="left" w:pos="1701"/>
          <w:tab w:val="left" w:pos="2268"/>
          <w:tab w:val="left" w:pos="2835"/>
        </w:tabs>
        <w:spacing w:after="120"/>
        <w:ind w:left="2268"/>
        <w:rPr>
          <w:rStyle w:val="Carpredefinitoparagrafo1"/>
          <w:b/>
          <w:bCs/>
          <w:lang w:val="fr-FR"/>
        </w:rPr>
      </w:pPr>
      <w:r w:rsidRPr="00D05C85">
        <w:rPr>
          <w:lang w:val="fr-FR"/>
        </w:rPr>
        <w:t>Tableau 2</w:t>
      </w:r>
      <w:r w:rsidRPr="00D05C85">
        <w:rPr>
          <w:lang w:val="fr-FR"/>
        </w:rPr>
        <w:br/>
      </w:r>
      <w:r w:rsidRPr="00D05C85">
        <w:rPr>
          <w:b/>
          <w:bCs/>
          <w:lang w:val="fr-FR"/>
        </w:rPr>
        <w:t xml:space="preserve">Série d’amendements </w:t>
      </w:r>
      <w:r w:rsidR="00910B33">
        <w:rPr>
          <w:b/>
          <w:bCs/>
          <w:lang w:val="fr-FR"/>
        </w:rPr>
        <w:t xml:space="preserve">et </w:t>
      </w:r>
      <w:r w:rsidRPr="00D05C85">
        <w:rPr>
          <w:b/>
          <w:bCs/>
          <w:lang w:val="fr-FR"/>
        </w:rPr>
        <w:t>indice à utiliser pour le marquage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742"/>
        <w:gridCol w:w="836"/>
        <w:gridCol w:w="836"/>
      </w:tblGrid>
      <w:tr w:rsidR="00AF2126" w:rsidRPr="00D05C85" w14:paraId="031C55CF" w14:textId="77777777" w:rsidTr="00E70082">
        <w:trPr>
          <w:trHeight w:val="284"/>
          <w:tblHeader/>
        </w:trPr>
        <w:tc>
          <w:tcPr>
            <w:tcW w:w="3823" w:type="dxa"/>
            <w:shd w:val="clear" w:color="auto" w:fill="auto"/>
            <w:tcMar>
              <w:top w:w="0" w:type="dxa"/>
              <w:left w:w="0" w:type="dxa"/>
              <w:bottom w:w="0" w:type="dxa"/>
              <w:right w:w="0" w:type="dxa"/>
            </w:tcMar>
            <w:vAlign w:val="center"/>
          </w:tcPr>
          <w:p w14:paraId="09F7964E" w14:textId="77777777" w:rsidR="00AF2126" w:rsidRPr="00D05C85" w:rsidRDefault="00AF2126" w:rsidP="00E70082">
            <w:pPr>
              <w:spacing w:before="80" w:after="80" w:line="200" w:lineRule="exact"/>
              <w:ind w:left="57" w:right="57"/>
              <w:jc w:val="center"/>
              <w:rPr>
                <w:b/>
                <w:bCs/>
                <w:sz w:val="16"/>
                <w:szCs w:val="16"/>
                <w:lang w:val="fr-FR"/>
              </w:rPr>
            </w:pPr>
            <w:r w:rsidRPr="00D05C85">
              <w:rPr>
                <w:b/>
                <w:bCs/>
                <w:i/>
                <w:iCs/>
                <w:sz w:val="16"/>
                <w:szCs w:val="16"/>
                <w:lang w:val="fr-FR"/>
              </w:rPr>
              <w:t>Série d’amendements au Règlement</w:t>
            </w:r>
          </w:p>
        </w:tc>
        <w:tc>
          <w:tcPr>
            <w:tcW w:w="742" w:type="dxa"/>
            <w:shd w:val="clear" w:color="auto" w:fill="auto"/>
            <w:tcMar>
              <w:top w:w="0" w:type="dxa"/>
              <w:left w:w="0" w:type="dxa"/>
              <w:bottom w:w="0" w:type="dxa"/>
              <w:right w:w="0" w:type="dxa"/>
            </w:tcMar>
            <w:vAlign w:val="center"/>
          </w:tcPr>
          <w:p w14:paraId="7A4DDC6A" w14:textId="77777777" w:rsidR="00AF2126" w:rsidRPr="00D05C85" w:rsidRDefault="00AF2126" w:rsidP="00E70082">
            <w:pPr>
              <w:pStyle w:val="para"/>
              <w:spacing w:before="80" w:after="80" w:line="200" w:lineRule="exact"/>
              <w:ind w:left="0" w:right="0" w:firstLine="0"/>
              <w:jc w:val="center"/>
              <w:rPr>
                <w:b/>
                <w:bCs/>
                <w:sz w:val="16"/>
                <w:szCs w:val="16"/>
                <w:lang w:val="fr-FR"/>
              </w:rPr>
            </w:pPr>
            <w:r w:rsidRPr="00D05C85">
              <w:rPr>
                <w:b/>
                <w:bCs/>
                <w:i/>
                <w:iCs/>
                <w:sz w:val="16"/>
                <w:szCs w:val="16"/>
                <w:lang w:val="fr-FR"/>
              </w:rPr>
              <w:t>00</w:t>
            </w:r>
          </w:p>
        </w:tc>
        <w:tc>
          <w:tcPr>
            <w:tcW w:w="836" w:type="dxa"/>
            <w:shd w:val="clear" w:color="auto" w:fill="auto"/>
            <w:tcMar>
              <w:top w:w="0" w:type="dxa"/>
              <w:left w:w="0" w:type="dxa"/>
              <w:bottom w:w="0" w:type="dxa"/>
              <w:right w:w="0" w:type="dxa"/>
            </w:tcMar>
            <w:vAlign w:val="center"/>
          </w:tcPr>
          <w:p w14:paraId="180DC38C" w14:textId="77777777" w:rsidR="00AF2126" w:rsidRPr="00D05C85" w:rsidRDefault="00AF2126" w:rsidP="00E70082">
            <w:pPr>
              <w:pStyle w:val="para"/>
              <w:spacing w:before="80" w:after="80" w:line="200" w:lineRule="exact"/>
              <w:ind w:left="0" w:right="0" w:firstLine="0"/>
              <w:jc w:val="center"/>
              <w:rPr>
                <w:b/>
                <w:bCs/>
                <w:i/>
                <w:sz w:val="16"/>
                <w:szCs w:val="16"/>
                <w:lang w:val="fr-FR"/>
              </w:rPr>
            </w:pPr>
            <w:r w:rsidRPr="00D05C85">
              <w:rPr>
                <w:b/>
                <w:bCs/>
                <w:i/>
                <w:iCs/>
                <w:sz w:val="16"/>
                <w:szCs w:val="16"/>
                <w:lang w:val="fr-FR"/>
              </w:rPr>
              <w:t>01</w:t>
            </w:r>
          </w:p>
        </w:tc>
        <w:tc>
          <w:tcPr>
            <w:tcW w:w="836" w:type="dxa"/>
            <w:shd w:val="clear" w:color="auto" w:fill="auto"/>
            <w:tcMar>
              <w:top w:w="0" w:type="dxa"/>
              <w:left w:w="0" w:type="dxa"/>
              <w:bottom w:w="0" w:type="dxa"/>
              <w:right w:w="0" w:type="dxa"/>
            </w:tcMar>
            <w:vAlign w:val="center"/>
          </w:tcPr>
          <w:p w14:paraId="6313A135" w14:textId="77777777" w:rsidR="00AF2126" w:rsidRPr="00D05C85" w:rsidRDefault="00AF2126" w:rsidP="00E70082">
            <w:pPr>
              <w:pStyle w:val="para"/>
              <w:spacing w:before="80" w:after="80" w:line="200" w:lineRule="exact"/>
              <w:ind w:left="0" w:right="0" w:firstLine="0"/>
              <w:jc w:val="center"/>
              <w:rPr>
                <w:b/>
                <w:bCs/>
                <w:i/>
                <w:sz w:val="16"/>
                <w:szCs w:val="16"/>
                <w:lang w:val="fr-FR"/>
              </w:rPr>
            </w:pPr>
          </w:p>
        </w:tc>
      </w:tr>
      <w:tr w:rsidR="00AF2126" w:rsidRPr="00D05C85" w14:paraId="6562D040" w14:textId="77777777" w:rsidTr="00E70082">
        <w:trPr>
          <w:trHeight w:val="284"/>
          <w:tblHeader/>
        </w:trPr>
        <w:tc>
          <w:tcPr>
            <w:tcW w:w="3823" w:type="dxa"/>
            <w:shd w:val="clear" w:color="auto" w:fill="auto"/>
            <w:tcMar>
              <w:top w:w="0" w:type="dxa"/>
              <w:left w:w="0" w:type="dxa"/>
              <w:bottom w:w="0" w:type="dxa"/>
              <w:right w:w="0" w:type="dxa"/>
            </w:tcMar>
            <w:vAlign w:val="center"/>
          </w:tcPr>
          <w:p w14:paraId="71149AB9" w14:textId="77777777" w:rsidR="00AF2126" w:rsidRPr="00D05C85" w:rsidRDefault="00AF2126" w:rsidP="00E70082">
            <w:pPr>
              <w:spacing w:before="80" w:after="80" w:line="200" w:lineRule="exact"/>
              <w:ind w:left="57" w:right="57"/>
              <w:jc w:val="center"/>
              <w:rPr>
                <w:b/>
                <w:bCs/>
                <w:sz w:val="16"/>
                <w:szCs w:val="16"/>
                <w:lang w:val="fr-FR"/>
              </w:rPr>
            </w:pPr>
            <w:r w:rsidRPr="00D05C85">
              <w:rPr>
                <w:b/>
                <w:bCs/>
                <w:i/>
                <w:iCs/>
                <w:sz w:val="16"/>
                <w:szCs w:val="16"/>
                <w:lang w:val="fr-FR"/>
              </w:rPr>
              <w:t>Feu (fonction)</w:t>
            </w:r>
          </w:p>
        </w:tc>
        <w:tc>
          <w:tcPr>
            <w:tcW w:w="2414" w:type="dxa"/>
            <w:gridSpan w:val="3"/>
            <w:shd w:val="clear" w:color="auto" w:fill="auto"/>
            <w:tcMar>
              <w:top w:w="0" w:type="dxa"/>
              <w:left w:w="0" w:type="dxa"/>
              <w:bottom w:w="0" w:type="dxa"/>
              <w:right w:w="0" w:type="dxa"/>
            </w:tcMar>
            <w:vAlign w:val="center"/>
          </w:tcPr>
          <w:p w14:paraId="3E8091B6" w14:textId="77777777" w:rsidR="00AF2126" w:rsidRPr="00D05C85" w:rsidRDefault="00AF2126" w:rsidP="00E70082">
            <w:pPr>
              <w:pStyle w:val="para"/>
              <w:spacing w:before="80" w:after="80" w:line="200" w:lineRule="exact"/>
              <w:ind w:left="0" w:right="0" w:firstLine="0"/>
              <w:jc w:val="center"/>
              <w:rPr>
                <w:b/>
                <w:bCs/>
                <w:sz w:val="16"/>
                <w:szCs w:val="16"/>
                <w:lang w:val="fr-FR"/>
              </w:rPr>
            </w:pPr>
            <w:r w:rsidRPr="00D05C85">
              <w:rPr>
                <w:b/>
                <w:bCs/>
                <w:i/>
                <w:iCs/>
                <w:sz w:val="16"/>
                <w:szCs w:val="16"/>
                <w:lang w:val="fr-FR"/>
              </w:rPr>
              <w:t>Indice pour ce feu (fonction)</w:t>
            </w:r>
          </w:p>
        </w:tc>
      </w:tr>
      <w:tr w:rsidR="00AF2126" w:rsidRPr="00D05C85" w14:paraId="3D711FC8" w14:textId="77777777" w:rsidTr="00E70082">
        <w:trPr>
          <w:trHeight w:val="284"/>
        </w:trPr>
        <w:tc>
          <w:tcPr>
            <w:tcW w:w="3823" w:type="dxa"/>
            <w:shd w:val="clear" w:color="auto" w:fill="auto"/>
            <w:tcMar>
              <w:top w:w="0" w:type="dxa"/>
              <w:left w:w="0" w:type="dxa"/>
              <w:bottom w:w="0" w:type="dxa"/>
              <w:right w:w="0" w:type="dxa"/>
            </w:tcMar>
            <w:vAlign w:val="center"/>
          </w:tcPr>
          <w:p w14:paraId="1ADC1EFD"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circulation diurne</w:t>
            </w:r>
          </w:p>
        </w:tc>
        <w:tc>
          <w:tcPr>
            <w:tcW w:w="742" w:type="dxa"/>
            <w:shd w:val="clear" w:color="auto" w:fill="auto"/>
            <w:tcMar>
              <w:top w:w="0" w:type="dxa"/>
              <w:left w:w="0" w:type="dxa"/>
              <w:bottom w:w="0" w:type="dxa"/>
              <w:right w:w="0" w:type="dxa"/>
            </w:tcMar>
            <w:vAlign w:val="center"/>
          </w:tcPr>
          <w:p w14:paraId="099D8D6E"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7C476D4E"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5B3939F4"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14677981" w14:textId="77777777" w:rsidTr="00E70082">
        <w:trPr>
          <w:trHeight w:val="284"/>
        </w:trPr>
        <w:tc>
          <w:tcPr>
            <w:tcW w:w="3823" w:type="dxa"/>
            <w:shd w:val="clear" w:color="auto" w:fill="auto"/>
            <w:tcMar>
              <w:top w:w="0" w:type="dxa"/>
              <w:left w:w="0" w:type="dxa"/>
              <w:bottom w:w="0" w:type="dxa"/>
              <w:right w:w="0" w:type="dxa"/>
            </w:tcMar>
            <w:vAlign w:val="center"/>
          </w:tcPr>
          <w:p w14:paraId="37DD02D7"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indicateur de direction avant</w:t>
            </w:r>
          </w:p>
        </w:tc>
        <w:tc>
          <w:tcPr>
            <w:tcW w:w="742" w:type="dxa"/>
            <w:shd w:val="clear" w:color="auto" w:fill="auto"/>
            <w:tcMar>
              <w:top w:w="0" w:type="dxa"/>
              <w:left w:w="0" w:type="dxa"/>
              <w:bottom w:w="0" w:type="dxa"/>
              <w:right w:w="0" w:type="dxa"/>
            </w:tcMar>
          </w:tcPr>
          <w:p w14:paraId="34C2BB03"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2D8D31D1"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1CBCDC98"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2BC05950" w14:textId="77777777" w:rsidTr="00E70082">
        <w:trPr>
          <w:trHeight w:val="284"/>
        </w:trPr>
        <w:tc>
          <w:tcPr>
            <w:tcW w:w="3823" w:type="dxa"/>
            <w:shd w:val="clear" w:color="auto" w:fill="auto"/>
            <w:tcMar>
              <w:top w:w="0" w:type="dxa"/>
              <w:left w:w="0" w:type="dxa"/>
              <w:bottom w:w="0" w:type="dxa"/>
              <w:right w:w="0" w:type="dxa"/>
            </w:tcMar>
            <w:vAlign w:val="center"/>
          </w:tcPr>
          <w:p w14:paraId="60AD0BE0"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indicateur de direction avant (véhicule de la catégorie L)</w:t>
            </w:r>
          </w:p>
        </w:tc>
        <w:tc>
          <w:tcPr>
            <w:tcW w:w="742" w:type="dxa"/>
            <w:shd w:val="clear" w:color="auto" w:fill="auto"/>
            <w:tcMar>
              <w:top w:w="0" w:type="dxa"/>
              <w:left w:w="0" w:type="dxa"/>
              <w:bottom w:w="0" w:type="dxa"/>
              <w:right w:w="0" w:type="dxa"/>
            </w:tcMar>
          </w:tcPr>
          <w:p w14:paraId="69AD6B30"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3CF5EFF9"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4203EDA3"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088FA464" w14:textId="77777777" w:rsidTr="00E70082">
        <w:trPr>
          <w:trHeight w:val="284"/>
        </w:trPr>
        <w:tc>
          <w:tcPr>
            <w:tcW w:w="3823" w:type="dxa"/>
            <w:shd w:val="clear" w:color="auto" w:fill="auto"/>
            <w:tcMar>
              <w:top w:w="0" w:type="dxa"/>
              <w:left w:w="0" w:type="dxa"/>
              <w:bottom w:w="0" w:type="dxa"/>
              <w:right w:w="0" w:type="dxa"/>
            </w:tcMar>
            <w:vAlign w:val="center"/>
          </w:tcPr>
          <w:p w14:paraId="0D2F1667"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d’encombrement avant</w:t>
            </w:r>
          </w:p>
        </w:tc>
        <w:tc>
          <w:tcPr>
            <w:tcW w:w="742" w:type="dxa"/>
            <w:shd w:val="clear" w:color="auto" w:fill="auto"/>
            <w:tcMar>
              <w:top w:w="0" w:type="dxa"/>
              <w:left w:w="0" w:type="dxa"/>
              <w:bottom w:w="0" w:type="dxa"/>
              <w:right w:w="0" w:type="dxa"/>
            </w:tcMar>
          </w:tcPr>
          <w:p w14:paraId="627B13B4"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26AFD9A0"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433CA4EB"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2BFAB007" w14:textId="77777777" w:rsidTr="00E70082">
        <w:trPr>
          <w:trHeight w:val="284"/>
        </w:trPr>
        <w:tc>
          <w:tcPr>
            <w:tcW w:w="3823" w:type="dxa"/>
            <w:shd w:val="clear" w:color="auto" w:fill="auto"/>
            <w:tcMar>
              <w:top w:w="0" w:type="dxa"/>
              <w:left w:w="0" w:type="dxa"/>
              <w:bottom w:w="0" w:type="dxa"/>
              <w:right w:w="0" w:type="dxa"/>
            </w:tcMar>
            <w:vAlign w:val="center"/>
          </w:tcPr>
          <w:p w14:paraId="09A23BB7"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position avant</w:t>
            </w:r>
          </w:p>
        </w:tc>
        <w:tc>
          <w:tcPr>
            <w:tcW w:w="742" w:type="dxa"/>
            <w:shd w:val="clear" w:color="auto" w:fill="auto"/>
            <w:tcMar>
              <w:top w:w="0" w:type="dxa"/>
              <w:left w:w="0" w:type="dxa"/>
              <w:bottom w:w="0" w:type="dxa"/>
              <w:right w:w="0" w:type="dxa"/>
            </w:tcMar>
          </w:tcPr>
          <w:p w14:paraId="2FD9957A"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4948336D"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71E9A8B9"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42DC5449" w14:textId="77777777" w:rsidTr="00E70082">
        <w:trPr>
          <w:trHeight w:val="284"/>
        </w:trPr>
        <w:tc>
          <w:tcPr>
            <w:tcW w:w="3823" w:type="dxa"/>
            <w:shd w:val="clear" w:color="auto" w:fill="auto"/>
            <w:tcMar>
              <w:top w:w="0" w:type="dxa"/>
              <w:left w:w="0" w:type="dxa"/>
              <w:bottom w:w="0" w:type="dxa"/>
              <w:right w:w="0" w:type="dxa"/>
            </w:tcMar>
            <w:vAlign w:val="center"/>
          </w:tcPr>
          <w:p w14:paraId="4B3FC8E5"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position avant (véhicule de la catégorie L)</w:t>
            </w:r>
          </w:p>
        </w:tc>
        <w:tc>
          <w:tcPr>
            <w:tcW w:w="742" w:type="dxa"/>
            <w:shd w:val="clear" w:color="auto" w:fill="auto"/>
            <w:tcMar>
              <w:top w:w="0" w:type="dxa"/>
              <w:left w:w="0" w:type="dxa"/>
              <w:bottom w:w="0" w:type="dxa"/>
              <w:right w:w="0" w:type="dxa"/>
            </w:tcMar>
          </w:tcPr>
          <w:p w14:paraId="690AD68D"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5FD5C580"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27069705"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6EBE6CF3" w14:textId="77777777" w:rsidTr="00E70082">
        <w:trPr>
          <w:trHeight w:val="284"/>
        </w:trPr>
        <w:tc>
          <w:tcPr>
            <w:tcW w:w="3823" w:type="dxa"/>
            <w:shd w:val="clear" w:color="auto" w:fill="auto"/>
            <w:tcMar>
              <w:top w:w="0" w:type="dxa"/>
              <w:left w:w="0" w:type="dxa"/>
              <w:bottom w:w="0" w:type="dxa"/>
              <w:right w:w="0" w:type="dxa"/>
            </w:tcMar>
            <w:vAlign w:val="center"/>
          </w:tcPr>
          <w:p w14:paraId="199A5A93"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manœuvre</w:t>
            </w:r>
          </w:p>
        </w:tc>
        <w:tc>
          <w:tcPr>
            <w:tcW w:w="742" w:type="dxa"/>
            <w:shd w:val="clear" w:color="auto" w:fill="auto"/>
            <w:tcMar>
              <w:top w:w="0" w:type="dxa"/>
              <w:left w:w="0" w:type="dxa"/>
              <w:bottom w:w="0" w:type="dxa"/>
              <w:right w:w="0" w:type="dxa"/>
            </w:tcMar>
          </w:tcPr>
          <w:p w14:paraId="51917C03"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554F6B49"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62D3B472"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4430B94B" w14:textId="77777777" w:rsidTr="00E70082">
        <w:trPr>
          <w:trHeight w:val="284"/>
        </w:trPr>
        <w:tc>
          <w:tcPr>
            <w:tcW w:w="3823" w:type="dxa"/>
            <w:shd w:val="clear" w:color="auto" w:fill="auto"/>
            <w:tcMar>
              <w:top w:w="0" w:type="dxa"/>
              <w:left w:w="0" w:type="dxa"/>
              <w:bottom w:w="0" w:type="dxa"/>
              <w:right w:w="0" w:type="dxa"/>
            </w:tcMar>
            <w:vAlign w:val="center"/>
          </w:tcPr>
          <w:p w14:paraId="1A66A9EE"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stationnement</w:t>
            </w:r>
          </w:p>
        </w:tc>
        <w:tc>
          <w:tcPr>
            <w:tcW w:w="742" w:type="dxa"/>
            <w:shd w:val="clear" w:color="auto" w:fill="auto"/>
            <w:tcMar>
              <w:top w:w="0" w:type="dxa"/>
              <w:left w:w="0" w:type="dxa"/>
              <w:bottom w:w="0" w:type="dxa"/>
              <w:right w:w="0" w:type="dxa"/>
            </w:tcMar>
          </w:tcPr>
          <w:p w14:paraId="6F91C87B"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46C4F94A"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0D9C6739"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757B4A66" w14:textId="77777777" w:rsidTr="00E70082">
        <w:trPr>
          <w:trHeight w:val="284"/>
        </w:trPr>
        <w:tc>
          <w:tcPr>
            <w:tcW w:w="3823" w:type="dxa"/>
            <w:shd w:val="clear" w:color="auto" w:fill="auto"/>
            <w:tcMar>
              <w:top w:w="0" w:type="dxa"/>
              <w:left w:w="0" w:type="dxa"/>
              <w:bottom w:w="0" w:type="dxa"/>
              <w:right w:w="0" w:type="dxa"/>
            </w:tcMar>
            <w:vAlign w:val="center"/>
          </w:tcPr>
          <w:p w14:paraId="1C4145F2"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 xml:space="preserve">Feu indicateur de direction arrière </w:t>
            </w:r>
          </w:p>
        </w:tc>
        <w:tc>
          <w:tcPr>
            <w:tcW w:w="742" w:type="dxa"/>
            <w:shd w:val="clear" w:color="auto" w:fill="auto"/>
            <w:tcMar>
              <w:top w:w="0" w:type="dxa"/>
              <w:left w:w="0" w:type="dxa"/>
              <w:bottom w:w="0" w:type="dxa"/>
              <w:right w:w="0" w:type="dxa"/>
            </w:tcMar>
          </w:tcPr>
          <w:p w14:paraId="0F250446"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1A219D1E"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16953768"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7E380C6E" w14:textId="77777777" w:rsidTr="00E70082">
        <w:trPr>
          <w:trHeight w:val="284"/>
        </w:trPr>
        <w:tc>
          <w:tcPr>
            <w:tcW w:w="3823" w:type="dxa"/>
            <w:shd w:val="clear" w:color="auto" w:fill="auto"/>
            <w:tcMar>
              <w:top w:w="0" w:type="dxa"/>
              <w:left w:w="0" w:type="dxa"/>
              <w:bottom w:w="0" w:type="dxa"/>
              <w:right w:w="0" w:type="dxa"/>
            </w:tcMar>
            <w:vAlign w:val="center"/>
          </w:tcPr>
          <w:p w14:paraId="15E21F0C"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lastRenderedPageBreak/>
              <w:t>Feu indicateur de direction arrière (véhicule de la catégorie L)</w:t>
            </w:r>
          </w:p>
        </w:tc>
        <w:tc>
          <w:tcPr>
            <w:tcW w:w="742" w:type="dxa"/>
            <w:shd w:val="clear" w:color="auto" w:fill="auto"/>
            <w:tcMar>
              <w:top w:w="0" w:type="dxa"/>
              <w:left w:w="0" w:type="dxa"/>
              <w:bottom w:w="0" w:type="dxa"/>
              <w:right w:w="0" w:type="dxa"/>
            </w:tcMar>
          </w:tcPr>
          <w:p w14:paraId="1ECDC9BB"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57C0D184"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1B3292D7"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54EBC29D" w14:textId="77777777" w:rsidTr="00E70082">
        <w:trPr>
          <w:trHeight w:val="284"/>
        </w:trPr>
        <w:tc>
          <w:tcPr>
            <w:tcW w:w="3823" w:type="dxa"/>
            <w:shd w:val="clear" w:color="auto" w:fill="auto"/>
            <w:tcMar>
              <w:top w:w="0" w:type="dxa"/>
              <w:left w:w="0" w:type="dxa"/>
              <w:bottom w:w="0" w:type="dxa"/>
              <w:right w:w="0" w:type="dxa"/>
            </w:tcMar>
            <w:vAlign w:val="center"/>
          </w:tcPr>
          <w:p w14:paraId="4741DF5B"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d’encombrement arrière</w:t>
            </w:r>
          </w:p>
        </w:tc>
        <w:tc>
          <w:tcPr>
            <w:tcW w:w="742" w:type="dxa"/>
            <w:shd w:val="clear" w:color="auto" w:fill="auto"/>
            <w:tcMar>
              <w:top w:w="0" w:type="dxa"/>
              <w:left w:w="0" w:type="dxa"/>
              <w:bottom w:w="0" w:type="dxa"/>
              <w:right w:w="0" w:type="dxa"/>
            </w:tcMar>
          </w:tcPr>
          <w:p w14:paraId="45228897"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58DEDD39"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78D9C1C6"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3C42388D" w14:textId="77777777" w:rsidTr="00E70082">
        <w:trPr>
          <w:trHeight w:val="284"/>
        </w:trPr>
        <w:tc>
          <w:tcPr>
            <w:tcW w:w="3823" w:type="dxa"/>
            <w:shd w:val="clear" w:color="auto" w:fill="auto"/>
            <w:tcMar>
              <w:top w:w="0" w:type="dxa"/>
              <w:left w:w="0" w:type="dxa"/>
              <w:bottom w:w="0" w:type="dxa"/>
              <w:right w:w="0" w:type="dxa"/>
            </w:tcMar>
            <w:vAlign w:val="center"/>
          </w:tcPr>
          <w:p w14:paraId="7395DA46"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brouillard arrière</w:t>
            </w:r>
          </w:p>
        </w:tc>
        <w:tc>
          <w:tcPr>
            <w:tcW w:w="742" w:type="dxa"/>
            <w:shd w:val="clear" w:color="auto" w:fill="auto"/>
            <w:tcMar>
              <w:top w:w="0" w:type="dxa"/>
              <w:left w:w="0" w:type="dxa"/>
              <w:bottom w:w="0" w:type="dxa"/>
              <w:right w:w="0" w:type="dxa"/>
            </w:tcMar>
          </w:tcPr>
          <w:p w14:paraId="56E39615"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740177C5"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775CC017"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16906726" w14:textId="77777777" w:rsidTr="00E70082">
        <w:trPr>
          <w:trHeight w:val="284"/>
        </w:trPr>
        <w:tc>
          <w:tcPr>
            <w:tcW w:w="3823" w:type="dxa"/>
            <w:shd w:val="clear" w:color="auto" w:fill="auto"/>
            <w:tcMar>
              <w:top w:w="0" w:type="dxa"/>
              <w:left w:w="0" w:type="dxa"/>
              <w:bottom w:w="0" w:type="dxa"/>
              <w:right w:w="0" w:type="dxa"/>
            </w:tcMar>
            <w:vAlign w:val="center"/>
          </w:tcPr>
          <w:p w14:paraId="53805F59"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position arrière</w:t>
            </w:r>
          </w:p>
        </w:tc>
        <w:tc>
          <w:tcPr>
            <w:tcW w:w="742" w:type="dxa"/>
            <w:shd w:val="clear" w:color="auto" w:fill="auto"/>
            <w:tcMar>
              <w:top w:w="0" w:type="dxa"/>
              <w:left w:w="0" w:type="dxa"/>
              <w:bottom w:w="0" w:type="dxa"/>
              <w:right w:w="0" w:type="dxa"/>
            </w:tcMar>
          </w:tcPr>
          <w:p w14:paraId="7ED6C945"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10F46A82"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0BA6BC3F"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06AC219E" w14:textId="77777777" w:rsidTr="00E70082">
        <w:trPr>
          <w:trHeight w:val="284"/>
        </w:trPr>
        <w:tc>
          <w:tcPr>
            <w:tcW w:w="3823" w:type="dxa"/>
            <w:shd w:val="clear" w:color="auto" w:fill="auto"/>
            <w:tcMar>
              <w:top w:w="0" w:type="dxa"/>
              <w:left w:w="0" w:type="dxa"/>
              <w:bottom w:w="0" w:type="dxa"/>
              <w:right w:w="0" w:type="dxa"/>
            </w:tcMar>
            <w:vAlign w:val="center"/>
          </w:tcPr>
          <w:p w14:paraId="3CD1E15D"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position arrière (véhicule de la catégorie L)</w:t>
            </w:r>
          </w:p>
        </w:tc>
        <w:tc>
          <w:tcPr>
            <w:tcW w:w="742" w:type="dxa"/>
            <w:shd w:val="clear" w:color="auto" w:fill="auto"/>
            <w:tcMar>
              <w:top w:w="0" w:type="dxa"/>
              <w:left w:w="0" w:type="dxa"/>
              <w:bottom w:w="0" w:type="dxa"/>
              <w:right w:w="0" w:type="dxa"/>
            </w:tcMar>
          </w:tcPr>
          <w:p w14:paraId="5ABF8E57"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01C48C7B"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6C4DFB3C"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07F82A83" w14:textId="77777777" w:rsidTr="00E70082">
        <w:trPr>
          <w:trHeight w:val="284"/>
        </w:trPr>
        <w:tc>
          <w:tcPr>
            <w:tcW w:w="3823" w:type="dxa"/>
            <w:shd w:val="clear" w:color="auto" w:fill="auto"/>
            <w:tcMar>
              <w:top w:w="0" w:type="dxa"/>
              <w:left w:w="0" w:type="dxa"/>
              <w:bottom w:w="0" w:type="dxa"/>
              <w:right w:w="0" w:type="dxa"/>
            </w:tcMar>
            <w:vAlign w:val="center"/>
          </w:tcPr>
          <w:p w14:paraId="14925556"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d’éclairage de la plaque d’immatriculation arrière</w:t>
            </w:r>
          </w:p>
        </w:tc>
        <w:tc>
          <w:tcPr>
            <w:tcW w:w="742" w:type="dxa"/>
            <w:shd w:val="clear" w:color="auto" w:fill="auto"/>
            <w:tcMar>
              <w:top w:w="0" w:type="dxa"/>
              <w:left w:w="0" w:type="dxa"/>
              <w:bottom w:w="0" w:type="dxa"/>
              <w:right w:w="0" w:type="dxa"/>
            </w:tcMar>
          </w:tcPr>
          <w:p w14:paraId="4CE07ACA"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5AD37A36"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7E0459DB"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00B2F43A" w14:textId="77777777" w:rsidTr="00E70082">
        <w:trPr>
          <w:trHeight w:val="284"/>
        </w:trPr>
        <w:tc>
          <w:tcPr>
            <w:tcW w:w="3823" w:type="dxa"/>
            <w:shd w:val="clear" w:color="auto" w:fill="auto"/>
            <w:tcMar>
              <w:top w:w="0" w:type="dxa"/>
              <w:left w:w="0" w:type="dxa"/>
              <w:bottom w:w="0" w:type="dxa"/>
              <w:right w:w="0" w:type="dxa"/>
            </w:tcMar>
            <w:vAlign w:val="center"/>
          </w:tcPr>
          <w:p w14:paraId="5683921F"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d’éclairage de la plaque d’immatriculation arrière (véhicule de la catégorie L)</w:t>
            </w:r>
          </w:p>
        </w:tc>
        <w:tc>
          <w:tcPr>
            <w:tcW w:w="742" w:type="dxa"/>
            <w:shd w:val="clear" w:color="auto" w:fill="auto"/>
            <w:tcMar>
              <w:top w:w="0" w:type="dxa"/>
              <w:left w:w="0" w:type="dxa"/>
              <w:bottom w:w="0" w:type="dxa"/>
              <w:right w:w="0" w:type="dxa"/>
            </w:tcMar>
          </w:tcPr>
          <w:p w14:paraId="10898163"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06356971"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4A1AC98D"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278395A7" w14:textId="77777777" w:rsidTr="00E70082">
        <w:trPr>
          <w:trHeight w:val="284"/>
        </w:trPr>
        <w:tc>
          <w:tcPr>
            <w:tcW w:w="3823" w:type="dxa"/>
            <w:shd w:val="clear" w:color="auto" w:fill="auto"/>
            <w:tcMar>
              <w:top w:w="0" w:type="dxa"/>
              <w:left w:w="0" w:type="dxa"/>
              <w:bottom w:w="0" w:type="dxa"/>
              <w:right w:w="0" w:type="dxa"/>
            </w:tcMar>
            <w:vAlign w:val="center"/>
          </w:tcPr>
          <w:p w14:paraId="6C500BEA"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marche arrière</w:t>
            </w:r>
          </w:p>
        </w:tc>
        <w:tc>
          <w:tcPr>
            <w:tcW w:w="742" w:type="dxa"/>
            <w:shd w:val="clear" w:color="auto" w:fill="auto"/>
            <w:tcMar>
              <w:top w:w="0" w:type="dxa"/>
              <w:left w:w="0" w:type="dxa"/>
              <w:bottom w:w="0" w:type="dxa"/>
              <w:right w:w="0" w:type="dxa"/>
            </w:tcMar>
          </w:tcPr>
          <w:p w14:paraId="55E60EB6"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75CF477D"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2BF66B6A"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37B38F46" w14:textId="77777777" w:rsidTr="00E70082">
        <w:trPr>
          <w:trHeight w:val="284"/>
        </w:trPr>
        <w:tc>
          <w:tcPr>
            <w:tcW w:w="3823" w:type="dxa"/>
            <w:shd w:val="clear" w:color="auto" w:fill="auto"/>
            <w:tcMar>
              <w:top w:w="0" w:type="dxa"/>
              <w:left w:w="0" w:type="dxa"/>
              <w:bottom w:w="0" w:type="dxa"/>
              <w:right w:w="0" w:type="dxa"/>
            </w:tcMar>
            <w:vAlign w:val="center"/>
          </w:tcPr>
          <w:p w14:paraId="7E1100D4"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indicateur de direction latéral</w:t>
            </w:r>
          </w:p>
        </w:tc>
        <w:tc>
          <w:tcPr>
            <w:tcW w:w="742" w:type="dxa"/>
            <w:shd w:val="clear" w:color="auto" w:fill="auto"/>
            <w:tcMar>
              <w:top w:w="0" w:type="dxa"/>
              <w:left w:w="0" w:type="dxa"/>
              <w:bottom w:w="0" w:type="dxa"/>
              <w:right w:w="0" w:type="dxa"/>
            </w:tcMar>
          </w:tcPr>
          <w:p w14:paraId="6D59CB0F"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28CFFD01"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4E29E142"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595E51BB" w14:textId="77777777" w:rsidTr="00E70082">
        <w:trPr>
          <w:trHeight w:val="284"/>
        </w:trPr>
        <w:tc>
          <w:tcPr>
            <w:tcW w:w="3823" w:type="dxa"/>
            <w:shd w:val="clear" w:color="auto" w:fill="auto"/>
            <w:tcMar>
              <w:top w:w="0" w:type="dxa"/>
              <w:left w:w="0" w:type="dxa"/>
              <w:bottom w:w="0" w:type="dxa"/>
              <w:right w:w="0" w:type="dxa"/>
            </w:tcMar>
            <w:vAlign w:val="center"/>
          </w:tcPr>
          <w:p w14:paraId="7E8C324A"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position latéral</w:t>
            </w:r>
          </w:p>
        </w:tc>
        <w:tc>
          <w:tcPr>
            <w:tcW w:w="742" w:type="dxa"/>
            <w:shd w:val="clear" w:color="auto" w:fill="auto"/>
            <w:tcMar>
              <w:top w:w="0" w:type="dxa"/>
              <w:left w:w="0" w:type="dxa"/>
              <w:bottom w:w="0" w:type="dxa"/>
              <w:right w:w="0" w:type="dxa"/>
            </w:tcMar>
          </w:tcPr>
          <w:p w14:paraId="6372341F"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2F467130"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3C7115CE"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49CE5228" w14:textId="77777777" w:rsidTr="00E70082">
        <w:trPr>
          <w:trHeight w:val="284"/>
        </w:trPr>
        <w:tc>
          <w:tcPr>
            <w:tcW w:w="3823" w:type="dxa"/>
            <w:shd w:val="clear" w:color="auto" w:fill="auto"/>
            <w:tcMar>
              <w:top w:w="0" w:type="dxa"/>
              <w:left w:w="0" w:type="dxa"/>
              <w:bottom w:w="0" w:type="dxa"/>
              <w:right w:w="0" w:type="dxa"/>
            </w:tcMar>
            <w:vAlign w:val="center"/>
          </w:tcPr>
          <w:p w14:paraId="1272613B"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Feu-stop</w:t>
            </w:r>
          </w:p>
        </w:tc>
        <w:tc>
          <w:tcPr>
            <w:tcW w:w="742" w:type="dxa"/>
            <w:shd w:val="clear" w:color="auto" w:fill="auto"/>
            <w:tcMar>
              <w:top w:w="0" w:type="dxa"/>
              <w:left w:w="0" w:type="dxa"/>
              <w:bottom w:w="0" w:type="dxa"/>
              <w:right w:w="0" w:type="dxa"/>
            </w:tcMar>
          </w:tcPr>
          <w:p w14:paraId="4908D64C"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7311EE7C"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11F6F2D3"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0A50B20D" w14:textId="77777777" w:rsidTr="00E70082">
        <w:trPr>
          <w:trHeight w:val="284"/>
        </w:trPr>
        <w:tc>
          <w:tcPr>
            <w:tcW w:w="3823" w:type="dxa"/>
            <w:shd w:val="clear" w:color="auto" w:fill="auto"/>
            <w:tcMar>
              <w:top w:w="0" w:type="dxa"/>
              <w:left w:w="0" w:type="dxa"/>
              <w:bottom w:w="0" w:type="dxa"/>
              <w:right w:w="0" w:type="dxa"/>
            </w:tcMar>
            <w:vAlign w:val="center"/>
          </w:tcPr>
          <w:p w14:paraId="0B32A9A4"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Feu-stop (véhicule de la catégorie L)</w:t>
            </w:r>
          </w:p>
        </w:tc>
        <w:tc>
          <w:tcPr>
            <w:tcW w:w="742" w:type="dxa"/>
            <w:shd w:val="clear" w:color="auto" w:fill="auto"/>
            <w:tcMar>
              <w:top w:w="0" w:type="dxa"/>
              <w:left w:w="0" w:type="dxa"/>
              <w:bottom w:w="0" w:type="dxa"/>
              <w:right w:w="0" w:type="dxa"/>
            </w:tcMar>
          </w:tcPr>
          <w:p w14:paraId="31A2BBA4"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4B054BDC"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253C0320" w14:textId="77777777" w:rsidR="00AF2126" w:rsidRPr="00D05C85" w:rsidRDefault="00AF2126" w:rsidP="00E70082">
            <w:pPr>
              <w:pStyle w:val="para"/>
              <w:spacing w:before="40" w:after="40" w:line="220" w:lineRule="exact"/>
              <w:ind w:left="0" w:right="0" w:firstLine="0"/>
              <w:jc w:val="center"/>
              <w:rPr>
                <w:sz w:val="18"/>
                <w:szCs w:val="18"/>
                <w:lang w:val="fr-FR"/>
              </w:rPr>
            </w:pPr>
          </w:p>
        </w:tc>
      </w:tr>
      <w:tr w:rsidR="00AF2126" w:rsidRPr="00D05C85" w14:paraId="34DD7F2E" w14:textId="77777777" w:rsidTr="00E70082">
        <w:trPr>
          <w:trHeight w:val="284"/>
        </w:trPr>
        <w:tc>
          <w:tcPr>
            <w:tcW w:w="3823" w:type="dxa"/>
            <w:shd w:val="clear" w:color="auto" w:fill="auto"/>
            <w:tcMar>
              <w:top w:w="0" w:type="dxa"/>
              <w:left w:w="0" w:type="dxa"/>
              <w:bottom w:w="0" w:type="dxa"/>
              <w:right w:w="0" w:type="dxa"/>
            </w:tcMar>
            <w:vAlign w:val="center"/>
          </w:tcPr>
          <w:p w14:paraId="54CB64E1"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Feu-stop central placé en hauteur</w:t>
            </w:r>
          </w:p>
        </w:tc>
        <w:tc>
          <w:tcPr>
            <w:tcW w:w="742" w:type="dxa"/>
            <w:shd w:val="clear" w:color="auto" w:fill="auto"/>
            <w:tcMar>
              <w:top w:w="0" w:type="dxa"/>
              <w:left w:w="0" w:type="dxa"/>
              <w:bottom w:w="0" w:type="dxa"/>
              <w:right w:w="0" w:type="dxa"/>
            </w:tcMar>
          </w:tcPr>
          <w:p w14:paraId="19E9E282"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0</w:t>
            </w:r>
          </w:p>
        </w:tc>
        <w:tc>
          <w:tcPr>
            <w:tcW w:w="836" w:type="dxa"/>
            <w:shd w:val="clear" w:color="auto" w:fill="auto"/>
            <w:tcMar>
              <w:top w:w="0" w:type="dxa"/>
              <w:left w:w="0" w:type="dxa"/>
              <w:bottom w:w="0" w:type="dxa"/>
              <w:right w:w="0" w:type="dxa"/>
            </w:tcMar>
          </w:tcPr>
          <w:p w14:paraId="3CA355BE" w14:textId="77777777" w:rsidR="00AF2126" w:rsidRPr="00D05C85" w:rsidRDefault="00AF2126" w:rsidP="00E70082">
            <w:pPr>
              <w:pStyle w:val="para"/>
              <w:spacing w:before="40" w:after="40" w:line="220" w:lineRule="exact"/>
              <w:ind w:left="0" w:right="0" w:firstLine="0"/>
              <w:jc w:val="center"/>
              <w:rPr>
                <w:sz w:val="18"/>
                <w:szCs w:val="18"/>
                <w:lang w:val="fr-FR"/>
              </w:rPr>
            </w:pPr>
            <w:r w:rsidRPr="00D05C85">
              <w:rPr>
                <w:sz w:val="18"/>
                <w:szCs w:val="18"/>
                <w:lang w:val="fr-FR"/>
              </w:rPr>
              <w:t>1</w:t>
            </w:r>
          </w:p>
        </w:tc>
        <w:tc>
          <w:tcPr>
            <w:tcW w:w="836" w:type="dxa"/>
            <w:shd w:val="clear" w:color="auto" w:fill="auto"/>
            <w:tcMar>
              <w:top w:w="0" w:type="dxa"/>
              <w:left w:w="0" w:type="dxa"/>
              <w:bottom w:w="0" w:type="dxa"/>
              <w:right w:w="0" w:type="dxa"/>
            </w:tcMar>
          </w:tcPr>
          <w:p w14:paraId="611D1C8F" w14:textId="77777777" w:rsidR="00AF2126" w:rsidRPr="00D05C85" w:rsidRDefault="00AF2126" w:rsidP="00E70082">
            <w:pPr>
              <w:pStyle w:val="para"/>
              <w:spacing w:before="40" w:after="40" w:line="220" w:lineRule="exact"/>
              <w:ind w:left="0" w:right="0" w:firstLine="0"/>
              <w:jc w:val="center"/>
              <w:rPr>
                <w:sz w:val="18"/>
                <w:szCs w:val="18"/>
                <w:lang w:val="fr-FR"/>
              </w:rPr>
            </w:pPr>
          </w:p>
        </w:tc>
      </w:tr>
    </w:tbl>
    <w:p w14:paraId="3064CA66" w14:textId="77777777" w:rsidR="00AF2126" w:rsidRPr="00D05C85" w:rsidRDefault="00AF2126" w:rsidP="00AF2126">
      <w:pPr>
        <w:pStyle w:val="SingleTxtG"/>
        <w:spacing w:before="120" w:after="0" w:line="220" w:lineRule="exact"/>
        <w:ind w:left="2268" w:firstLine="170"/>
        <w:jc w:val="left"/>
        <w:rPr>
          <w:sz w:val="18"/>
          <w:szCs w:val="18"/>
          <w:lang w:val="fr-FR"/>
        </w:rPr>
      </w:pPr>
      <w:r w:rsidRPr="00D05C85">
        <w:rPr>
          <w:sz w:val="18"/>
          <w:szCs w:val="18"/>
          <w:lang w:val="fr-FR"/>
        </w:rPr>
        <w:t>Notes du tableau 2 :</w:t>
      </w:r>
    </w:p>
    <w:p w14:paraId="25B577DC" w14:textId="666598B5" w:rsidR="00AF2126" w:rsidRPr="00D05C85" w:rsidRDefault="00AF2126" w:rsidP="00AF2126">
      <w:pPr>
        <w:pStyle w:val="SingleTxtG"/>
        <w:spacing w:after="240" w:line="220" w:lineRule="exact"/>
        <w:ind w:left="2268" w:firstLine="170"/>
        <w:jc w:val="left"/>
        <w:rPr>
          <w:sz w:val="18"/>
          <w:szCs w:val="18"/>
          <w:lang w:val="fr-FR"/>
        </w:rPr>
      </w:pPr>
      <w:r w:rsidRPr="00D05C85">
        <w:rPr>
          <w:sz w:val="18"/>
          <w:szCs w:val="18"/>
          <w:lang w:val="fr-FR"/>
        </w:rPr>
        <w:t>Un tir</w:t>
      </w:r>
      <w:r w:rsidR="00910B33">
        <w:rPr>
          <w:sz w:val="18"/>
          <w:szCs w:val="18"/>
          <w:lang w:val="fr-FR"/>
        </w:rPr>
        <w:t xml:space="preserve">et </w:t>
      </w:r>
      <w:r w:rsidRPr="00D05C85">
        <w:rPr>
          <w:sz w:val="18"/>
          <w:szCs w:val="18"/>
          <w:lang w:val="fr-FR"/>
        </w:rPr>
        <w:t>(“-”) signifie que le feu (fonction) ne peut faire l’obj</w:t>
      </w:r>
      <w:r w:rsidR="00910B33">
        <w:rPr>
          <w:sz w:val="18"/>
          <w:szCs w:val="18"/>
          <w:lang w:val="fr-FR"/>
        </w:rPr>
        <w:t xml:space="preserve">et </w:t>
      </w:r>
      <w:r w:rsidRPr="00D05C85">
        <w:rPr>
          <w:sz w:val="18"/>
          <w:szCs w:val="18"/>
          <w:lang w:val="fr-FR"/>
        </w:rPr>
        <w:t>d’une homologation de type au titre de la série d’amendements correspondante.</w:t>
      </w:r>
    </w:p>
    <w:p w14:paraId="3DC3ED5E" w14:textId="3772FC31" w:rsidR="00AF2126" w:rsidRPr="00D05C85" w:rsidRDefault="00AF2126" w:rsidP="00AF2126">
      <w:pPr>
        <w:pStyle w:val="SingleTxtG"/>
        <w:ind w:left="2268" w:hanging="1134"/>
        <w:rPr>
          <w:lang w:val="fr-FR"/>
        </w:rPr>
      </w:pPr>
      <w:r w:rsidRPr="00D05C85">
        <w:rPr>
          <w:lang w:val="fr-FR"/>
        </w:rPr>
        <w:t>3.3</w:t>
      </w:r>
      <w:r w:rsidRPr="00D05C85">
        <w:rPr>
          <w:lang w:val="fr-FR"/>
        </w:rPr>
        <w:tab/>
        <w:t xml:space="preserve">Marque d’homologation </w:t>
      </w:r>
      <w:r w:rsidR="00910B33">
        <w:rPr>
          <w:lang w:val="fr-FR"/>
        </w:rPr>
        <w:t xml:space="preserve">et </w:t>
      </w:r>
      <w:r w:rsidRPr="00D05C85">
        <w:rPr>
          <w:lang w:val="fr-FR"/>
        </w:rPr>
        <w:t>autres marques</w:t>
      </w:r>
    </w:p>
    <w:p w14:paraId="2075FCB4" w14:textId="77777777" w:rsidR="00AF2126" w:rsidRPr="00D05C85" w:rsidRDefault="00AF2126" w:rsidP="00AF2126">
      <w:pPr>
        <w:pStyle w:val="SingleTxtG"/>
        <w:ind w:left="2268" w:hanging="1134"/>
        <w:rPr>
          <w:lang w:val="fr-FR"/>
        </w:rPr>
      </w:pPr>
      <w:r w:rsidRPr="00D05C85">
        <w:rPr>
          <w:lang w:val="fr-FR"/>
        </w:rPr>
        <w:t>3.3.1</w:t>
      </w:r>
      <w:r w:rsidRPr="00D05C85">
        <w:rPr>
          <w:lang w:val="fr-FR"/>
        </w:rPr>
        <w:tab/>
        <w:t>Dispositions générales</w:t>
      </w:r>
    </w:p>
    <w:p w14:paraId="696C38CA" w14:textId="535B18B5" w:rsidR="00AF2126" w:rsidRPr="00D05C85" w:rsidRDefault="00AF2126" w:rsidP="00AF2126">
      <w:pPr>
        <w:pStyle w:val="SingleTxtG"/>
        <w:ind w:left="2268" w:hanging="1134"/>
        <w:rPr>
          <w:lang w:val="fr-FR"/>
        </w:rPr>
      </w:pPr>
      <w:r w:rsidRPr="00D05C85">
        <w:rPr>
          <w:lang w:val="fr-FR"/>
        </w:rPr>
        <w:t>3.3.1.1</w:t>
      </w:r>
      <w:r w:rsidRPr="00D05C85">
        <w:rPr>
          <w:lang w:val="fr-FR"/>
        </w:rPr>
        <w:tab/>
        <w:t xml:space="preserve">Tout dispositif relevant d’un type homologué doit comporter un emplacement d’une taille suffisante réservé à l’apposition de l’identifiant unique prévu dans l’Accord de 1958 </w:t>
      </w:r>
      <w:r w:rsidR="00910B33">
        <w:rPr>
          <w:lang w:val="fr-FR"/>
        </w:rPr>
        <w:t xml:space="preserve">et </w:t>
      </w:r>
      <w:r w:rsidRPr="00D05C85">
        <w:rPr>
          <w:lang w:val="fr-FR"/>
        </w:rPr>
        <w:t xml:space="preserve">des autres marques définies aux paragraphes 3.3.4.2 à 3.3.4.6 ou de la marque d’homologation </w:t>
      </w:r>
      <w:r w:rsidR="00910B33">
        <w:rPr>
          <w:lang w:val="fr-FR"/>
        </w:rPr>
        <w:t xml:space="preserve">et </w:t>
      </w:r>
      <w:r w:rsidRPr="00D05C85">
        <w:rPr>
          <w:lang w:val="fr-FR"/>
        </w:rPr>
        <w:t>des autres marques définies aux paragraphes 3.3.4.2 à 3.3.4.6.</w:t>
      </w:r>
    </w:p>
    <w:p w14:paraId="77CB8E72" w14:textId="01F9D01D" w:rsidR="00AF2126" w:rsidRPr="00D05C85" w:rsidRDefault="00AF2126" w:rsidP="00AF2126">
      <w:pPr>
        <w:pStyle w:val="SingleTxtG"/>
        <w:ind w:left="2268" w:hanging="1134"/>
        <w:rPr>
          <w:lang w:val="fr-FR"/>
        </w:rPr>
      </w:pPr>
      <w:r w:rsidRPr="00D05C85">
        <w:rPr>
          <w:lang w:val="fr-FR"/>
        </w:rPr>
        <w:t>3.3.1.2</w:t>
      </w:r>
      <w:r w:rsidRPr="00D05C85">
        <w:rPr>
          <w:lang w:val="fr-FR"/>
        </w:rPr>
        <w:tab/>
        <w:t xml:space="preserve">Toutes les marques doivent être clairement lisibles </w:t>
      </w:r>
      <w:r w:rsidR="00910B33">
        <w:rPr>
          <w:lang w:val="fr-FR"/>
        </w:rPr>
        <w:t xml:space="preserve">et </w:t>
      </w:r>
      <w:r w:rsidRPr="00D05C85">
        <w:rPr>
          <w:lang w:val="fr-FR"/>
        </w:rPr>
        <w:t>indélébiles.</w:t>
      </w:r>
    </w:p>
    <w:p w14:paraId="5724AF49" w14:textId="77777777" w:rsidR="00AF2126" w:rsidRPr="00D05C85" w:rsidRDefault="00AF2126" w:rsidP="00AF2126">
      <w:pPr>
        <w:pStyle w:val="SingleTxtG"/>
        <w:ind w:left="2268" w:hanging="1134"/>
        <w:rPr>
          <w:lang w:val="fr-FR"/>
        </w:rPr>
      </w:pPr>
      <w:r w:rsidRPr="00D05C85">
        <w:rPr>
          <w:lang w:val="fr-FR"/>
        </w:rPr>
        <w:t>3.3.1.3</w:t>
      </w:r>
      <w:r w:rsidRPr="00D05C85">
        <w:rPr>
          <w:lang w:val="fr-FR"/>
        </w:rPr>
        <w:tab/>
        <w:t xml:space="preserve">En ce qui concerne la taille de la marque d’homologation, la valeur minimum de “a” dans la première partie de l’annexe 7 est de 5 </w:t>
      </w:r>
      <w:proofErr w:type="spellStart"/>
      <w:r w:rsidRPr="00D05C85">
        <w:rPr>
          <w:lang w:val="fr-FR"/>
        </w:rPr>
        <w:t>mm.</w:t>
      </w:r>
      <w:proofErr w:type="spellEnd"/>
    </w:p>
    <w:p w14:paraId="356577BC" w14:textId="77777777" w:rsidR="00AF2126" w:rsidRPr="00D05C85" w:rsidRDefault="00AF2126" w:rsidP="00AF2126">
      <w:pPr>
        <w:pStyle w:val="SingleTxtG"/>
        <w:ind w:left="2268"/>
        <w:rPr>
          <w:lang w:val="fr-FR"/>
        </w:rPr>
      </w:pPr>
      <w:r w:rsidRPr="00D05C85">
        <w:rPr>
          <w:lang w:val="fr-FR"/>
        </w:rPr>
        <w:t>On trouvera des exemples de marques d’homologation à l’annexe 7.</w:t>
      </w:r>
    </w:p>
    <w:p w14:paraId="10AF3693" w14:textId="77777777" w:rsidR="00AF2126" w:rsidRPr="00D05C85" w:rsidRDefault="00AF2126" w:rsidP="00AF2126">
      <w:pPr>
        <w:pStyle w:val="SingleTxtG"/>
        <w:ind w:left="2268" w:hanging="1134"/>
        <w:rPr>
          <w:lang w:val="fr-FR"/>
        </w:rPr>
      </w:pPr>
      <w:r w:rsidRPr="00D05C85">
        <w:rPr>
          <w:lang w:val="fr-FR"/>
        </w:rPr>
        <w:t>3.3.2</w:t>
      </w:r>
      <w:r w:rsidRPr="00D05C85">
        <w:rPr>
          <w:lang w:val="fr-FR"/>
        </w:rPr>
        <w:tab/>
        <w:t>La marque d’homologation comprend :</w:t>
      </w:r>
    </w:p>
    <w:p w14:paraId="2CCD5FA0" w14:textId="77777777" w:rsidR="00AF2126" w:rsidRPr="00D05C85" w:rsidRDefault="00AF2126" w:rsidP="00AF2126">
      <w:pPr>
        <w:pStyle w:val="SingleTxtG"/>
        <w:ind w:left="2268" w:hanging="1134"/>
        <w:rPr>
          <w:lang w:val="fr-FR"/>
        </w:rPr>
      </w:pPr>
      <w:r w:rsidRPr="00D05C85">
        <w:rPr>
          <w:lang w:val="fr-FR"/>
        </w:rPr>
        <w:t>3.3.2.1</w:t>
      </w:r>
      <w:r w:rsidRPr="00D05C85">
        <w:rPr>
          <w:lang w:val="fr-FR"/>
        </w:rPr>
        <w:tab/>
        <w:t>La marque elle-même, c’est-à-dire un cercle dans lequel est inscrite la lettre “E” suivie du numéro distinctif du pays ayant délivré l’homologation ;</w:t>
      </w:r>
    </w:p>
    <w:p w14:paraId="5DDA35C5" w14:textId="77777777" w:rsidR="00AF2126" w:rsidRPr="00D05C85" w:rsidRDefault="00AF2126" w:rsidP="00AF2126">
      <w:pPr>
        <w:pStyle w:val="SingleTxtG"/>
        <w:ind w:left="2268" w:hanging="1134"/>
        <w:rPr>
          <w:lang w:val="fr-FR"/>
        </w:rPr>
      </w:pPr>
      <w:r w:rsidRPr="00D05C85">
        <w:rPr>
          <w:lang w:val="fr-FR"/>
        </w:rPr>
        <w:t>3.3.2.2</w:t>
      </w:r>
      <w:r w:rsidRPr="00D05C85">
        <w:rPr>
          <w:lang w:val="fr-FR"/>
        </w:rPr>
        <w:tab/>
        <w:t>Le nombre séquentiel de quatre à six chiffres, qui fait partie du numéro d’homologation visé au paragraphe 3.2.3.2. Il doit être placé à proximité de la marque d’homologation ;</w:t>
      </w:r>
    </w:p>
    <w:p w14:paraId="174DACB2" w14:textId="77777777" w:rsidR="00AF2126" w:rsidRPr="00D05C85" w:rsidRDefault="00AF2126" w:rsidP="00AF2126">
      <w:pPr>
        <w:pStyle w:val="SingleTxtG"/>
        <w:ind w:left="2268" w:hanging="1134"/>
        <w:rPr>
          <w:lang w:val="fr-FR"/>
        </w:rPr>
      </w:pPr>
      <w:r w:rsidRPr="00D05C85">
        <w:rPr>
          <w:lang w:val="fr-FR"/>
        </w:rPr>
        <w:t>3.3.2.3</w:t>
      </w:r>
      <w:r w:rsidRPr="00D05C85">
        <w:rPr>
          <w:lang w:val="fr-FR"/>
        </w:rPr>
        <w:tab/>
        <w:t>Les symboles d’identification correspondant aux feux de signalisation lumineuse visés au paragraphe 3.2.4 ;</w:t>
      </w:r>
    </w:p>
    <w:p w14:paraId="19E6F23F" w14:textId="20B5B38E" w:rsidR="00AF2126" w:rsidRPr="00D05C85" w:rsidRDefault="00AF2126" w:rsidP="00AF2126">
      <w:pPr>
        <w:pStyle w:val="SingleTxtG"/>
        <w:ind w:left="2268" w:hanging="1134"/>
        <w:rPr>
          <w:lang w:val="fr-FR"/>
        </w:rPr>
      </w:pPr>
      <w:r w:rsidRPr="00D05C85">
        <w:rPr>
          <w:lang w:val="fr-FR"/>
        </w:rPr>
        <w:t>3.3.2.4</w:t>
      </w:r>
      <w:r w:rsidRPr="00D05C85">
        <w:rPr>
          <w:lang w:val="fr-FR"/>
        </w:rPr>
        <w:tab/>
        <w:t xml:space="preserve">Le numéro du présent Règlement suivi par la lettre “R” </w:t>
      </w:r>
      <w:r w:rsidR="00910B33">
        <w:rPr>
          <w:lang w:val="fr-FR"/>
        </w:rPr>
        <w:t xml:space="preserve">et </w:t>
      </w:r>
      <w:r w:rsidRPr="00D05C85">
        <w:rPr>
          <w:lang w:val="fr-FR"/>
        </w:rPr>
        <w:t>les deux chiffres correspondant à la série d’amendements en vigueur à la date de la délivrance de l’homologation ;</w:t>
      </w:r>
    </w:p>
    <w:p w14:paraId="4BE81C99" w14:textId="77777777" w:rsidR="00AF2126" w:rsidRPr="00D05C85" w:rsidRDefault="00AF2126" w:rsidP="00AF2126">
      <w:pPr>
        <w:pStyle w:val="SingleTxtG"/>
        <w:ind w:left="2268" w:hanging="1134"/>
        <w:rPr>
          <w:lang w:val="fr-FR"/>
        </w:rPr>
      </w:pPr>
      <w:r w:rsidRPr="00D05C85">
        <w:rPr>
          <w:lang w:val="fr-FR"/>
        </w:rPr>
        <w:t>3.3.2.5</w:t>
      </w:r>
      <w:r w:rsidRPr="00D05C85">
        <w:rPr>
          <w:lang w:val="fr-FR"/>
        </w:rPr>
        <w:tab/>
        <w:t>Le cas échéant, le ou les symboles additionnels suivants :</w:t>
      </w:r>
    </w:p>
    <w:p w14:paraId="229DFEE3" w14:textId="77777777" w:rsidR="00AF2126" w:rsidRPr="00D05C85" w:rsidRDefault="00AF2126" w:rsidP="00AF2126">
      <w:pPr>
        <w:pStyle w:val="SingleTxtG"/>
        <w:ind w:left="2268" w:hanging="1134"/>
        <w:rPr>
          <w:lang w:val="fr-FR"/>
        </w:rPr>
      </w:pPr>
      <w:r w:rsidRPr="00D05C85">
        <w:rPr>
          <w:lang w:val="fr-FR"/>
        </w:rPr>
        <w:t>3.3.2.5.1</w:t>
      </w:r>
      <w:r w:rsidRPr="00D05C85">
        <w:rPr>
          <w:lang w:val="fr-FR"/>
        </w:rPr>
        <w:tab/>
        <w:t>Sur les feux ne pouvant être montés indifféremment sur la partie droite ou la partie gauche du véhicule, une flèche horizontale indiquant le sens de montage ;</w:t>
      </w:r>
    </w:p>
    <w:p w14:paraId="2248141F" w14:textId="77777777" w:rsidR="00AF2126" w:rsidRPr="00D05C85" w:rsidRDefault="00AF2126" w:rsidP="00AF2126">
      <w:pPr>
        <w:pStyle w:val="SingleTxtG"/>
        <w:ind w:left="2268" w:hanging="1134"/>
        <w:rPr>
          <w:lang w:val="fr-FR"/>
        </w:rPr>
      </w:pPr>
      <w:r w:rsidRPr="00D05C85">
        <w:rPr>
          <w:lang w:val="fr-FR"/>
        </w:rPr>
        <w:lastRenderedPageBreak/>
        <w:t>3.3.2.5.1.1</w:t>
      </w:r>
      <w:r w:rsidRPr="00D05C85">
        <w:rPr>
          <w:lang w:val="fr-FR"/>
        </w:rPr>
        <w:tab/>
        <w:t>La flèche est orientée vers l’extérieur du véhicule pour :</w:t>
      </w:r>
    </w:p>
    <w:p w14:paraId="4238B1F1" w14:textId="6542D169" w:rsidR="00AF2126" w:rsidRPr="00D05C85" w:rsidRDefault="00AF2126" w:rsidP="00AF2126">
      <w:pPr>
        <w:pStyle w:val="SingleTxtG"/>
        <w:ind w:left="2835" w:hanging="567"/>
        <w:rPr>
          <w:lang w:val="fr-FR"/>
        </w:rPr>
      </w:pPr>
      <w:r w:rsidRPr="00D05C85">
        <w:rPr>
          <w:lang w:val="fr-FR"/>
        </w:rPr>
        <w:t>a)</w:t>
      </w:r>
      <w:r w:rsidRPr="00D05C85">
        <w:rPr>
          <w:lang w:val="fr-FR"/>
        </w:rPr>
        <w:tab/>
        <w:t xml:space="preserve">Les indicateurs de direction des catégories 1, 1a, 1b, 2a, 2b, 11, 11a, 11b, 11c </w:t>
      </w:r>
      <w:r w:rsidR="00910B33">
        <w:rPr>
          <w:lang w:val="fr-FR"/>
        </w:rPr>
        <w:t xml:space="preserve">et </w:t>
      </w:r>
      <w:r w:rsidRPr="00D05C85">
        <w:rPr>
          <w:lang w:val="fr-FR"/>
        </w:rPr>
        <w:t>12 ;</w:t>
      </w:r>
    </w:p>
    <w:p w14:paraId="140F4BBC" w14:textId="7AC3BD59" w:rsidR="00AF2126" w:rsidRPr="00D05C85" w:rsidRDefault="00AF2126" w:rsidP="00AF2126">
      <w:pPr>
        <w:pStyle w:val="SingleTxtG"/>
        <w:ind w:left="2835" w:hanging="567"/>
        <w:rPr>
          <w:lang w:val="fr-FR"/>
        </w:rPr>
      </w:pPr>
      <w:r w:rsidRPr="00D05C85">
        <w:rPr>
          <w:lang w:val="fr-FR"/>
        </w:rPr>
        <w:t>b)</w:t>
      </w:r>
      <w:r w:rsidRPr="00D05C85">
        <w:rPr>
          <w:lang w:val="fr-FR"/>
        </w:rPr>
        <w:tab/>
        <w:t xml:space="preserve">Les feux de position avant </w:t>
      </w:r>
      <w:r w:rsidR="00910B33">
        <w:rPr>
          <w:lang w:val="fr-FR"/>
        </w:rPr>
        <w:t xml:space="preserve">et </w:t>
      </w:r>
      <w:r w:rsidRPr="00D05C85">
        <w:rPr>
          <w:lang w:val="fr-FR"/>
        </w:rPr>
        <w:t xml:space="preserve">arrière </w:t>
      </w:r>
      <w:r w:rsidR="00910B33">
        <w:rPr>
          <w:lang w:val="fr-FR"/>
        </w:rPr>
        <w:t xml:space="preserve">et </w:t>
      </w:r>
      <w:r w:rsidRPr="00D05C85">
        <w:rPr>
          <w:lang w:val="fr-FR"/>
        </w:rPr>
        <w:t xml:space="preserve">les feux d’encombrement avant </w:t>
      </w:r>
      <w:r w:rsidR="00910B33">
        <w:rPr>
          <w:lang w:val="fr-FR"/>
        </w:rPr>
        <w:t xml:space="preserve">et </w:t>
      </w:r>
      <w:r w:rsidRPr="00D05C85">
        <w:rPr>
          <w:lang w:val="fr-FR"/>
        </w:rPr>
        <w:t>arrière ;</w:t>
      </w:r>
    </w:p>
    <w:p w14:paraId="29D93554" w14:textId="69904057" w:rsidR="00AF2126" w:rsidRPr="00D05C85" w:rsidRDefault="00AF2126" w:rsidP="00AF2126">
      <w:pPr>
        <w:pStyle w:val="SingleTxtG"/>
        <w:ind w:left="2835" w:hanging="567"/>
        <w:rPr>
          <w:lang w:val="fr-FR"/>
        </w:rPr>
      </w:pPr>
      <w:r w:rsidRPr="00D05C85">
        <w:rPr>
          <w:lang w:val="fr-FR"/>
        </w:rPr>
        <w:t>c)</w:t>
      </w:r>
      <w:r w:rsidRPr="00D05C85">
        <w:rPr>
          <w:lang w:val="fr-FR"/>
        </w:rPr>
        <w:tab/>
        <w:t>Les feux de marche arrière si le champ de répartition lumineuse est réduit sur les deux feux de marche arrière</w:t>
      </w:r>
      <w:r w:rsidR="00666CD1" w:rsidRPr="00D05C85">
        <w:rPr>
          <w:lang w:val="fr-FR"/>
        </w:rPr>
        <w:t> ;</w:t>
      </w:r>
    </w:p>
    <w:p w14:paraId="0CDF9CAE" w14:textId="09ED433C" w:rsidR="00AF2126" w:rsidRPr="00D05C85" w:rsidRDefault="00AF2126" w:rsidP="00AF2126">
      <w:pPr>
        <w:pStyle w:val="SingleTxtG"/>
        <w:ind w:left="2268" w:hanging="1134"/>
        <w:rPr>
          <w:lang w:val="fr-FR"/>
        </w:rPr>
      </w:pPr>
      <w:r w:rsidRPr="00D05C85">
        <w:rPr>
          <w:lang w:val="fr-FR"/>
        </w:rPr>
        <w:t>3.3.2.5.1.2</w:t>
      </w:r>
      <w:r w:rsidRPr="00D05C85">
        <w:rPr>
          <w:lang w:val="fr-FR"/>
        </w:rPr>
        <w:tab/>
        <w:t xml:space="preserve">La flèche est orientée vers l’avant du véhicule pour les indicateurs de direction des catégories 5 </w:t>
      </w:r>
      <w:r w:rsidR="00910B33">
        <w:rPr>
          <w:lang w:val="fr-FR"/>
        </w:rPr>
        <w:t xml:space="preserve">et </w:t>
      </w:r>
      <w:r w:rsidRPr="00D05C85">
        <w:rPr>
          <w:lang w:val="fr-FR"/>
        </w:rPr>
        <w:t xml:space="preserve">6 </w:t>
      </w:r>
      <w:r w:rsidR="00910B33">
        <w:rPr>
          <w:lang w:val="fr-FR"/>
        </w:rPr>
        <w:t xml:space="preserve">et </w:t>
      </w:r>
      <w:r w:rsidRPr="00D05C85">
        <w:rPr>
          <w:lang w:val="fr-FR"/>
        </w:rPr>
        <w:t>les feux de stationnement combinés ;</w:t>
      </w:r>
    </w:p>
    <w:p w14:paraId="798A656C" w14:textId="7AAC6770" w:rsidR="00AF2126" w:rsidRPr="00D05C85" w:rsidRDefault="00AF2126" w:rsidP="00AF2126">
      <w:pPr>
        <w:pStyle w:val="SingleTxtG"/>
        <w:ind w:left="2268" w:hanging="1134"/>
        <w:rPr>
          <w:lang w:val="fr-FR"/>
        </w:rPr>
      </w:pPr>
      <w:r w:rsidRPr="00D05C85">
        <w:rPr>
          <w:lang w:val="fr-FR"/>
        </w:rPr>
        <w:t>3.3.2.5.1.3</w:t>
      </w:r>
      <w:r w:rsidRPr="00D05C85">
        <w:rPr>
          <w:lang w:val="fr-FR"/>
        </w:rPr>
        <w:tab/>
        <w:t>Pour les indicateurs de direction de la catégorie 6, le feu doit être marqué de la lettre “R” ou “L”, pour indiquer respectivement le côté droit ou le côté gauche du véhicule</w:t>
      </w:r>
      <w:r w:rsidR="005B36F1" w:rsidRPr="00D05C85">
        <w:rPr>
          <w:lang w:val="fr-FR"/>
        </w:rPr>
        <w:t> ;</w:t>
      </w:r>
    </w:p>
    <w:p w14:paraId="4D61D280" w14:textId="77777777" w:rsidR="00AF2126" w:rsidRPr="00D05C85" w:rsidRDefault="00AF2126" w:rsidP="00AF2126">
      <w:pPr>
        <w:pStyle w:val="SingleTxtG"/>
        <w:ind w:left="2268" w:hanging="1134"/>
        <w:rPr>
          <w:lang w:val="fr-FR"/>
        </w:rPr>
      </w:pPr>
      <w:r w:rsidRPr="00D05C85">
        <w:rPr>
          <w:lang w:val="fr-FR"/>
        </w:rPr>
        <w:t>3.3.2.5.2</w:t>
      </w:r>
      <w:r w:rsidRPr="00D05C85">
        <w:rPr>
          <w:lang w:val="fr-FR"/>
        </w:rPr>
        <w:tab/>
        <w:t>Le cas échéant, à droite du symbole mentionné au paragraphe 3.2.4 :</w:t>
      </w:r>
    </w:p>
    <w:p w14:paraId="3CD5527D" w14:textId="77777777" w:rsidR="00AF2126" w:rsidRPr="00D05C85" w:rsidRDefault="00AF2126" w:rsidP="00AF2126">
      <w:pPr>
        <w:pStyle w:val="SingleTxtG"/>
        <w:ind w:left="2835" w:hanging="567"/>
        <w:rPr>
          <w:lang w:val="fr-FR"/>
        </w:rPr>
      </w:pPr>
      <w:r w:rsidRPr="00D05C85">
        <w:rPr>
          <w:lang w:val="fr-FR"/>
        </w:rPr>
        <w:t>a)</w:t>
      </w:r>
      <w:r w:rsidRPr="00D05C85">
        <w:rPr>
          <w:lang w:val="fr-FR"/>
        </w:rPr>
        <w:tab/>
        <w:t>La lettre additionnelle “D”, sur les feux qui peuvent être utilisés dans un assemblage de deux feux indépendants ;</w:t>
      </w:r>
    </w:p>
    <w:p w14:paraId="5ECA6504" w14:textId="77777777" w:rsidR="00AF2126" w:rsidRPr="00D05C85" w:rsidRDefault="00AF2126" w:rsidP="00AF2126">
      <w:pPr>
        <w:pStyle w:val="SingleTxtG"/>
        <w:ind w:left="2835" w:hanging="567"/>
        <w:rPr>
          <w:lang w:val="fr-FR"/>
        </w:rPr>
      </w:pPr>
      <w:r w:rsidRPr="00D05C85">
        <w:rPr>
          <w:lang w:val="fr-FR"/>
        </w:rPr>
        <w:t>b)</w:t>
      </w:r>
      <w:r w:rsidRPr="00D05C85">
        <w:rPr>
          <w:lang w:val="fr-FR"/>
        </w:rPr>
        <w:tab/>
        <w:t>La lettre additionnelle “Y”, sur les feux qui font partie d’un système de feux interdépendants ;</w:t>
      </w:r>
    </w:p>
    <w:p w14:paraId="159241F7" w14:textId="1FBF776B" w:rsidR="00AF2126" w:rsidRPr="00D05C85" w:rsidRDefault="00AF2126" w:rsidP="00AF2126">
      <w:pPr>
        <w:pStyle w:val="SingleTxtG"/>
        <w:ind w:left="2268" w:hanging="1134"/>
        <w:rPr>
          <w:lang w:val="fr-FR"/>
        </w:rPr>
      </w:pPr>
      <w:r w:rsidRPr="00D05C85">
        <w:rPr>
          <w:lang w:val="fr-FR"/>
        </w:rPr>
        <w:t>3.3.2.5.3</w:t>
      </w:r>
      <w:r w:rsidRPr="00D05C85">
        <w:rPr>
          <w:lang w:val="fr-FR"/>
        </w:rPr>
        <w:tab/>
        <w:t xml:space="preserve">Sur les feux dont le champ de répartition lumineuse est réduit (voir le paragraphe 1.1 de l’annexe 3), une flèche verticale partant d’un segment horizontal </w:t>
      </w:r>
      <w:r w:rsidR="00910B33">
        <w:rPr>
          <w:lang w:val="fr-FR"/>
        </w:rPr>
        <w:t xml:space="preserve">et </w:t>
      </w:r>
      <w:r w:rsidRPr="00D05C85">
        <w:rPr>
          <w:lang w:val="fr-FR"/>
        </w:rPr>
        <w:t>dirigée vers le bas.</w:t>
      </w:r>
    </w:p>
    <w:p w14:paraId="26F96FB5" w14:textId="77777777" w:rsidR="00AF2126" w:rsidRPr="00D05C85" w:rsidRDefault="00AF2126" w:rsidP="00AF2126">
      <w:pPr>
        <w:pStyle w:val="SingleTxtG"/>
        <w:ind w:left="2268" w:hanging="1134"/>
        <w:rPr>
          <w:rStyle w:val="Carpredefinitoparagrafo1"/>
          <w:iCs/>
          <w:lang w:val="fr-FR"/>
        </w:rPr>
      </w:pPr>
      <w:r w:rsidRPr="00D05C85">
        <w:rPr>
          <w:lang w:val="fr-FR"/>
        </w:rPr>
        <w:t>3.3.3</w:t>
      </w:r>
      <w:r w:rsidRPr="00D05C85">
        <w:rPr>
          <w:lang w:val="fr-FR"/>
        </w:rPr>
        <w:tab/>
        <w:t>Identifiant unique</w:t>
      </w:r>
    </w:p>
    <w:p w14:paraId="4A3F3776" w14:textId="77777777" w:rsidR="00AF2126" w:rsidRPr="00D05C85" w:rsidRDefault="00AF2126" w:rsidP="00AF2126">
      <w:pPr>
        <w:pStyle w:val="SingleTxtG"/>
        <w:ind w:left="2268" w:hanging="1134"/>
        <w:rPr>
          <w:lang w:val="fr-FR"/>
        </w:rPr>
      </w:pPr>
      <w:r w:rsidRPr="00D05C85">
        <w:rPr>
          <w:lang w:val="fr-FR"/>
        </w:rPr>
        <w:t>3.3.3.1</w:t>
      </w:r>
      <w:r w:rsidRPr="00D05C85">
        <w:rPr>
          <w:lang w:val="fr-FR"/>
        </w:rPr>
        <w:tab/>
        <w:t>La marque d’homologation définie au paragraphe 3.3.2 peut être remplacée par l’identifiant unique, le cas échéant. Celui-ci doit être conforme à l’exemple suivant :</w:t>
      </w:r>
    </w:p>
    <w:p w14:paraId="763F995C" w14:textId="77777777" w:rsidR="00AF2126" w:rsidRPr="00D05C85" w:rsidRDefault="00AF2126" w:rsidP="00AF2126">
      <w:pPr>
        <w:pStyle w:val="Titre1"/>
        <w:tabs>
          <w:tab w:val="left" w:pos="1701"/>
          <w:tab w:val="left" w:pos="2268"/>
          <w:tab w:val="left" w:pos="2835"/>
        </w:tabs>
        <w:spacing w:after="120"/>
        <w:ind w:left="2268"/>
        <w:rPr>
          <w:b/>
          <w:bCs/>
          <w:lang w:val="fr-FR"/>
        </w:rPr>
      </w:pPr>
      <w:r w:rsidRPr="00D05C85">
        <w:rPr>
          <w:lang w:val="fr-FR"/>
        </w:rPr>
        <w:t>Figure I</w:t>
      </w:r>
      <w:r w:rsidRPr="00D05C85">
        <w:rPr>
          <w:lang w:val="fr-FR"/>
        </w:rPr>
        <w:br/>
      </w:r>
      <w:r w:rsidRPr="00D05C85">
        <w:rPr>
          <w:b/>
          <w:bCs/>
          <w:lang w:val="fr-FR"/>
        </w:rPr>
        <w:t>Identifiant unique</w:t>
      </w:r>
    </w:p>
    <w:p w14:paraId="00EB430E" w14:textId="77777777" w:rsidR="00AF2126" w:rsidRPr="00D05C85" w:rsidRDefault="00AF2126" w:rsidP="00AF2126">
      <w:pPr>
        <w:pStyle w:val="para"/>
        <w:ind w:left="1134" w:firstLine="1134"/>
        <w:rPr>
          <w:lang w:val="fr-FR"/>
        </w:rPr>
      </w:pPr>
      <w:r w:rsidRPr="00D05C85">
        <w:rPr>
          <w:noProof/>
          <w:lang w:val="fr-FR" w:eastAsia="en-GB"/>
        </w:rPr>
        <w:drawing>
          <wp:inline distT="0" distB="0" distL="0" distR="0" wp14:anchorId="73DF9FA8" wp14:editId="64FCD82E">
            <wp:extent cx="3804123" cy="1286643"/>
            <wp:effectExtent l="0" t="0" r="5877" b="0"/>
            <wp:docPr id="4"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804123" cy="1286643"/>
                    </a:xfrm>
                    <a:prstGeom prst="rect">
                      <a:avLst/>
                    </a:prstGeom>
                    <a:noFill/>
                    <a:ln>
                      <a:noFill/>
                      <a:prstDash/>
                    </a:ln>
                  </pic:spPr>
                </pic:pic>
              </a:graphicData>
            </a:graphic>
          </wp:inline>
        </w:drawing>
      </w:r>
    </w:p>
    <w:p w14:paraId="5C782176" w14:textId="4D7EB684" w:rsidR="00AF2126" w:rsidRPr="00D05C85" w:rsidRDefault="00AF2126" w:rsidP="00AF2126">
      <w:pPr>
        <w:pStyle w:val="SingleTxtG"/>
        <w:ind w:left="2268"/>
        <w:rPr>
          <w:lang w:val="fr-FR"/>
        </w:rPr>
      </w:pPr>
      <w:r w:rsidRPr="00D05C85">
        <w:rPr>
          <w:lang w:val="fr-FR"/>
        </w:rPr>
        <w:t xml:space="preserve">La marque ci-dessus, apposée sur le feu, indique que le type visé a été homologué </w:t>
      </w:r>
      <w:r w:rsidR="00910B33">
        <w:rPr>
          <w:lang w:val="fr-FR"/>
        </w:rPr>
        <w:t xml:space="preserve">et </w:t>
      </w:r>
      <w:r w:rsidRPr="00D05C85">
        <w:rPr>
          <w:lang w:val="fr-FR"/>
        </w:rPr>
        <w:t>que les renseignements relatifs à cette homologation de type peuvent être consultés dans la base de données électronique de l’ONU, sous l’identifiant unique 270650.</w:t>
      </w:r>
    </w:p>
    <w:p w14:paraId="07A8A09C" w14:textId="77777777" w:rsidR="00AF2126" w:rsidRPr="00D05C85" w:rsidRDefault="00AF2126" w:rsidP="00AF2126">
      <w:pPr>
        <w:pStyle w:val="SingleTxtG"/>
        <w:ind w:left="2268" w:hanging="1134"/>
        <w:rPr>
          <w:rStyle w:val="Carpredefinitoparagrafo1"/>
          <w:bCs/>
          <w:lang w:val="fr-FR"/>
        </w:rPr>
      </w:pPr>
      <w:r w:rsidRPr="00D05C85">
        <w:rPr>
          <w:lang w:val="fr-FR"/>
        </w:rPr>
        <w:t>3.3.4</w:t>
      </w:r>
      <w:r w:rsidRPr="00D05C85">
        <w:rPr>
          <w:lang w:val="fr-FR"/>
        </w:rPr>
        <w:tab/>
        <w:t>Prescriptions relatives au marquage</w:t>
      </w:r>
    </w:p>
    <w:p w14:paraId="6B263F76" w14:textId="77777777" w:rsidR="00AF2126" w:rsidRPr="00D05C85" w:rsidRDefault="00AF2126" w:rsidP="00AF2126">
      <w:pPr>
        <w:pStyle w:val="SingleTxtG"/>
        <w:ind w:left="2268" w:hanging="1134"/>
        <w:rPr>
          <w:rStyle w:val="Carpredefinitoparagrafo1"/>
          <w:iCs/>
          <w:lang w:val="fr-FR"/>
        </w:rPr>
      </w:pPr>
      <w:r w:rsidRPr="00D05C85">
        <w:rPr>
          <w:lang w:val="fr-FR"/>
        </w:rPr>
        <w:t>3.3.4.1</w:t>
      </w:r>
      <w:r w:rsidRPr="00D05C85">
        <w:rPr>
          <w:lang w:val="fr-FR"/>
        </w:rPr>
        <w:tab/>
        <w:t>Les feux doivent porter la marque d’homologation ou l’identifiant unique.</w:t>
      </w:r>
    </w:p>
    <w:p w14:paraId="355D73F3" w14:textId="77777777" w:rsidR="00AF2126" w:rsidRPr="00D05C85" w:rsidRDefault="00AF2126" w:rsidP="00AF2126">
      <w:pPr>
        <w:pStyle w:val="SingleTxtG"/>
        <w:ind w:left="2268" w:hanging="1134"/>
        <w:rPr>
          <w:rStyle w:val="Carpredefinitoparagrafo1"/>
          <w:iCs/>
          <w:lang w:val="fr-FR"/>
        </w:rPr>
      </w:pPr>
      <w:r w:rsidRPr="00D05C85">
        <w:rPr>
          <w:lang w:val="fr-FR"/>
        </w:rPr>
        <w:t>3.3.4.2</w:t>
      </w:r>
      <w:r w:rsidRPr="00D05C85">
        <w:rPr>
          <w:lang w:val="fr-FR"/>
        </w:rPr>
        <w:tab/>
        <w:t>Les feux doivent porter la marque de fabrique ou de commerce du demandeur.</w:t>
      </w:r>
    </w:p>
    <w:p w14:paraId="5D360246" w14:textId="77777777" w:rsidR="00AF2126" w:rsidRPr="00D05C85" w:rsidRDefault="00AF2126" w:rsidP="00AF2126">
      <w:pPr>
        <w:pStyle w:val="SingleTxtG"/>
        <w:ind w:left="2268" w:hanging="1134"/>
        <w:rPr>
          <w:lang w:val="fr-FR"/>
        </w:rPr>
      </w:pPr>
      <w:r w:rsidRPr="00D05C85">
        <w:rPr>
          <w:lang w:val="fr-FR"/>
        </w:rPr>
        <w:t>3.3.4.3</w:t>
      </w:r>
      <w:r w:rsidRPr="00D05C85">
        <w:rPr>
          <w:lang w:val="fr-FR"/>
        </w:rPr>
        <w:tab/>
        <w:t>À l’exception des feux équipés de sources lumineuses non remplaçables, les feux doivent porter une marque sur laquelle sont indiqués :</w:t>
      </w:r>
    </w:p>
    <w:p w14:paraId="7C021ED4" w14:textId="77777777" w:rsidR="00AF2126" w:rsidRPr="00D05C85" w:rsidRDefault="00AF2126" w:rsidP="00AF2126">
      <w:pPr>
        <w:pStyle w:val="SingleTxtG"/>
        <w:ind w:left="2835" w:hanging="567"/>
        <w:rPr>
          <w:lang w:val="fr-FR"/>
        </w:rPr>
      </w:pPr>
      <w:r w:rsidRPr="00D05C85">
        <w:rPr>
          <w:lang w:val="fr-FR"/>
        </w:rPr>
        <w:t>a)</w:t>
      </w:r>
      <w:r w:rsidRPr="00D05C85">
        <w:rPr>
          <w:lang w:val="fr-FR"/>
        </w:rPr>
        <w:tab/>
        <w:t xml:space="preserve">La ou les catégories de la ou des sources lumineuses prescrites ; </w:t>
      </w:r>
    </w:p>
    <w:p w14:paraId="78659E54" w14:textId="77777777" w:rsidR="00AF2126" w:rsidRPr="00D05C85" w:rsidRDefault="00AF2126" w:rsidP="00AF2126">
      <w:pPr>
        <w:pStyle w:val="SingleTxtG"/>
        <w:ind w:left="2835" w:hanging="567"/>
        <w:rPr>
          <w:lang w:val="fr-FR"/>
        </w:rPr>
      </w:pPr>
      <w:r w:rsidRPr="00D05C85">
        <w:rPr>
          <w:lang w:val="fr-FR"/>
        </w:rPr>
        <w:t>b)</w:t>
      </w:r>
      <w:r w:rsidRPr="00D05C85">
        <w:rPr>
          <w:lang w:val="fr-FR"/>
        </w:rPr>
        <w:tab/>
        <w:t>pour les feux homologués pour une ou plusieurs sources lumineuses à DEL de substitution, également l’indication de la ou des catégories de sources lumineuses à DEL de substitution.</w:t>
      </w:r>
    </w:p>
    <w:p w14:paraId="6D77EB55" w14:textId="77777777" w:rsidR="00AF2126" w:rsidRPr="00D05C85" w:rsidRDefault="00AF2126" w:rsidP="00AF2126">
      <w:pPr>
        <w:pStyle w:val="SingleTxtG"/>
        <w:ind w:left="2268" w:hanging="1134"/>
        <w:rPr>
          <w:lang w:val="fr-FR"/>
        </w:rPr>
      </w:pPr>
      <w:r w:rsidRPr="00D05C85">
        <w:rPr>
          <w:lang w:val="fr-FR"/>
        </w:rPr>
        <w:lastRenderedPageBreak/>
        <w:t>3.3.4.4</w:t>
      </w:r>
      <w:r w:rsidRPr="00D05C85">
        <w:rPr>
          <w:lang w:val="fr-FR"/>
        </w:rPr>
        <w:tab/>
        <w:t>Les feux doivent porter une indication de la ou des tensions nominales (6V, 12V ou 24V) ou de la plage de tension dans le cas où ils sont dotés :</w:t>
      </w:r>
    </w:p>
    <w:p w14:paraId="2C8C0E98" w14:textId="77777777" w:rsidR="00AF2126" w:rsidRPr="00D05C85" w:rsidRDefault="00AF2126" w:rsidP="00AF2126">
      <w:pPr>
        <w:pStyle w:val="SingleTxtG"/>
        <w:ind w:left="2835" w:hanging="567"/>
        <w:rPr>
          <w:lang w:val="fr-FR"/>
        </w:rPr>
      </w:pPr>
      <w:r w:rsidRPr="00D05C85">
        <w:rPr>
          <w:lang w:val="fr-FR"/>
        </w:rPr>
        <w:t>a)</w:t>
      </w:r>
      <w:r w:rsidRPr="00D05C85">
        <w:rPr>
          <w:lang w:val="fr-FR"/>
        </w:rPr>
        <w:tab/>
        <w:t>D’un module électronique de régulation de source lumineuse ; et/ou</w:t>
      </w:r>
    </w:p>
    <w:p w14:paraId="1418BAA8" w14:textId="77777777" w:rsidR="00AF2126" w:rsidRPr="00D05C85" w:rsidRDefault="00AF2126" w:rsidP="00AF2126">
      <w:pPr>
        <w:pStyle w:val="SingleTxtG"/>
        <w:ind w:left="2835" w:hanging="567"/>
        <w:rPr>
          <w:lang w:val="fr-FR"/>
        </w:rPr>
      </w:pPr>
      <w:r w:rsidRPr="00D05C85">
        <w:rPr>
          <w:lang w:val="fr-FR"/>
        </w:rPr>
        <w:t>b)</w:t>
      </w:r>
      <w:r w:rsidRPr="00D05C85">
        <w:rPr>
          <w:lang w:val="fr-FR"/>
        </w:rPr>
        <w:tab/>
        <w:t>D’un régulateur d’intensité lumineuse ; et/ou</w:t>
      </w:r>
    </w:p>
    <w:p w14:paraId="13BD85EB" w14:textId="77777777" w:rsidR="00AF2126" w:rsidRPr="00D05C85" w:rsidRDefault="00AF2126" w:rsidP="00AF2126">
      <w:pPr>
        <w:pStyle w:val="SingleTxtG"/>
        <w:ind w:left="2835" w:hanging="567"/>
        <w:rPr>
          <w:lang w:val="fr-FR"/>
        </w:rPr>
      </w:pPr>
      <w:r w:rsidRPr="00D05C85">
        <w:rPr>
          <w:lang w:val="fr-FR"/>
        </w:rPr>
        <w:t>c)</w:t>
      </w:r>
      <w:r w:rsidRPr="00D05C85">
        <w:rPr>
          <w:lang w:val="fr-FR"/>
        </w:rPr>
        <w:tab/>
        <w:t>D’un mode de fonctionnement secondaire ; et/ou</w:t>
      </w:r>
    </w:p>
    <w:p w14:paraId="68C73567" w14:textId="77777777" w:rsidR="00AF2126" w:rsidRPr="00D05C85" w:rsidRDefault="00AF2126" w:rsidP="00AF2126">
      <w:pPr>
        <w:pStyle w:val="SingleTxtG"/>
        <w:ind w:left="2835" w:hanging="567"/>
        <w:rPr>
          <w:lang w:val="fr-FR"/>
        </w:rPr>
      </w:pPr>
      <w:r w:rsidRPr="00D05C85">
        <w:rPr>
          <w:lang w:val="fr-FR"/>
        </w:rPr>
        <w:t>d)</w:t>
      </w:r>
      <w:r w:rsidRPr="00D05C85">
        <w:rPr>
          <w:lang w:val="fr-FR"/>
        </w:rPr>
        <w:tab/>
        <w:t>De sources lumineuses non remplaçables.</w:t>
      </w:r>
    </w:p>
    <w:p w14:paraId="3D5890A0" w14:textId="77777777" w:rsidR="00AF2126" w:rsidRPr="00D05C85" w:rsidRDefault="00AF2126" w:rsidP="00AF2126">
      <w:pPr>
        <w:pStyle w:val="SingleTxtG"/>
        <w:ind w:left="2268" w:hanging="1134"/>
        <w:rPr>
          <w:b/>
          <w:bCs/>
          <w:lang w:val="fr-FR"/>
        </w:rPr>
      </w:pPr>
      <w:r w:rsidRPr="00D05C85">
        <w:rPr>
          <w:lang w:val="fr-FR"/>
        </w:rPr>
        <w:t>3.3.4.5</w:t>
      </w:r>
      <w:r w:rsidRPr="00D05C85">
        <w:rPr>
          <w:lang w:val="fr-FR"/>
        </w:rPr>
        <w:tab/>
        <w:t>Dans le cas où un ou des modules d’éclairage remplaçables sont utilisés, les feux doivent porter les marques suivantes :</w:t>
      </w:r>
    </w:p>
    <w:p w14:paraId="09B12CA9" w14:textId="77777777" w:rsidR="00AF2126" w:rsidRPr="00D05C85" w:rsidRDefault="00AF2126" w:rsidP="00AF2126">
      <w:pPr>
        <w:pStyle w:val="SingleTxtG"/>
        <w:ind w:left="2835" w:hanging="567"/>
        <w:rPr>
          <w:lang w:val="fr-FR"/>
        </w:rPr>
      </w:pPr>
      <w:r w:rsidRPr="00D05C85">
        <w:rPr>
          <w:lang w:val="fr-FR"/>
        </w:rPr>
        <w:t>a)</w:t>
      </w:r>
      <w:r w:rsidRPr="00D05C85">
        <w:rPr>
          <w:lang w:val="fr-FR"/>
        </w:rPr>
        <w:tab/>
        <w:t>Sur le ou les modules d’éclairage :</w:t>
      </w:r>
    </w:p>
    <w:p w14:paraId="6D0AFD66" w14:textId="77777777" w:rsidR="00AF2126" w:rsidRPr="00D05C85" w:rsidRDefault="00AF2126" w:rsidP="00AF2126">
      <w:pPr>
        <w:pStyle w:val="SingleTxtG"/>
        <w:ind w:left="3402" w:hanging="567"/>
        <w:rPr>
          <w:lang w:val="fr-FR"/>
        </w:rPr>
      </w:pPr>
      <w:r w:rsidRPr="00D05C85">
        <w:rPr>
          <w:lang w:val="fr-FR"/>
        </w:rPr>
        <w:t>i)</w:t>
      </w:r>
      <w:r w:rsidRPr="00D05C85">
        <w:rPr>
          <w:lang w:val="fr-FR"/>
        </w:rPr>
        <w:tab/>
        <w:t>La marque de fabrique ou de commerce du demandeur ;</w:t>
      </w:r>
    </w:p>
    <w:p w14:paraId="59A82020" w14:textId="7CFA5E16" w:rsidR="00AF2126" w:rsidRPr="00D05C85" w:rsidRDefault="00AF2126" w:rsidP="00AF2126">
      <w:pPr>
        <w:pStyle w:val="SingleTxtG"/>
        <w:ind w:left="3402" w:hanging="567"/>
        <w:rPr>
          <w:lang w:val="fr-FR"/>
        </w:rPr>
      </w:pPr>
      <w:bookmarkStart w:id="9" w:name="_Hlk61021325"/>
      <w:r w:rsidRPr="00D05C85">
        <w:rPr>
          <w:lang w:val="fr-FR"/>
        </w:rPr>
        <w:t>ii)</w:t>
      </w:r>
      <w:r w:rsidRPr="00D05C85">
        <w:rPr>
          <w:lang w:val="fr-FR"/>
        </w:rPr>
        <w:tab/>
        <w:t xml:space="preserve">Le code d’identification propre à chaque module. Ce code débute par les lettres “MD” (pour “module”), suivies de la marque d’homologation dépourvue du cercle visé au paragraphe 3.3.2.1.1 ou de l’identifiant unique dépourvu du cercle tronqué visé au paragraphe 3.3.3. Dans le cas où plusieurs modules d’éclairage non identiques sont utilisés </w:t>
      </w:r>
      <w:r w:rsidR="00910B33">
        <w:rPr>
          <w:lang w:val="fr-FR"/>
        </w:rPr>
        <w:t xml:space="preserve">et </w:t>
      </w:r>
      <w:r w:rsidRPr="00D05C85">
        <w:rPr>
          <w:lang w:val="fr-FR"/>
        </w:rPr>
        <w:t>suivis de symboles ou de caractères supplémentaires, il n’est pas nécessaire que la marque d’homologation ou l’identifiant unique soit identique à la marque qui figure sur le feu dans lequel le module est utilisé, mais les deux marques doivent provenir du même demandeur ;</w:t>
      </w:r>
      <w:bookmarkEnd w:id="9"/>
    </w:p>
    <w:p w14:paraId="21E53F06" w14:textId="77777777" w:rsidR="00AF2126" w:rsidRPr="00D05C85" w:rsidRDefault="00AF2126" w:rsidP="00AF2126">
      <w:pPr>
        <w:pStyle w:val="SingleTxtG"/>
        <w:ind w:left="3402" w:hanging="567"/>
        <w:rPr>
          <w:lang w:val="fr-FR"/>
        </w:rPr>
      </w:pPr>
      <w:r w:rsidRPr="00D05C85">
        <w:rPr>
          <w:lang w:val="fr-FR"/>
        </w:rPr>
        <w:t>iii)</w:t>
      </w:r>
      <w:r w:rsidRPr="00D05C85">
        <w:rPr>
          <w:lang w:val="fr-FR"/>
        </w:rPr>
        <w:tab/>
        <w:t>La tension nominale ou la plage de tension ;</w:t>
      </w:r>
    </w:p>
    <w:p w14:paraId="72AF8306" w14:textId="77777777" w:rsidR="00AF2126" w:rsidRPr="00D05C85" w:rsidRDefault="00AF2126" w:rsidP="00AF2126">
      <w:pPr>
        <w:pStyle w:val="SingleTxtG"/>
        <w:ind w:left="2835" w:hanging="567"/>
        <w:rPr>
          <w:lang w:val="fr-FR"/>
        </w:rPr>
      </w:pPr>
      <w:r w:rsidRPr="00D05C85">
        <w:rPr>
          <w:lang w:val="fr-FR"/>
        </w:rPr>
        <w:t>b)</w:t>
      </w:r>
      <w:r w:rsidRPr="00D05C85">
        <w:rPr>
          <w:lang w:val="fr-FR"/>
        </w:rPr>
        <w:tab/>
        <w:t>Sur le feu :</w:t>
      </w:r>
    </w:p>
    <w:p w14:paraId="52425FB6" w14:textId="77777777" w:rsidR="00AF2126" w:rsidRPr="00D05C85" w:rsidRDefault="00AF2126" w:rsidP="00AF2126">
      <w:pPr>
        <w:pStyle w:val="SingleTxtG"/>
        <w:ind w:left="3402" w:hanging="567"/>
        <w:rPr>
          <w:lang w:val="fr-FR"/>
        </w:rPr>
      </w:pPr>
      <w:r w:rsidRPr="00D05C85">
        <w:rPr>
          <w:lang w:val="fr-FR"/>
        </w:rPr>
        <w:t>i)</w:t>
      </w:r>
      <w:r w:rsidRPr="00D05C85">
        <w:rPr>
          <w:lang w:val="fr-FR"/>
        </w:rPr>
        <w:tab/>
        <w:t xml:space="preserve">Le code d’identification propre à chaque module, tel que défini au paragraphe 3.3.4.5 a) ii) ; </w:t>
      </w:r>
    </w:p>
    <w:p w14:paraId="575E9D8F" w14:textId="77777777" w:rsidR="00AF2126" w:rsidRPr="00D05C85" w:rsidRDefault="00AF2126" w:rsidP="00AF2126">
      <w:pPr>
        <w:pStyle w:val="SingleTxtG"/>
        <w:ind w:left="3402" w:hanging="567"/>
        <w:rPr>
          <w:lang w:val="fr-FR"/>
        </w:rPr>
      </w:pPr>
      <w:r w:rsidRPr="00D05C85">
        <w:rPr>
          <w:lang w:val="fr-FR"/>
        </w:rPr>
        <w:t>ii)</w:t>
      </w:r>
      <w:r w:rsidRPr="00D05C85">
        <w:rPr>
          <w:lang w:val="fr-FR"/>
        </w:rPr>
        <w:tab/>
        <w:t>La tension nominale ou la plage de tension.</w:t>
      </w:r>
    </w:p>
    <w:p w14:paraId="63CF6BFC" w14:textId="75923649" w:rsidR="00AF2126" w:rsidRPr="00D05C85" w:rsidRDefault="00AF2126" w:rsidP="00AF2126">
      <w:pPr>
        <w:pStyle w:val="SingleTxtG"/>
        <w:ind w:left="2268" w:hanging="1134"/>
        <w:rPr>
          <w:lang w:val="fr-FR"/>
        </w:rPr>
      </w:pPr>
      <w:r w:rsidRPr="00D05C85">
        <w:rPr>
          <w:lang w:val="fr-FR"/>
        </w:rPr>
        <w:t>3.3.4.6</w:t>
      </w:r>
      <w:r w:rsidRPr="00D05C85">
        <w:rPr>
          <w:lang w:val="fr-FR"/>
        </w:rPr>
        <w:tab/>
        <w:t xml:space="preserve">Dans le cas où un module électronique de régulation de source lumineuse ou un régulateur d’intensité lumineuse fait partie du feu sans être intégré à son boîtier, le feu doit porter son numéro d’identification </w:t>
      </w:r>
      <w:r w:rsidR="00910B33">
        <w:rPr>
          <w:lang w:val="fr-FR"/>
        </w:rPr>
        <w:t xml:space="preserve">et </w:t>
      </w:r>
      <w:r w:rsidRPr="00D05C85">
        <w:rPr>
          <w:lang w:val="fr-FR"/>
        </w:rPr>
        <w:t>le nom du fabricant.</w:t>
      </w:r>
    </w:p>
    <w:p w14:paraId="276E981C" w14:textId="77777777" w:rsidR="00AF2126" w:rsidRPr="00D05C85" w:rsidRDefault="00AF2126" w:rsidP="00AF2126">
      <w:pPr>
        <w:pStyle w:val="SingleTxtG"/>
        <w:ind w:left="2268" w:hanging="1134"/>
        <w:rPr>
          <w:lang w:val="fr-FR"/>
        </w:rPr>
      </w:pPr>
      <w:r w:rsidRPr="00D05C85">
        <w:rPr>
          <w:lang w:val="fr-FR"/>
        </w:rPr>
        <w:t>3.3.5</w:t>
      </w:r>
      <w:r w:rsidRPr="00D05C85">
        <w:rPr>
          <w:lang w:val="fr-FR"/>
        </w:rPr>
        <w:tab/>
        <w:t>Emplacement de la marque</w:t>
      </w:r>
    </w:p>
    <w:p w14:paraId="58CE43C9" w14:textId="77777777" w:rsidR="00AF2126" w:rsidRPr="00D05C85" w:rsidRDefault="00AF2126" w:rsidP="00AF2126">
      <w:pPr>
        <w:pStyle w:val="SingleTxtG"/>
        <w:ind w:left="2268" w:hanging="1134"/>
        <w:rPr>
          <w:lang w:val="fr-FR"/>
        </w:rPr>
      </w:pPr>
      <w:r w:rsidRPr="00D05C85">
        <w:rPr>
          <w:lang w:val="fr-FR"/>
        </w:rPr>
        <w:t>3.3.5.1</w:t>
      </w:r>
      <w:r w:rsidRPr="00D05C85">
        <w:rPr>
          <w:lang w:val="fr-FR"/>
        </w:rPr>
        <w:tab/>
        <w:t>La marque d’homologation ou l’identifiant unique doit être apposé sur une partie intérieure ou extérieure (transparente ou non) du feu qui n’est pas conçue pour être séparée de la partie transparente émettant la lumière.</w:t>
      </w:r>
    </w:p>
    <w:p w14:paraId="7C0B5925" w14:textId="77777777" w:rsidR="00AF2126" w:rsidRPr="00D05C85" w:rsidRDefault="00AF2126" w:rsidP="00AF2126">
      <w:pPr>
        <w:pStyle w:val="SingleTxtG"/>
        <w:ind w:left="2268" w:hanging="1134"/>
        <w:rPr>
          <w:lang w:val="fr-FR"/>
        </w:rPr>
      </w:pPr>
      <w:r w:rsidRPr="00D05C85">
        <w:rPr>
          <w:lang w:val="fr-FR"/>
        </w:rPr>
        <w:t>3.3.5.2</w:t>
      </w:r>
      <w:r w:rsidRPr="00D05C85">
        <w:rPr>
          <w:lang w:val="fr-FR"/>
        </w:rPr>
        <w:tab/>
        <w:t>Dans tous les cas, la marque d’homologation ou l’identifiant unique, ainsi que la ou les catégories de sources lumineuses à DEL de substitution prescrites, le cas échéant, doivent être visibles lorsque le feu est monté sur le véhicule ou lorsqu’une partie mobile, telle que le capot, le hayon du coffre ou une porte, est ouverte.</w:t>
      </w:r>
    </w:p>
    <w:p w14:paraId="5A67EC8E" w14:textId="0D13B64C" w:rsidR="00AF2126" w:rsidRPr="00D05C85" w:rsidRDefault="00AF2126" w:rsidP="00AF2126">
      <w:pPr>
        <w:pStyle w:val="SingleTxtG"/>
        <w:ind w:left="2268" w:hanging="1134"/>
        <w:rPr>
          <w:lang w:val="fr-FR"/>
        </w:rPr>
      </w:pPr>
      <w:r w:rsidRPr="00D05C85">
        <w:rPr>
          <w:lang w:val="fr-FR"/>
        </w:rPr>
        <w:t>3.3.5.3</w:t>
      </w:r>
      <w:r w:rsidRPr="00D05C85">
        <w:rPr>
          <w:lang w:val="fr-FR"/>
        </w:rPr>
        <w:tab/>
        <w:t xml:space="preserve">Si la glace extérieure d’un dispositif est conçue pour être séparée du corps principal, l’identifiant unique ou la marque d’homologation doit être placé à la fois sur la glace détachable </w:t>
      </w:r>
      <w:r w:rsidR="00910B33">
        <w:rPr>
          <w:lang w:val="fr-FR"/>
        </w:rPr>
        <w:t xml:space="preserve">et </w:t>
      </w:r>
      <w:r w:rsidRPr="00D05C85">
        <w:rPr>
          <w:lang w:val="fr-FR"/>
        </w:rPr>
        <w:t>sur le corps principal.</w:t>
      </w:r>
    </w:p>
    <w:p w14:paraId="5FEAF733" w14:textId="249361D4" w:rsidR="00AF2126" w:rsidRPr="00D05C85" w:rsidRDefault="00AF2126" w:rsidP="00AF2126">
      <w:pPr>
        <w:pStyle w:val="SingleTxtG"/>
        <w:ind w:left="2268" w:hanging="1134"/>
        <w:rPr>
          <w:lang w:val="fr-FR"/>
        </w:rPr>
      </w:pPr>
      <w:r w:rsidRPr="00D05C85">
        <w:rPr>
          <w:lang w:val="fr-FR"/>
        </w:rPr>
        <w:t>3.3.5.4</w:t>
      </w:r>
      <w:r w:rsidRPr="00D05C85">
        <w:rPr>
          <w:lang w:val="fr-FR"/>
        </w:rPr>
        <w:tab/>
        <w:t xml:space="preserve">Dans le cas où une glace extérieure est utilisée pour plusieurs dispositifs </w:t>
      </w:r>
      <w:r w:rsidR="00910B33">
        <w:rPr>
          <w:lang w:val="fr-FR"/>
        </w:rPr>
        <w:t xml:space="preserve">et </w:t>
      </w:r>
      <w:r w:rsidRPr="00D05C85">
        <w:rPr>
          <w:lang w:val="fr-FR"/>
        </w:rPr>
        <w:t>porte différentes marques d’homologation, le corps principal de chaque dispositif ne doit porter que la marque d’homologation de la ou des fonctions du dispositif.</w:t>
      </w:r>
    </w:p>
    <w:p w14:paraId="541A43C8" w14:textId="54728AA8" w:rsidR="00AF2126" w:rsidRPr="00D05C85" w:rsidRDefault="00AF2126" w:rsidP="00AF2126">
      <w:pPr>
        <w:pStyle w:val="SingleTxtG"/>
        <w:ind w:left="2268" w:hanging="1134"/>
        <w:rPr>
          <w:lang w:val="fr-FR"/>
        </w:rPr>
      </w:pPr>
      <w:r w:rsidRPr="00D05C85">
        <w:rPr>
          <w:lang w:val="fr-FR"/>
        </w:rPr>
        <w:t>3.3.5.5</w:t>
      </w:r>
      <w:r w:rsidRPr="00D05C85">
        <w:rPr>
          <w:lang w:val="fr-FR"/>
        </w:rPr>
        <w:tab/>
        <w:t xml:space="preserve">La marque d’homologation ou l’identifiant unique </w:t>
      </w:r>
      <w:r w:rsidR="00910B33">
        <w:rPr>
          <w:lang w:val="fr-FR"/>
        </w:rPr>
        <w:t xml:space="preserve">et </w:t>
      </w:r>
      <w:r w:rsidRPr="00D05C85">
        <w:rPr>
          <w:lang w:val="fr-FR"/>
        </w:rPr>
        <w:t xml:space="preserve">les marques visées aux paragraphes 3.3.4.2, 3.3.4.3, 3.3.4.4, 3.3.4.5 b) </w:t>
      </w:r>
      <w:r w:rsidR="00910B33">
        <w:rPr>
          <w:lang w:val="fr-FR"/>
        </w:rPr>
        <w:t xml:space="preserve">et </w:t>
      </w:r>
      <w:r w:rsidRPr="00D05C85">
        <w:rPr>
          <w:lang w:val="fr-FR"/>
        </w:rPr>
        <w:t>3.3.4.6 doivent être apposés sur le feu.</w:t>
      </w:r>
    </w:p>
    <w:p w14:paraId="0EA72AD9" w14:textId="77777777" w:rsidR="00AF2126" w:rsidRPr="00D05C85" w:rsidRDefault="00AF2126" w:rsidP="00AF2126">
      <w:pPr>
        <w:pStyle w:val="SingleTxtG"/>
        <w:ind w:left="2268" w:hanging="1134"/>
        <w:rPr>
          <w:lang w:val="fr-FR"/>
        </w:rPr>
      </w:pPr>
      <w:r w:rsidRPr="00D05C85">
        <w:rPr>
          <w:lang w:val="fr-FR"/>
        </w:rPr>
        <w:t>3.3.5.6</w:t>
      </w:r>
      <w:r w:rsidRPr="00D05C85">
        <w:rPr>
          <w:lang w:val="fr-FR"/>
        </w:rPr>
        <w:tab/>
        <w:t xml:space="preserve">Les marques visées au paragraphe 3.3.4.5 a) doivent être apposées sur le feu. </w:t>
      </w:r>
    </w:p>
    <w:p w14:paraId="3E237C7B" w14:textId="7336A7B6" w:rsidR="00AF2126" w:rsidRPr="00D05C85" w:rsidRDefault="00AF2126" w:rsidP="00AF2126">
      <w:pPr>
        <w:pStyle w:val="SingleTxtG"/>
        <w:ind w:left="2268" w:hanging="1134"/>
        <w:rPr>
          <w:bCs/>
          <w:lang w:val="fr-FR"/>
        </w:rPr>
      </w:pPr>
      <w:r w:rsidRPr="00D05C85">
        <w:rPr>
          <w:lang w:val="fr-FR"/>
        </w:rPr>
        <w:lastRenderedPageBreak/>
        <w:t>3.3.5.7</w:t>
      </w:r>
      <w:r w:rsidRPr="00D05C85">
        <w:rPr>
          <w:lang w:val="fr-FR"/>
        </w:rPr>
        <w:tab/>
        <w:t xml:space="preserve">Les marques visées aux paragraphes 3.3.4.2, 3.3.4.3 a), 3.3.4.4, 3.3.4.5 </w:t>
      </w:r>
      <w:r w:rsidR="00910B33">
        <w:rPr>
          <w:lang w:val="fr-FR"/>
        </w:rPr>
        <w:t xml:space="preserve">et </w:t>
      </w:r>
      <w:r w:rsidRPr="00D05C85">
        <w:rPr>
          <w:lang w:val="fr-FR"/>
        </w:rPr>
        <w:t>3.3.4.6 n’ont pas à satisfaire aux prescriptions du paragraphe 3.3.5.2.</w:t>
      </w:r>
    </w:p>
    <w:p w14:paraId="726B569E" w14:textId="77777777" w:rsidR="00AF2126" w:rsidRPr="00D05C85" w:rsidRDefault="00AF2126" w:rsidP="00AF2126">
      <w:pPr>
        <w:pStyle w:val="SingleTxtG"/>
        <w:ind w:left="2268" w:hanging="1134"/>
        <w:rPr>
          <w:lang w:val="fr-FR"/>
        </w:rPr>
      </w:pPr>
      <w:r w:rsidRPr="00D05C85">
        <w:rPr>
          <w:lang w:val="fr-FR"/>
        </w:rPr>
        <w:t>3.3.6</w:t>
      </w:r>
      <w:r w:rsidRPr="00D05C85">
        <w:rPr>
          <w:lang w:val="fr-FR"/>
        </w:rPr>
        <w:tab/>
        <w:t>Feux groupés, combinés ou mutuellement incorporés</w:t>
      </w:r>
    </w:p>
    <w:p w14:paraId="1AE6E6BC" w14:textId="77777777" w:rsidR="00AF2126" w:rsidRPr="00D05C85" w:rsidRDefault="00AF2126" w:rsidP="00AF2126">
      <w:pPr>
        <w:pStyle w:val="SingleTxtG"/>
        <w:ind w:left="2268" w:hanging="1134"/>
        <w:rPr>
          <w:lang w:val="fr-FR"/>
        </w:rPr>
      </w:pPr>
      <w:r w:rsidRPr="00D05C85">
        <w:rPr>
          <w:lang w:val="fr-FR"/>
        </w:rPr>
        <w:t>3.3.6.1</w:t>
      </w:r>
      <w:r w:rsidRPr="00D05C85">
        <w:rPr>
          <w:lang w:val="fr-FR"/>
        </w:rPr>
        <w:tab/>
        <w:t>Lorsque des feux groupés, combinés ou mutuellement incorporés satisfont aux prescriptions de plusieurs Règlements ONU, on peut apposer une seule marque d’homologation, avec le nombre séquentiel de quatre à six chiffres, ou un identifiant unique. La marque peut être apposée à n’importe quel endroit sur les feux groupés, combinés ou mutuellement incorporés, sous réserve :</w:t>
      </w:r>
    </w:p>
    <w:p w14:paraId="272E6D2D" w14:textId="77777777" w:rsidR="00AF2126" w:rsidRPr="00D05C85" w:rsidRDefault="00AF2126" w:rsidP="00AF2126">
      <w:pPr>
        <w:pStyle w:val="SingleTxtG"/>
        <w:ind w:left="2268" w:hanging="1134"/>
        <w:rPr>
          <w:lang w:val="fr-FR"/>
        </w:rPr>
      </w:pPr>
      <w:r w:rsidRPr="00D05C85">
        <w:rPr>
          <w:lang w:val="fr-FR"/>
        </w:rPr>
        <w:t>3.3.6.1.1</w:t>
      </w:r>
      <w:r w:rsidRPr="00D05C85">
        <w:rPr>
          <w:lang w:val="fr-FR"/>
        </w:rPr>
        <w:tab/>
        <w:t>Qu’elle soit visible après l’installation ;</w:t>
      </w:r>
    </w:p>
    <w:p w14:paraId="3B1F17A3" w14:textId="5AE56D73" w:rsidR="00AF2126" w:rsidRPr="00D05C85" w:rsidRDefault="00AF2126" w:rsidP="00AF2126">
      <w:pPr>
        <w:pStyle w:val="SingleTxtG"/>
        <w:ind w:left="2268" w:hanging="1134"/>
        <w:rPr>
          <w:lang w:val="fr-FR"/>
        </w:rPr>
      </w:pPr>
      <w:r w:rsidRPr="00D05C85">
        <w:rPr>
          <w:lang w:val="fr-FR"/>
        </w:rPr>
        <w:t>3.3.6.1.2</w:t>
      </w:r>
      <w:r w:rsidRPr="00D05C85">
        <w:rPr>
          <w:lang w:val="fr-FR"/>
        </w:rPr>
        <w:tab/>
        <w:t>Qu’aucun élément des feux groupés, combinés ou mutuellement incorporés qui transm</w:t>
      </w:r>
      <w:r w:rsidR="00910B33">
        <w:rPr>
          <w:lang w:val="fr-FR"/>
        </w:rPr>
        <w:t xml:space="preserve">et </w:t>
      </w:r>
      <w:r w:rsidRPr="00D05C85">
        <w:rPr>
          <w:lang w:val="fr-FR"/>
        </w:rPr>
        <w:t>de la lumière ne puisse être retiré sans que soit retirée du même coup la marque d’homologation.</w:t>
      </w:r>
    </w:p>
    <w:p w14:paraId="32DA9C36" w14:textId="77777777" w:rsidR="00AF2126" w:rsidRPr="00D05C85" w:rsidRDefault="00AF2126" w:rsidP="00AF2126">
      <w:pPr>
        <w:pStyle w:val="SingleTxtG"/>
        <w:ind w:left="2268" w:hanging="1134"/>
        <w:rPr>
          <w:lang w:val="fr-FR"/>
        </w:rPr>
      </w:pPr>
      <w:r w:rsidRPr="00D05C85">
        <w:rPr>
          <w:lang w:val="fr-FR"/>
        </w:rPr>
        <w:t>3.3.6.2</w:t>
      </w:r>
      <w:r w:rsidRPr="00D05C85">
        <w:rPr>
          <w:lang w:val="fr-FR"/>
        </w:rPr>
        <w:tab/>
        <w:t>Les dimensions des éléments d’une marque d’homologation unique ne doivent pas être inférieures aux dimensions minimales prescrites pour la plus petite des marques par les Règlements ONU au titre desquels l’homologation a été délivrée.</w:t>
      </w:r>
      <w:bookmarkStart w:id="10" w:name="_Hlk29546960"/>
      <w:bookmarkEnd w:id="10"/>
    </w:p>
    <w:p w14:paraId="07A78ED9" w14:textId="77777777" w:rsidR="00AF2126" w:rsidRPr="00D05C85" w:rsidRDefault="00AF2126" w:rsidP="00AF2126">
      <w:pPr>
        <w:pStyle w:val="SingleTxtG"/>
        <w:ind w:left="2268" w:hanging="1134"/>
        <w:rPr>
          <w:lang w:val="fr-FR"/>
        </w:rPr>
      </w:pPr>
      <w:r w:rsidRPr="00D05C85">
        <w:rPr>
          <w:lang w:val="fr-FR"/>
        </w:rPr>
        <w:t>3.3.6.3</w:t>
      </w:r>
      <w:r w:rsidRPr="00D05C85">
        <w:rPr>
          <w:lang w:val="fr-FR"/>
        </w:rPr>
        <w:tab/>
        <w:t>On trouvera à l’annexe 7 des exemples de marques d’homologation pour des feux groupés, combinés ou mutuellement incorporés avec tous les symboles additionnels susmentionnés.</w:t>
      </w:r>
    </w:p>
    <w:p w14:paraId="421FDC65" w14:textId="657E7ED8" w:rsidR="00AF2126" w:rsidRPr="00D05C85" w:rsidRDefault="00AF2126" w:rsidP="00AF2126">
      <w:pPr>
        <w:pStyle w:val="SingleTxtG"/>
        <w:ind w:left="2268" w:hanging="1134"/>
        <w:rPr>
          <w:lang w:val="fr-FR"/>
        </w:rPr>
      </w:pPr>
      <w:r w:rsidRPr="00D05C85">
        <w:rPr>
          <w:lang w:val="fr-FR"/>
        </w:rPr>
        <w:t>3.4</w:t>
      </w:r>
      <w:r w:rsidRPr="00D05C85">
        <w:rPr>
          <w:lang w:val="fr-FR"/>
        </w:rPr>
        <w:tab/>
        <w:t xml:space="preserve">Modification d’un type de feu destiné à des véhicules automobiles </w:t>
      </w:r>
      <w:r w:rsidR="00910B33">
        <w:rPr>
          <w:lang w:val="fr-FR"/>
        </w:rPr>
        <w:t xml:space="preserve">et </w:t>
      </w:r>
      <w:r w:rsidRPr="00D05C85">
        <w:rPr>
          <w:lang w:val="fr-FR"/>
        </w:rPr>
        <w:t xml:space="preserve">leurs remorques </w:t>
      </w:r>
      <w:r w:rsidR="00910B33">
        <w:rPr>
          <w:lang w:val="fr-FR"/>
        </w:rPr>
        <w:t xml:space="preserve">et </w:t>
      </w:r>
      <w:r w:rsidRPr="00D05C85">
        <w:rPr>
          <w:lang w:val="fr-FR"/>
        </w:rPr>
        <w:t>extension d’homologation</w:t>
      </w:r>
    </w:p>
    <w:p w14:paraId="5B56E60E" w14:textId="77777777" w:rsidR="00AF2126" w:rsidRPr="00D05C85" w:rsidRDefault="00AF2126" w:rsidP="00AF2126">
      <w:pPr>
        <w:pStyle w:val="SingleTxtG"/>
        <w:ind w:left="2268" w:hanging="1134"/>
        <w:rPr>
          <w:lang w:val="fr-FR"/>
        </w:rPr>
      </w:pPr>
      <w:r w:rsidRPr="00D05C85">
        <w:rPr>
          <w:lang w:val="fr-FR"/>
        </w:rPr>
        <w:t>3.4.1</w:t>
      </w:r>
      <w:r w:rsidRPr="00D05C85">
        <w:rPr>
          <w:lang w:val="fr-FR"/>
        </w:rPr>
        <w:tab/>
        <w:t>Toute modification d’un type de feu doit être notifiée à l’autorité qui a procédé à l’homologation du type concerné. Celle-ci peut alors :</w:t>
      </w:r>
    </w:p>
    <w:p w14:paraId="2FC49F59" w14:textId="6BC3DC94" w:rsidR="00AF2126" w:rsidRPr="00D05C85" w:rsidRDefault="00AF2126" w:rsidP="00AF2126">
      <w:pPr>
        <w:pStyle w:val="SingleTxtG"/>
        <w:ind w:left="2268" w:hanging="1134"/>
        <w:rPr>
          <w:lang w:val="fr-FR"/>
        </w:rPr>
      </w:pPr>
      <w:r w:rsidRPr="00D05C85">
        <w:rPr>
          <w:lang w:val="fr-FR"/>
        </w:rPr>
        <w:t>3.4.1.1</w:t>
      </w:r>
      <w:r w:rsidRPr="00D05C85">
        <w:rPr>
          <w:lang w:val="fr-FR"/>
        </w:rPr>
        <w:tab/>
        <w:t>Soit considérer que les modifications apportées ne sont pas de nature à avoir un eff</w:t>
      </w:r>
      <w:r w:rsidR="00910B33">
        <w:rPr>
          <w:lang w:val="fr-FR"/>
        </w:rPr>
        <w:t xml:space="preserve">et </w:t>
      </w:r>
      <w:r w:rsidRPr="00D05C85">
        <w:rPr>
          <w:lang w:val="fr-FR"/>
        </w:rPr>
        <w:t xml:space="preserve">préjudiciable </w:t>
      </w:r>
      <w:r w:rsidR="00910B33">
        <w:rPr>
          <w:lang w:val="fr-FR"/>
        </w:rPr>
        <w:t xml:space="preserve">et </w:t>
      </w:r>
      <w:r w:rsidRPr="00D05C85">
        <w:rPr>
          <w:lang w:val="fr-FR"/>
        </w:rPr>
        <w:t xml:space="preserve">qu’en tout cas, le feu continue de satisfaire aux prescriptions ; </w:t>
      </w:r>
    </w:p>
    <w:p w14:paraId="2521E144" w14:textId="77777777" w:rsidR="00AF2126" w:rsidRPr="00D05C85" w:rsidRDefault="00AF2126" w:rsidP="00AF2126">
      <w:pPr>
        <w:pStyle w:val="SingleTxtG"/>
        <w:ind w:left="2268" w:hanging="1134"/>
        <w:rPr>
          <w:lang w:val="fr-FR"/>
        </w:rPr>
      </w:pPr>
      <w:r w:rsidRPr="00D05C85">
        <w:rPr>
          <w:lang w:val="fr-FR"/>
        </w:rPr>
        <w:t>3.4.1.2</w:t>
      </w:r>
      <w:r w:rsidRPr="00D05C85">
        <w:rPr>
          <w:lang w:val="fr-FR"/>
        </w:rPr>
        <w:tab/>
        <w:t>Soit exiger un nouveau procès-verbal d’essai délivré par le service technique chargé des essais.</w:t>
      </w:r>
    </w:p>
    <w:p w14:paraId="1FCBAF91" w14:textId="77777777" w:rsidR="00AF2126" w:rsidRPr="00D05C85" w:rsidRDefault="00AF2126" w:rsidP="00AF2126">
      <w:pPr>
        <w:pStyle w:val="SingleTxtG"/>
        <w:ind w:left="2268" w:hanging="1134"/>
        <w:rPr>
          <w:lang w:val="fr-FR"/>
        </w:rPr>
      </w:pPr>
      <w:r w:rsidRPr="00D05C85">
        <w:rPr>
          <w:lang w:val="fr-FR"/>
        </w:rPr>
        <w:t>3.4.2</w:t>
      </w:r>
      <w:r w:rsidRPr="00D05C85">
        <w:rPr>
          <w:lang w:val="fr-FR"/>
        </w:rPr>
        <w:tab/>
        <w:t>La confirmation ou le refus d’homologation, avec l’indication des modifications, doivent être notifiés aux Parties contractantes à l’Accord de 1958 appliquant le présent Règlement par la procédure indiquée au paragraphe 3.2.3.1.</w:t>
      </w:r>
    </w:p>
    <w:p w14:paraId="641B1A8D" w14:textId="0859E22D" w:rsidR="00AF2126" w:rsidRPr="00D05C85" w:rsidRDefault="00AF2126" w:rsidP="00AF2126">
      <w:pPr>
        <w:pStyle w:val="SingleTxtG"/>
        <w:ind w:left="2268" w:hanging="1134"/>
        <w:rPr>
          <w:lang w:val="fr-FR"/>
        </w:rPr>
      </w:pPr>
      <w:r w:rsidRPr="00D05C85">
        <w:rPr>
          <w:lang w:val="fr-FR"/>
        </w:rPr>
        <w:t>3.4.3</w:t>
      </w:r>
      <w:r w:rsidRPr="00D05C85">
        <w:rPr>
          <w:lang w:val="fr-FR"/>
        </w:rPr>
        <w:tab/>
      </w:r>
      <w:r w:rsidRPr="00D05C85">
        <w:rPr>
          <w:lang w:val="fr-FR"/>
        </w:rPr>
        <w:tab/>
        <w:t xml:space="preserve">L’autorité d’homologation de type qui délivre l’extension doit lui attribuer un numéro de série </w:t>
      </w:r>
      <w:r w:rsidR="00910B33">
        <w:rPr>
          <w:lang w:val="fr-FR"/>
        </w:rPr>
        <w:t xml:space="preserve">et </w:t>
      </w:r>
      <w:r w:rsidRPr="00D05C85">
        <w:rPr>
          <w:lang w:val="fr-FR"/>
        </w:rPr>
        <w:t xml:space="preserve">en informer les autres Parties contractantes à l’Accord de 1958 appliquant le Règlement ONU en application duquel l’homologation a été accordée, au moyen d’une fiche de communication conforme au modèle de l’annexe 1. </w:t>
      </w:r>
      <w:bookmarkStart w:id="11" w:name="_Hlk21530392"/>
      <w:bookmarkEnd w:id="11"/>
    </w:p>
    <w:p w14:paraId="7ED67AFF" w14:textId="77777777" w:rsidR="00AF2126" w:rsidRPr="00D05C85" w:rsidRDefault="00AF2126" w:rsidP="00AF2126">
      <w:pPr>
        <w:pStyle w:val="SingleTxtG"/>
        <w:ind w:left="2268" w:hanging="1134"/>
        <w:rPr>
          <w:lang w:val="fr-FR"/>
        </w:rPr>
      </w:pPr>
      <w:r w:rsidRPr="00D05C85">
        <w:rPr>
          <w:lang w:val="fr-FR"/>
        </w:rPr>
        <w:t>3.5</w:t>
      </w:r>
      <w:r w:rsidRPr="00D05C85">
        <w:rPr>
          <w:lang w:val="fr-FR"/>
        </w:rPr>
        <w:tab/>
        <w:t>Procédures de contrôle de la conformité de la production</w:t>
      </w:r>
    </w:p>
    <w:p w14:paraId="0539786F" w14:textId="59EDEC2A" w:rsidR="00AF2126" w:rsidRPr="00D05C85" w:rsidRDefault="00AF2126" w:rsidP="00AF2126">
      <w:pPr>
        <w:pStyle w:val="SingleTxtG"/>
        <w:ind w:left="2268"/>
        <w:rPr>
          <w:lang w:val="fr-FR"/>
        </w:rPr>
      </w:pPr>
      <w:r w:rsidRPr="00D05C85">
        <w:rPr>
          <w:lang w:val="fr-FR"/>
        </w:rPr>
        <w:t xml:space="preserve">Les procédures de contrôle de la conformité de la production doivent correspondre à celles qui sont énoncées à l’annexe 1 de l’Accord de 1958 (E/ECE/TRANS/505/Rev.3) </w:t>
      </w:r>
      <w:r w:rsidR="00910B33">
        <w:rPr>
          <w:lang w:val="fr-FR"/>
        </w:rPr>
        <w:t xml:space="preserve">et </w:t>
      </w:r>
      <w:r w:rsidRPr="00D05C85">
        <w:rPr>
          <w:lang w:val="fr-FR"/>
        </w:rPr>
        <w:t>satisfaire aux prescriptions du paragraphe 6.</w:t>
      </w:r>
    </w:p>
    <w:p w14:paraId="08CDEE1A" w14:textId="77777777" w:rsidR="00AF2126" w:rsidRPr="00D05C85" w:rsidRDefault="00AF2126" w:rsidP="00AF2126">
      <w:pPr>
        <w:pStyle w:val="SingleTxtG"/>
        <w:ind w:left="2268" w:hanging="1134"/>
        <w:rPr>
          <w:lang w:val="fr-FR"/>
        </w:rPr>
      </w:pPr>
      <w:r w:rsidRPr="00D05C85">
        <w:rPr>
          <w:lang w:val="fr-FR"/>
        </w:rPr>
        <w:t>3.6</w:t>
      </w:r>
      <w:r w:rsidRPr="00D05C85">
        <w:rPr>
          <w:lang w:val="fr-FR"/>
        </w:rPr>
        <w:tab/>
        <w:t>Sanctions pour non-conformité de la production</w:t>
      </w:r>
    </w:p>
    <w:p w14:paraId="5F3422A0" w14:textId="77777777" w:rsidR="00AF2126" w:rsidRPr="00D05C85" w:rsidRDefault="00AF2126" w:rsidP="00AF2126">
      <w:pPr>
        <w:pStyle w:val="SingleTxtG"/>
        <w:ind w:left="2268" w:hanging="1134"/>
        <w:rPr>
          <w:lang w:val="fr-FR"/>
        </w:rPr>
      </w:pPr>
      <w:r w:rsidRPr="00D05C85">
        <w:rPr>
          <w:lang w:val="fr-FR"/>
        </w:rPr>
        <w:t>3.6.1</w:t>
      </w:r>
      <w:r w:rsidRPr="00D05C85">
        <w:rPr>
          <w:lang w:val="fr-FR"/>
        </w:rPr>
        <w:tab/>
        <w:t>L’homologation accordée peut être retirée en cas de non-respect des prescriptions du présent Règlement.</w:t>
      </w:r>
    </w:p>
    <w:p w14:paraId="6E214364" w14:textId="77777777" w:rsidR="00AF2126" w:rsidRPr="00D05C85" w:rsidRDefault="00AF2126" w:rsidP="00AF2126">
      <w:pPr>
        <w:pStyle w:val="SingleTxtG"/>
        <w:ind w:left="2268" w:hanging="1134"/>
        <w:rPr>
          <w:lang w:val="fr-FR"/>
        </w:rPr>
      </w:pPr>
      <w:r w:rsidRPr="00D05C85">
        <w:rPr>
          <w:lang w:val="fr-FR"/>
        </w:rPr>
        <w:t>3.6.2</w:t>
      </w:r>
      <w:r w:rsidRPr="00D05C85">
        <w:rPr>
          <w:lang w:val="fr-FR"/>
        </w:rPr>
        <w:tab/>
        <w:t>Si une Partie contractante à l’Accord de 1958 appliquant le présent Règlement retire une homologation qu’elle a précédemment accordée, elle doit en informer aussitôt les autres Parties contractantes appliquant le présent Règlement, au moyen d’une fiche de communication conforme au modèle de l’annexe 1.</w:t>
      </w:r>
    </w:p>
    <w:p w14:paraId="0D23496B" w14:textId="77777777" w:rsidR="00AF2126" w:rsidRPr="00D05C85" w:rsidRDefault="00AF2126" w:rsidP="00AF2126">
      <w:pPr>
        <w:pStyle w:val="SingleTxtG"/>
        <w:keepNext/>
        <w:ind w:left="2268" w:hanging="1134"/>
        <w:rPr>
          <w:lang w:val="fr-FR"/>
        </w:rPr>
      </w:pPr>
      <w:r w:rsidRPr="00D05C85">
        <w:rPr>
          <w:lang w:val="fr-FR"/>
        </w:rPr>
        <w:lastRenderedPageBreak/>
        <w:t>3.7</w:t>
      </w:r>
      <w:r w:rsidRPr="00D05C85">
        <w:rPr>
          <w:lang w:val="fr-FR"/>
        </w:rPr>
        <w:tab/>
        <w:t>Arrêt définitif de la production</w:t>
      </w:r>
    </w:p>
    <w:p w14:paraId="1DC44B8A" w14:textId="1F3CD161" w:rsidR="00AF2126" w:rsidRPr="00D05C85" w:rsidRDefault="00AF2126" w:rsidP="00AF2126">
      <w:pPr>
        <w:pStyle w:val="SingleTxtG"/>
        <w:ind w:left="2268"/>
        <w:rPr>
          <w:lang w:val="fr-FR"/>
        </w:rPr>
      </w:pPr>
      <w:r w:rsidRPr="00D05C85">
        <w:rPr>
          <w:lang w:val="fr-FR"/>
        </w:rPr>
        <w:tab/>
        <w:t>Si le titulaire d’une homologation m</w:t>
      </w:r>
      <w:r w:rsidR="00910B33">
        <w:rPr>
          <w:lang w:val="fr-FR"/>
        </w:rPr>
        <w:t xml:space="preserve">et </w:t>
      </w:r>
      <w:r w:rsidRPr="00D05C85">
        <w:rPr>
          <w:lang w:val="fr-FR"/>
        </w:rPr>
        <w:t>un terme définitif à la fabrication d’un feu homologué en application du présent Règlement, il doit en informer l’autorité qui a délivré l’homologation, laquelle à son tour le notifie aux autres Parties contractantes à l’Accord de 1958 appliquant le présent Règlement au moyen d’une fiche de communication conforme au modèle de l’annexe 1.</w:t>
      </w:r>
    </w:p>
    <w:p w14:paraId="0E92B36B" w14:textId="561E63C5" w:rsidR="00AF2126" w:rsidRPr="00D05C85" w:rsidRDefault="00AF2126" w:rsidP="00AF2126">
      <w:pPr>
        <w:pStyle w:val="SingleTxtG"/>
        <w:ind w:left="2268" w:hanging="1134"/>
        <w:rPr>
          <w:lang w:val="fr-FR"/>
        </w:rPr>
      </w:pPr>
      <w:r w:rsidRPr="00D05C85">
        <w:rPr>
          <w:lang w:val="fr-FR"/>
        </w:rPr>
        <w:t>3.8</w:t>
      </w:r>
      <w:r w:rsidRPr="00D05C85">
        <w:rPr>
          <w:lang w:val="fr-FR"/>
        </w:rPr>
        <w:tab/>
        <w:t xml:space="preserve">Noms </w:t>
      </w:r>
      <w:r w:rsidR="00910B33">
        <w:rPr>
          <w:lang w:val="fr-FR"/>
        </w:rPr>
        <w:t xml:space="preserve">et </w:t>
      </w:r>
      <w:r w:rsidRPr="00D05C85">
        <w:rPr>
          <w:lang w:val="fr-FR"/>
        </w:rPr>
        <w:t xml:space="preserve">adresses des services techniques chargés des essais d’homologation </w:t>
      </w:r>
      <w:r w:rsidR="00910B33">
        <w:rPr>
          <w:lang w:val="fr-FR"/>
        </w:rPr>
        <w:t xml:space="preserve">et </w:t>
      </w:r>
      <w:r w:rsidRPr="00D05C85">
        <w:rPr>
          <w:lang w:val="fr-FR"/>
        </w:rPr>
        <w:t>des autorités d’homologation de type</w:t>
      </w:r>
    </w:p>
    <w:p w14:paraId="2CF9D1E2" w14:textId="5531C214" w:rsidR="00AF2126" w:rsidRPr="00D05C85" w:rsidRDefault="00AF2126" w:rsidP="00AF2126">
      <w:pPr>
        <w:pStyle w:val="SingleTxtG"/>
        <w:ind w:left="2268"/>
        <w:rPr>
          <w:lang w:val="fr-FR"/>
        </w:rPr>
      </w:pPr>
      <w:r w:rsidRPr="00D05C85">
        <w:rPr>
          <w:lang w:val="fr-FR"/>
        </w:rPr>
        <w:t xml:space="preserve">Les Parties contractantes à l’Accord de 1958 appliquant le présent Règlement communiquent au Secrétariat de l’Organisation des Nations Unies les noms </w:t>
      </w:r>
      <w:r w:rsidR="00910B33">
        <w:rPr>
          <w:lang w:val="fr-FR"/>
        </w:rPr>
        <w:t xml:space="preserve">et </w:t>
      </w:r>
      <w:r w:rsidRPr="00D05C85">
        <w:rPr>
          <w:lang w:val="fr-FR"/>
        </w:rPr>
        <w:t xml:space="preserve">adresses des services techniques chargés des essais d’homologation </w:t>
      </w:r>
      <w:r w:rsidR="00910B33">
        <w:rPr>
          <w:lang w:val="fr-FR"/>
        </w:rPr>
        <w:t xml:space="preserve">et </w:t>
      </w:r>
      <w:r w:rsidRPr="00D05C85">
        <w:rPr>
          <w:lang w:val="fr-FR"/>
        </w:rPr>
        <w:t xml:space="preserve">des autorités d’homologation de type qui délivrent les homologations </w:t>
      </w:r>
      <w:r w:rsidR="00910B33">
        <w:rPr>
          <w:lang w:val="fr-FR"/>
        </w:rPr>
        <w:t xml:space="preserve">et </w:t>
      </w:r>
      <w:r w:rsidRPr="00D05C85">
        <w:rPr>
          <w:lang w:val="fr-FR"/>
        </w:rPr>
        <w:t>auxquelles doivent être envoyées les fiches d’homologation ou d’extension, de refus ou de retrait d’homologation ou d’arrêt définitif de la production émises dans les autres pays.</w:t>
      </w:r>
    </w:p>
    <w:p w14:paraId="06F5A5EB" w14:textId="31ACF083" w:rsidR="00AF2126" w:rsidRPr="00D05C85" w:rsidRDefault="00AF2126" w:rsidP="00AF2126">
      <w:pPr>
        <w:pStyle w:val="SingleTxtG"/>
        <w:ind w:left="2268" w:hanging="1134"/>
        <w:rPr>
          <w:lang w:val="fr-FR"/>
        </w:rPr>
      </w:pPr>
      <w:r w:rsidRPr="00D05C85">
        <w:rPr>
          <w:lang w:val="fr-FR"/>
        </w:rPr>
        <w:t>3.9</w:t>
      </w:r>
      <w:r w:rsidRPr="00D05C85">
        <w:rPr>
          <w:lang w:val="fr-FR"/>
        </w:rPr>
        <w:tab/>
      </w:r>
      <w:r w:rsidRPr="00D05C85">
        <w:rPr>
          <w:lang w:val="fr-FR"/>
        </w:rPr>
        <w:tab/>
        <w:t xml:space="preserve">Remarques concernant les couleurs </w:t>
      </w:r>
      <w:r w:rsidR="00910B33">
        <w:rPr>
          <w:lang w:val="fr-FR"/>
        </w:rPr>
        <w:t xml:space="preserve">et </w:t>
      </w:r>
      <w:r w:rsidRPr="00D05C85">
        <w:rPr>
          <w:lang w:val="fr-FR"/>
        </w:rPr>
        <w:t xml:space="preserve">les dispositifs particuliers dans le cas des feux d’encombrement </w:t>
      </w:r>
      <w:r w:rsidR="00910B33">
        <w:rPr>
          <w:lang w:val="fr-FR"/>
        </w:rPr>
        <w:t xml:space="preserve">et </w:t>
      </w:r>
      <w:r w:rsidRPr="00D05C85">
        <w:rPr>
          <w:lang w:val="fr-FR"/>
        </w:rPr>
        <w:t>des feux de stationnement</w:t>
      </w:r>
    </w:p>
    <w:p w14:paraId="18EAE18B" w14:textId="77777777" w:rsidR="00AF2126" w:rsidRPr="00D05C85" w:rsidRDefault="00AF2126" w:rsidP="00AF2126">
      <w:pPr>
        <w:pStyle w:val="SingleTxtG"/>
        <w:ind w:left="2268"/>
        <w:rPr>
          <w:lang w:val="fr-FR"/>
        </w:rPr>
      </w:pPr>
      <w:r w:rsidRPr="00D05C85">
        <w:rPr>
          <w:lang w:val="fr-FR"/>
        </w:rPr>
        <w:t>Les Parties contractantes à l’Accord de 1958 auquel le présent Règlement est annexé peuvent, nonobstant l’article 3 dudit Accord, interdire pour les feux montés sur les véhicules homologués par elles certaines couleurs prévues dans le présent Règlement ou encore interdire pour toutes les catégories ou seulement certaines catégories de véhicules homologuées par elles les feux</w:t>
      </w:r>
      <w:r w:rsidRPr="00D05C85">
        <w:rPr>
          <w:lang w:val="fr-FR"/>
        </w:rPr>
        <w:noBreakHyphen/>
        <w:t>stop ayant seulement une intensité lumineuse constante.</w:t>
      </w:r>
    </w:p>
    <w:p w14:paraId="05DB5BAE" w14:textId="77777777" w:rsidR="00AF2126" w:rsidRPr="00D05C85" w:rsidRDefault="00AF2126" w:rsidP="00AF2126">
      <w:pPr>
        <w:pStyle w:val="HChG"/>
        <w:tabs>
          <w:tab w:val="clear" w:pos="851"/>
          <w:tab w:val="right" w:pos="1134"/>
        </w:tabs>
        <w:ind w:left="2268"/>
        <w:outlineLvl w:val="0"/>
        <w:rPr>
          <w:rFonts w:eastAsia="Times New Roman"/>
          <w:lang w:val="fr-FR"/>
        </w:rPr>
      </w:pPr>
      <w:r w:rsidRPr="00D05C85">
        <w:rPr>
          <w:bCs/>
          <w:lang w:val="fr-FR"/>
        </w:rPr>
        <w:t>4.</w:t>
      </w:r>
      <w:r w:rsidRPr="00D05C85">
        <w:rPr>
          <w:lang w:val="fr-FR"/>
        </w:rPr>
        <w:tab/>
      </w:r>
      <w:r w:rsidRPr="00D05C85">
        <w:rPr>
          <w:bCs/>
          <w:lang w:val="fr-FR"/>
        </w:rPr>
        <w:t>Prescriptions techniques générales</w:t>
      </w:r>
    </w:p>
    <w:p w14:paraId="4B58CEF1" w14:textId="0355CCF8" w:rsidR="00AF2126" w:rsidRPr="00D05C85" w:rsidRDefault="00AF2126" w:rsidP="00AF2126">
      <w:pPr>
        <w:pStyle w:val="SingleTxtG"/>
        <w:ind w:left="2268" w:hanging="1134"/>
        <w:rPr>
          <w:lang w:val="fr-FR"/>
        </w:rPr>
      </w:pPr>
      <w:r w:rsidRPr="00D05C85">
        <w:rPr>
          <w:lang w:val="fr-FR"/>
        </w:rPr>
        <w:t>4.1</w:t>
      </w:r>
      <w:r w:rsidRPr="00D05C85">
        <w:rPr>
          <w:lang w:val="fr-FR"/>
        </w:rPr>
        <w:tab/>
        <w:t xml:space="preserve">Chaque feu présenté à l’homologation doit être conforme aux prescriptions énoncées aux paragraphes 4 </w:t>
      </w:r>
      <w:r w:rsidR="00910B33">
        <w:rPr>
          <w:lang w:val="fr-FR"/>
        </w:rPr>
        <w:t xml:space="preserve">et </w:t>
      </w:r>
      <w:r w:rsidRPr="00D05C85">
        <w:rPr>
          <w:lang w:val="fr-FR"/>
        </w:rPr>
        <w:t>5.</w:t>
      </w:r>
    </w:p>
    <w:p w14:paraId="2907DE40" w14:textId="39A550A8" w:rsidR="00AF2126" w:rsidRPr="00D05C85" w:rsidRDefault="00AF2126" w:rsidP="00AF2126">
      <w:pPr>
        <w:pStyle w:val="SingleTxtG"/>
        <w:ind w:left="2268" w:hanging="1134"/>
        <w:rPr>
          <w:lang w:val="fr-FR"/>
        </w:rPr>
      </w:pPr>
      <w:r w:rsidRPr="00D05C85">
        <w:rPr>
          <w:lang w:val="fr-FR"/>
        </w:rPr>
        <w:t>4.2</w:t>
      </w:r>
      <w:r w:rsidRPr="00D05C85">
        <w:rPr>
          <w:lang w:val="fr-FR"/>
        </w:rPr>
        <w:tab/>
        <w:t xml:space="preserve">Les prescriptions figurant dans les sections 5 (“Spécifications générales”) </w:t>
      </w:r>
      <w:r w:rsidR="00910B33">
        <w:rPr>
          <w:lang w:val="fr-FR"/>
        </w:rPr>
        <w:t xml:space="preserve">et </w:t>
      </w:r>
      <w:r w:rsidRPr="00D05C85">
        <w:rPr>
          <w:lang w:val="fr-FR"/>
        </w:rPr>
        <w:t>6</w:t>
      </w:r>
      <w:r w:rsidR="005B36F1" w:rsidRPr="00D05C85">
        <w:rPr>
          <w:lang w:val="fr-FR"/>
        </w:rPr>
        <w:t> </w:t>
      </w:r>
      <w:r w:rsidRPr="00D05C85">
        <w:rPr>
          <w:lang w:val="fr-FR"/>
        </w:rPr>
        <w:t>(“Spécifications particulières” ou “Prescriptions particulières”) (ainsi que dans les annexes auxquelles renvoient lesdites sections) des Règlements ONU n</w:t>
      </w:r>
      <w:r w:rsidRPr="00D05C85">
        <w:rPr>
          <w:vertAlign w:val="superscript"/>
          <w:lang w:val="fr-FR"/>
        </w:rPr>
        <w:t>os</w:t>
      </w:r>
      <w:r w:rsidRPr="00D05C85">
        <w:rPr>
          <w:lang w:val="fr-FR"/>
        </w:rPr>
        <w:t xml:space="preserve"> 48, 53, 74 </w:t>
      </w:r>
      <w:r w:rsidR="00910B33">
        <w:rPr>
          <w:lang w:val="fr-FR"/>
        </w:rPr>
        <w:t xml:space="preserve">et </w:t>
      </w:r>
      <w:r w:rsidRPr="00D05C85">
        <w:rPr>
          <w:lang w:val="fr-FR"/>
        </w:rPr>
        <w:t xml:space="preserve">86, </w:t>
      </w:r>
      <w:r w:rsidR="00910B33">
        <w:rPr>
          <w:lang w:val="fr-FR"/>
        </w:rPr>
        <w:t xml:space="preserve">et </w:t>
      </w:r>
      <w:r w:rsidRPr="00D05C85">
        <w:rPr>
          <w:lang w:val="fr-FR"/>
        </w:rPr>
        <w:t>leurs séries d’amendements en vigueur à la date de la demande d’homologation relative au type de feu concerné sont applicables au présent Règlement.</w:t>
      </w:r>
    </w:p>
    <w:p w14:paraId="2DE609E7" w14:textId="194E76C0" w:rsidR="00AF2126" w:rsidRPr="00D05C85" w:rsidRDefault="00AF2126" w:rsidP="00AF2126">
      <w:pPr>
        <w:pStyle w:val="SingleTxtG"/>
        <w:ind w:left="2268"/>
        <w:rPr>
          <w:lang w:val="fr-FR"/>
        </w:rPr>
      </w:pPr>
      <w:r w:rsidRPr="00D05C85">
        <w:rPr>
          <w:lang w:val="fr-FR"/>
        </w:rPr>
        <w:tab/>
        <w:t xml:space="preserve">Les prescriptions pertinentes pour chaque feu </w:t>
      </w:r>
      <w:r w:rsidR="00910B33">
        <w:rPr>
          <w:lang w:val="fr-FR"/>
        </w:rPr>
        <w:t xml:space="preserve">et </w:t>
      </w:r>
      <w:r w:rsidRPr="00D05C85">
        <w:rPr>
          <w:lang w:val="fr-FR"/>
        </w:rPr>
        <w:t>pour la ou les catégories de véhicules sur lesquels il est prévu d’installer le feu sont applicables, sous réserve que leur vérification soit possible au moment de l’homologation du type de feu.</w:t>
      </w:r>
    </w:p>
    <w:p w14:paraId="6D16B5C9" w14:textId="546E047A" w:rsidR="00AF2126" w:rsidRPr="00D05C85" w:rsidRDefault="00AF2126" w:rsidP="00AF2126">
      <w:pPr>
        <w:pStyle w:val="SingleTxtG"/>
        <w:ind w:left="2268" w:hanging="1134"/>
        <w:rPr>
          <w:lang w:val="fr-FR"/>
        </w:rPr>
      </w:pPr>
      <w:r w:rsidRPr="00D05C85">
        <w:rPr>
          <w:lang w:val="fr-FR"/>
        </w:rPr>
        <w:t>4.3</w:t>
      </w:r>
      <w:r w:rsidRPr="00D05C85">
        <w:rPr>
          <w:lang w:val="fr-FR"/>
        </w:rPr>
        <w:tab/>
        <w:t xml:space="preserve">Les feux doivent être conçus </w:t>
      </w:r>
      <w:r w:rsidR="00910B33">
        <w:rPr>
          <w:lang w:val="fr-FR"/>
        </w:rPr>
        <w:t xml:space="preserve">et </w:t>
      </w:r>
      <w:r w:rsidRPr="00D05C85">
        <w:rPr>
          <w:lang w:val="fr-FR"/>
        </w:rPr>
        <w:t xml:space="preserve">construits de telle façon que, dans les conditions normales d’utilisation </w:t>
      </w:r>
      <w:r w:rsidR="00910B33">
        <w:rPr>
          <w:lang w:val="fr-FR"/>
        </w:rPr>
        <w:t xml:space="preserve">et </w:t>
      </w:r>
      <w:r w:rsidRPr="00D05C85">
        <w:rPr>
          <w:lang w:val="fr-FR"/>
        </w:rPr>
        <w:t xml:space="preserve">en dépit des vibrations auxquelles ils peuvent alors être soumis, leur bon fonctionnement reste assuré </w:t>
      </w:r>
      <w:r w:rsidR="00910B33">
        <w:rPr>
          <w:lang w:val="fr-FR"/>
        </w:rPr>
        <w:t xml:space="preserve">et </w:t>
      </w:r>
      <w:r w:rsidRPr="00D05C85">
        <w:rPr>
          <w:lang w:val="fr-FR"/>
        </w:rPr>
        <w:t>ils conservent les caractéristiques imposées par le présent Règlement.</w:t>
      </w:r>
    </w:p>
    <w:p w14:paraId="1B48DC2E" w14:textId="170DAEAD" w:rsidR="00AF2126" w:rsidRPr="00D05C85" w:rsidRDefault="00AF2126" w:rsidP="00AF2126">
      <w:pPr>
        <w:pStyle w:val="SingleTxtG"/>
        <w:ind w:left="2268" w:hanging="1134"/>
        <w:rPr>
          <w:lang w:val="fr-FR"/>
        </w:rPr>
      </w:pPr>
      <w:r w:rsidRPr="00D05C85">
        <w:rPr>
          <w:lang w:val="fr-FR"/>
        </w:rPr>
        <w:t>4.4</w:t>
      </w:r>
      <w:r w:rsidRPr="00D05C85">
        <w:rPr>
          <w:lang w:val="fr-FR"/>
        </w:rPr>
        <w:tab/>
        <w:t xml:space="preserve">Feux indépendants </w:t>
      </w:r>
      <w:r w:rsidR="00910B33">
        <w:rPr>
          <w:lang w:val="fr-FR"/>
        </w:rPr>
        <w:t xml:space="preserve">et </w:t>
      </w:r>
      <w:r w:rsidRPr="00D05C85">
        <w:rPr>
          <w:lang w:val="fr-FR"/>
        </w:rPr>
        <w:t>interdépendants</w:t>
      </w:r>
    </w:p>
    <w:p w14:paraId="55338370" w14:textId="77777777" w:rsidR="00AF2126" w:rsidRPr="00D05C85" w:rsidRDefault="00AF2126" w:rsidP="00AF2126">
      <w:pPr>
        <w:pStyle w:val="SingleTxtG"/>
        <w:ind w:left="2268" w:hanging="1134"/>
        <w:rPr>
          <w:lang w:val="fr-FR"/>
        </w:rPr>
      </w:pPr>
      <w:r w:rsidRPr="00D05C85">
        <w:rPr>
          <w:lang w:val="fr-FR"/>
        </w:rPr>
        <w:t>4.4.1</w:t>
      </w:r>
      <w:r w:rsidRPr="00D05C85">
        <w:rPr>
          <w:lang w:val="fr-FR"/>
        </w:rPr>
        <w:tab/>
        <w:t>Un assemblage de deux feux indépendants destinés à être homologués en tant que feu “D” peut être utilisé comme feu de position avant ou arrière, feu-stop, feu d’encombrement avant ou arrière, feu de circulation diurne ou feu indicateur de direction.</w:t>
      </w:r>
    </w:p>
    <w:p w14:paraId="34463867" w14:textId="77777777" w:rsidR="00AF2126" w:rsidRPr="00D05C85" w:rsidRDefault="00AF2126" w:rsidP="00AF2126">
      <w:pPr>
        <w:pStyle w:val="SingleTxtG"/>
        <w:ind w:left="2268" w:hanging="1134"/>
        <w:rPr>
          <w:lang w:val="fr-FR"/>
        </w:rPr>
      </w:pPr>
      <w:r w:rsidRPr="00D05C85">
        <w:rPr>
          <w:lang w:val="fr-FR"/>
        </w:rPr>
        <w:t>4.4.2</w:t>
      </w:r>
      <w:r w:rsidRPr="00D05C85">
        <w:rPr>
          <w:lang w:val="fr-FR"/>
        </w:rPr>
        <w:tab/>
        <w:t>Un système de feux interdépendants destinés à être homologués en tant que feu “Y” peut être utilisé comme feu de position avant ou arrière, feu-stop, feu d’encombrement avant ou arrière, feu de circulation diurne ou feu indicateur de direction.</w:t>
      </w:r>
    </w:p>
    <w:p w14:paraId="04EEA3A9" w14:textId="77777777" w:rsidR="00AF2126" w:rsidRPr="00D05C85" w:rsidRDefault="00AF2126" w:rsidP="00AF2126">
      <w:pPr>
        <w:pStyle w:val="SingleTxtG"/>
        <w:keepNext/>
        <w:ind w:left="2268" w:hanging="1134"/>
        <w:rPr>
          <w:lang w:val="fr-FR"/>
        </w:rPr>
      </w:pPr>
      <w:r w:rsidRPr="00D05C85">
        <w:rPr>
          <w:lang w:val="fr-FR"/>
        </w:rPr>
        <w:lastRenderedPageBreak/>
        <w:t>4.5</w:t>
      </w:r>
      <w:r w:rsidRPr="00D05C85">
        <w:rPr>
          <w:lang w:val="fr-FR"/>
        </w:rPr>
        <w:tab/>
        <w:t>Feux indépendants ou feux groupés, combinés ou mutuellement incorporés</w:t>
      </w:r>
    </w:p>
    <w:p w14:paraId="52092E82" w14:textId="77777777" w:rsidR="00AF2126" w:rsidRPr="00D05C85" w:rsidRDefault="00AF2126" w:rsidP="00AF2126">
      <w:pPr>
        <w:pStyle w:val="SingleTxtG"/>
        <w:ind w:left="2268" w:hanging="1134"/>
        <w:rPr>
          <w:lang w:val="fr-FR"/>
        </w:rPr>
      </w:pPr>
      <w:r w:rsidRPr="00D05C85">
        <w:rPr>
          <w:lang w:val="fr-FR"/>
        </w:rPr>
        <w:t>4.5.1</w:t>
      </w:r>
      <w:r w:rsidRPr="00D05C85">
        <w:rPr>
          <w:lang w:val="fr-FR"/>
        </w:rPr>
        <w:tab/>
        <w:t>Les feux qui ont été homologués comme feux de position avant ou arrière sont considérés comme étant également homologués comme feux d’encombrement.</w:t>
      </w:r>
    </w:p>
    <w:p w14:paraId="454A2032" w14:textId="77777777" w:rsidR="00AF2126" w:rsidRPr="00D05C85" w:rsidRDefault="00AF2126" w:rsidP="00AF2126">
      <w:pPr>
        <w:pStyle w:val="SingleTxtG"/>
        <w:ind w:left="2268" w:hanging="1134"/>
        <w:rPr>
          <w:lang w:val="fr-FR"/>
        </w:rPr>
      </w:pPr>
      <w:r w:rsidRPr="00D05C85">
        <w:rPr>
          <w:lang w:val="fr-FR"/>
        </w:rPr>
        <w:t>4.5.2</w:t>
      </w:r>
      <w:r w:rsidRPr="00D05C85">
        <w:rPr>
          <w:lang w:val="fr-FR"/>
        </w:rPr>
        <w:tab/>
        <w:t>Les feux de position avant ou arrière qui sont groupés, combinés ou mutuellement incorporés peuvent également être utilisés comme feux d’encombrement.</w:t>
      </w:r>
    </w:p>
    <w:p w14:paraId="47C1F861" w14:textId="3C08FDD0" w:rsidR="00AF2126" w:rsidRPr="00D05C85" w:rsidRDefault="00AF2126" w:rsidP="00AF2126">
      <w:pPr>
        <w:pStyle w:val="SingleTxtG"/>
        <w:ind w:left="2268" w:hanging="1134"/>
        <w:rPr>
          <w:lang w:val="fr-FR"/>
        </w:rPr>
      </w:pPr>
      <w:r w:rsidRPr="00D05C85">
        <w:rPr>
          <w:lang w:val="fr-FR"/>
        </w:rPr>
        <w:t>4.5.3</w:t>
      </w:r>
      <w:r w:rsidRPr="00D05C85">
        <w:rPr>
          <w:lang w:val="fr-FR"/>
        </w:rPr>
        <w:tab/>
        <w:t xml:space="preserve">Les feux de position ou feux de circulation diurne qui sont mutuellement incorporés avec une autre fonction, qui utilisent une source lumineuse commune </w:t>
      </w:r>
      <w:r w:rsidR="00910B33">
        <w:rPr>
          <w:lang w:val="fr-FR"/>
        </w:rPr>
        <w:t xml:space="preserve">et </w:t>
      </w:r>
      <w:r w:rsidRPr="00D05C85">
        <w:rPr>
          <w:lang w:val="fr-FR"/>
        </w:rPr>
        <w:t>qui sont conçus pour fonctionner en permanence grâce à un système auxiliaire de régulation de l’intensité de la lumière émise sont autorisés.</w:t>
      </w:r>
    </w:p>
    <w:p w14:paraId="77626F63" w14:textId="77777777" w:rsidR="00AF2126" w:rsidRPr="00D05C85" w:rsidRDefault="00AF2126" w:rsidP="00AF2126">
      <w:pPr>
        <w:pStyle w:val="SingleTxtG"/>
        <w:ind w:left="2268" w:hanging="1134"/>
        <w:rPr>
          <w:lang w:val="fr-FR"/>
        </w:rPr>
      </w:pPr>
      <w:r w:rsidRPr="00D05C85">
        <w:rPr>
          <w:lang w:val="fr-FR"/>
        </w:rPr>
        <w:t>4.5.3.1</w:t>
      </w:r>
      <w:r w:rsidRPr="00D05C85">
        <w:rPr>
          <w:lang w:val="fr-FR"/>
        </w:rPr>
        <w:tab/>
        <w:t>Cependant, dans le cas d’un feu de position arrière mutuellement incorporé avec un feu-stop, ces fonctions doivent :</w:t>
      </w:r>
    </w:p>
    <w:p w14:paraId="1658141D" w14:textId="77777777" w:rsidR="00AF2126" w:rsidRPr="00D05C85" w:rsidRDefault="00AF2126" w:rsidP="00AF2126">
      <w:pPr>
        <w:pStyle w:val="SingleTxtG"/>
        <w:ind w:left="2835" w:hanging="567"/>
        <w:rPr>
          <w:lang w:val="fr-FR"/>
        </w:rPr>
      </w:pPr>
      <w:r w:rsidRPr="00D05C85">
        <w:rPr>
          <w:lang w:val="fr-FR"/>
        </w:rPr>
        <w:t>a)</w:t>
      </w:r>
      <w:r w:rsidRPr="00D05C85">
        <w:rPr>
          <w:lang w:val="fr-FR"/>
        </w:rPr>
        <w:tab/>
        <w:t xml:space="preserve">Soit être assurées par de multiples sources lumineuses (par une source lumineuse à deux filaments, par exemple) ; </w:t>
      </w:r>
    </w:p>
    <w:p w14:paraId="4C086CC8" w14:textId="77777777" w:rsidR="00AF2126" w:rsidRPr="00D05C85" w:rsidRDefault="00AF2126" w:rsidP="00AF2126">
      <w:pPr>
        <w:pStyle w:val="SingleTxtG"/>
        <w:ind w:left="2835" w:hanging="567"/>
        <w:rPr>
          <w:lang w:val="fr-FR"/>
        </w:rPr>
      </w:pPr>
      <w:r w:rsidRPr="00D05C85">
        <w:rPr>
          <w:lang w:val="fr-FR"/>
        </w:rPr>
        <w:t>b)</w:t>
      </w:r>
      <w:r w:rsidRPr="00D05C85">
        <w:rPr>
          <w:lang w:val="fr-FR"/>
        </w:rPr>
        <w:tab/>
        <w:t>Soit être prévues pour une utilisation dans un véhicule équipé d’un témoin de défaillance des feux.</w:t>
      </w:r>
    </w:p>
    <w:p w14:paraId="7A422319" w14:textId="77777777" w:rsidR="00AF2126" w:rsidRPr="00D05C85" w:rsidRDefault="00AF2126" w:rsidP="00AF2126">
      <w:pPr>
        <w:pStyle w:val="SingleTxtG"/>
        <w:ind w:left="2268"/>
        <w:rPr>
          <w:lang w:val="fr-FR"/>
        </w:rPr>
      </w:pPr>
      <w:r w:rsidRPr="00D05C85">
        <w:rPr>
          <w:lang w:val="fr-FR"/>
        </w:rPr>
        <w:tab/>
        <w:t>Dans tous les cas, une note doit figurer sur la fiche de communication.</w:t>
      </w:r>
    </w:p>
    <w:p w14:paraId="56496C3E" w14:textId="0A2BBF8E" w:rsidR="00AF2126" w:rsidRPr="00D05C85" w:rsidRDefault="00AF2126" w:rsidP="00AF2126">
      <w:pPr>
        <w:pStyle w:val="SingleTxtG"/>
        <w:ind w:left="2268" w:hanging="1134"/>
        <w:rPr>
          <w:lang w:val="fr-FR"/>
        </w:rPr>
      </w:pPr>
      <w:r w:rsidRPr="00D05C85">
        <w:rPr>
          <w:lang w:val="fr-FR"/>
        </w:rPr>
        <w:t>4.5.4</w:t>
      </w:r>
      <w:r w:rsidRPr="00D05C85">
        <w:rPr>
          <w:lang w:val="fr-FR"/>
        </w:rPr>
        <w:tab/>
        <w:t xml:space="preserve">Si le feu de position avant renferme une ou plusieurs sources de rayonnement infrarouge, ses prescriptions photométriques </w:t>
      </w:r>
      <w:r w:rsidR="00910B33">
        <w:rPr>
          <w:lang w:val="fr-FR"/>
        </w:rPr>
        <w:t xml:space="preserve">et </w:t>
      </w:r>
      <w:r w:rsidRPr="00D05C85">
        <w:rPr>
          <w:lang w:val="fr-FR"/>
        </w:rPr>
        <w:t>colorimétriques doivent être respectées, indépendamment du fonctionnement de ces sources.</w:t>
      </w:r>
    </w:p>
    <w:p w14:paraId="59CA7198" w14:textId="4C7B0CAC" w:rsidR="00AF2126" w:rsidRPr="00D05C85" w:rsidRDefault="00AF2126" w:rsidP="00AF2126">
      <w:pPr>
        <w:pStyle w:val="SingleTxtG"/>
        <w:ind w:left="2268" w:hanging="1134"/>
        <w:rPr>
          <w:lang w:val="fr-FR"/>
        </w:rPr>
      </w:pPr>
      <w:r w:rsidRPr="00D05C85">
        <w:rPr>
          <w:lang w:val="fr-FR"/>
        </w:rPr>
        <w:t>4.5.5</w:t>
      </w:r>
      <w:r w:rsidRPr="00D05C85">
        <w:rPr>
          <w:lang w:val="fr-FR"/>
        </w:rPr>
        <w:tab/>
        <w:t xml:space="preserve">À la requête du demandeur, la structure interne des éléments optiques ou la texture de l’intérieur de la glace extérieure (surface apparente) d’un feu peut arborer uniquement un logo de constructeur composé d’éléments transparents ou non transparents, sous réserve que toutes les prescriptions applicables à la fonction visée par le présent Règlement </w:t>
      </w:r>
      <w:r w:rsidR="00910B33">
        <w:rPr>
          <w:lang w:val="fr-FR"/>
        </w:rPr>
        <w:t xml:space="preserve">et </w:t>
      </w:r>
      <w:r w:rsidRPr="00D05C85">
        <w:rPr>
          <w:lang w:val="fr-FR"/>
        </w:rPr>
        <w:t>les conditions ci-après soient respectées :</w:t>
      </w:r>
    </w:p>
    <w:p w14:paraId="4674C3B6" w14:textId="6D33E214" w:rsidR="00AF2126" w:rsidRPr="00D05C85" w:rsidRDefault="00AF2126" w:rsidP="00AF2126">
      <w:pPr>
        <w:pStyle w:val="SingleTxtG"/>
        <w:ind w:left="2835" w:hanging="567"/>
        <w:rPr>
          <w:lang w:val="fr-FR"/>
        </w:rPr>
      </w:pPr>
      <w:r w:rsidRPr="00D05C85">
        <w:rPr>
          <w:lang w:val="fr-FR"/>
        </w:rPr>
        <w:t>a)</w:t>
      </w:r>
      <w:r w:rsidRPr="00D05C85">
        <w:rPr>
          <w:lang w:val="fr-FR"/>
        </w:rPr>
        <w:tab/>
        <w:t xml:space="preserve">Indépendamment des dispositions du paragraphe 3.3 relatives au marquage, seul le logo de l’appellation commerciale du constructeur du véhicule ou du carrossier peut être intégré. Le demandeur doit confirmer par écrit que le logo fait bien partie de ceux autorisés (voir </w:t>
      </w:r>
      <w:r w:rsidR="005B36F1" w:rsidRPr="00D05C85">
        <w:rPr>
          <w:lang w:val="fr-FR"/>
        </w:rPr>
        <w:t>par. </w:t>
      </w:r>
      <w:r w:rsidRPr="00D05C85">
        <w:rPr>
          <w:lang w:val="fr-FR"/>
        </w:rPr>
        <w:t xml:space="preserve">3.1.2.2 f)) ; </w:t>
      </w:r>
    </w:p>
    <w:p w14:paraId="088501C0" w14:textId="0C7C4C47" w:rsidR="00AF2126" w:rsidRPr="00D05C85" w:rsidRDefault="00AF2126" w:rsidP="00AF2126">
      <w:pPr>
        <w:pStyle w:val="SingleTxtG"/>
        <w:ind w:left="2835" w:hanging="567"/>
        <w:rPr>
          <w:lang w:val="fr-FR"/>
        </w:rPr>
      </w:pPr>
      <w:r w:rsidRPr="00D05C85">
        <w:rPr>
          <w:lang w:val="fr-FR"/>
        </w:rPr>
        <w:t>b)</w:t>
      </w:r>
      <w:r w:rsidRPr="00D05C85">
        <w:rPr>
          <w:lang w:val="fr-FR"/>
        </w:rPr>
        <w:tab/>
        <w:t xml:space="preserve">S’agissant de la taille, l’ensemble de la surface de sortie de la lumière du logo (composée des éléments transparents </w:t>
      </w:r>
      <w:r w:rsidR="00910B33">
        <w:rPr>
          <w:lang w:val="fr-FR"/>
        </w:rPr>
        <w:t xml:space="preserve">et </w:t>
      </w:r>
      <w:r w:rsidRPr="00D05C85">
        <w:rPr>
          <w:lang w:val="fr-FR"/>
        </w:rPr>
        <w:t>non transparents du logo) dans la direction de l’axe de référence ne doit pas excéder 100 cm</w:t>
      </w:r>
      <w:r w:rsidRPr="00D05C85">
        <w:rPr>
          <w:vertAlign w:val="superscript"/>
          <w:lang w:val="fr-FR"/>
        </w:rPr>
        <w:t>2</w:t>
      </w:r>
      <w:r w:rsidRPr="00D05C85">
        <w:rPr>
          <w:lang w:val="fr-FR"/>
        </w:rPr>
        <w:t xml:space="preserve"> ; </w:t>
      </w:r>
    </w:p>
    <w:p w14:paraId="71A0D40D" w14:textId="2D74C3A8" w:rsidR="00AF2126" w:rsidRPr="00D05C85" w:rsidRDefault="00AF2126" w:rsidP="00AF2126">
      <w:pPr>
        <w:pStyle w:val="SingleTxtG"/>
        <w:ind w:left="2835" w:hanging="567"/>
        <w:rPr>
          <w:lang w:val="fr-FR"/>
        </w:rPr>
      </w:pPr>
      <w:r w:rsidRPr="00D05C85">
        <w:rPr>
          <w:lang w:val="fr-FR"/>
        </w:rPr>
        <w:t>c)</w:t>
      </w:r>
      <w:r w:rsidRPr="00D05C85">
        <w:rPr>
          <w:lang w:val="fr-FR"/>
        </w:rPr>
        <w:tab/>
        <w:t xml:space="preserve">S’agissant de la symétrie, il n’est pas nécessaire que la surface de sortie de la lumière du logo (composée des éléments transparents </w:t>
      </w:r>
      <w:r w:rsidR="00910B33">
        <w:rPr>
          <w:lang w:val="fr-FR"/>
        </w:rPr>
        <w:t xml:space="preserve">et </w:t>
      </w:r>
      <w:r w:rsidRPr="00D05C85">
        <w:rPr>
          <w:lang w:val="fr-FR"/>
        </w:rPr>
        <w:t>non transparents du logo) soit symétrique en tant que telle, nonobstant les prescriptions du paragraphe 5.5.2 du Règlement ONU n</w:t>
      </w:r>
      <w:r w:rsidRPr="00D05C85">
        <w:rPr>
          <w:vertAlign w:val="superscript"/>
          <w:lang w:val="fr-FR"/>
        </w:rPr>
        <w:t>o</w:t>
      </w:r>
      <w:r w:rsidRPr="00D05C85">
        <w:rPr>
          <w:lang w:val="fr-FR"/>
        </w:rPr>
        <w:t> 48 ;</w:t>
      </w:r>
    </w:p>
    <w:p w14:paraId="41F3E47E" w14:textId="7BD4A4B8" w:rsidR="00AF2126" w:rsidRPr="00D05C85" w:rsidRDefault="00AF2126" w:rsidP="00AF2126">
      <w:pPr>
        <w:pStyle w:val="SingleTxtG"/>
        <w:ind w:left="2835" w:hanging="567"/>
        <w:rPr>
          <w:lang w:val="fr-FR"/>
        </w:rPr>
      </w:pPr>
      <w:r w:rsidRPr="00D05C85">
        <w:rPr>
          <w:lang w:val="fr-FR"/>
        </w:rPr>
        <w:t>d)</w:t>
      </w:r>
      <w:r w:rsidRPr="00D05C85">
        <w:rPr>
          <w:lang w:val="fr-FR"/>
        </w:rPr>
        <w:tab/>
        <w:t xml:space="preserve">Les feux-stop, les feux indicateurs de direction </w:t>
      </w:r>
      <w:r w:rsidR="00910B33">
        <w:rPr>
          <w:lang w:val="fr-FR"/>
        </w:rPr>
        <w:t xml:space="preserve">et </w:t>
      </w:r>
      <w:r w:rsidRPr="00D05C85">
        <w:rPr>
          <w:lang w:val="fr-FR"/>
        </w:rPr>
        <w:t>les feux de marche arrière ne doivent pas comporter de logo.</w:t>
      </w:r>
    </w:p>
    <w:p w14:paraId="449193A9" w14:textId="77777777" w:rsidR="00AF2126" w:rsidRPr="00D05C85" w:rsidRDefault="00AF2126" w:rsidP="00AF2126">
      <w:pPr>
        <w:pStyle w:val="SingleTxtG"/>
        <w:ind w:left="2268" w:hanging="1134"/>
        <w:rPr>
          <w:lang w:val="fr-FR"/>
        </w:rPr>
      </w:pPr>
      <w:r w:rsidRPr="00D05C85">
        <w:rPr>
          <w:lang w:val="fr-FR"/>
        </w:rPr>
        <w:t>4.6</w:t>
      </w:r>
      <w:r w:rsidRPr="00D05C85">
        <w:rPr>
          <w:lang w:val="fr-FR"/>
        </w:rPr>
        <w:tab/>
        <w:t>Dispositions applicables en cas de défaillance</w:t>
      </w:r>
    </w:p>
    <w:p w14:paraId="1FDA84BA" w14:textId="77777777" w:rsidR="00AF2126" w:rsidRPr="00D05C85" w:rsidRDefault="00AF2126" w:rsidP="00AF2126">
      <w:pPr>
        <w:pStyle w:val="SingleTxtG"/>
        <w:ind w:left="2268" w:hanging="1134"/>
        <w:rPr>
          <w:lang w:val="fr-FR"/>
        </w:rPr>
      </w:pPr>
      <w:r w:rsidRPr="00D05C85">
        <w:rPr>
          <w:lang w:val="fr-FR"/>
        </w:rPr>
        <w:t>4.6.1</w:t>
      </w:r>
      <w:r w:rsidRPr="00D05C85">
        <w:rPr>
          <w:lang w:val="fr-FR"/>
        </w:rPr>
        <w:tab/>
        <w:t>Défaillance d’un feu comprenant plus d’une source lumineuse</w:t>
      </w:r>
    </w:p>
    <w:p w14:paraId="1D228E3E" w14:textId="1059581C" w:rsidR="00AF2126" w:rsidRPr="00D05C85" w:rsidRDefault="00AF2126" w:rsidP="00AF2126">
      <w:pPr>
        <w:pStyle w:val="SingleTxtG"/>
        <w:ind w:left="2268" w:hanging="1134"/>
        <w:rPr>
          <w:lang w:val="fr-FR"/>
        </w:rPr>
      </w:pPr>
      <w:r w:rsidRPr="00D05C85">
        <w:rPr>
          <w:lang w:val="fr-FR"/>
        </w:rPr>
        <w:t>4.6.1.1</w:t>
      </w:r>
      <w:r w:rsidRPr="00D05C85">
        <w:rPr>
          <w:lang w:val="fr-FR"/>
        </w:rPr>
        <w:tab/>
        <w:t xml:space="preserve">Dans un feu comprenant plus d’une source lumineuse, un groupe de sources lumineuses reliées de manière que la défaillance de l’une d’entre elles provoque l’interruption de l’éclairage de l’ensemble est considéré comme une seule </w:t>
      </w:r>
      <w:r w:rsidR="00910B33">
        <w:rPr>
          <w:lang w:val="fr-FR"/>
        </w:rPr>
        <w:t xml:space="preserve">et </w:t>
      </w:r>
      <w:r w:rsidRPr="00D05C85">
        <w:rPr>
          <w:lang w:val="fr-FR"/>
        </w:rPr>
        <w:t>même source lumineuse.</w:t>
      </w:r>
    </w:p>
    <w:p w14:paraId="51B79C9D" w14:textId="77777777" w:rsidR="00AF2126" w:rsidRPr="00D05C85" w:rsidRDefault="00AF2126" w:rsidP="00AF2126">
      <w:pPr>
        <w:pStyle w:val="SingleTxtG"/>
        <w:ind w:left="2268" w:hanging="1134"/>
        <w:rPr>
          <w:lang w:val="fr-FR"/>
        </w:rPr>
      </w:pPr>
      <w:r w:rsidRPr="00D05C85">
        <w:rPr>
          <w:lang w:val="fr-FR"/>
        </w:rPr>
        <w:t>4.6.1.2</w:t>
      </w:r>
      <w:r w:rsidRPr="00D05C85">
        <w:rPr>
          <w:lang w:val="fr-FR"/>
        </w:rPr>
        <w:tab/>
        <w:t>En cas de défaillance de l’une quelconque des sources lumineuses d’un feu comprenant plusieurs sources lumineuses, au moins l’une des dispositions suivantes s’applique :</w:t>
      </w:r>
    </w:p>
    <w:p w14:paraId="0C0026CE" w14:textId="77777777" w:rsidR="00AF2126" w:rsidRPr="00D05C85" w:rsidRDefault="00AF2126" w:rsidP="00AF2126">
      <w:pPr>
        <w:pStyle w:val="SingleTxtG"/>
        <w:ind w:left="2835" w:hanging="567"/>
        <w:rPr>
          <w:lang w:val="fr-FR"/>
        </w:rPr>
      </w:pPr>
      <w:r w:rsidRPr="00D05C85">
        <w:rPr>
          <w:lang w:val="fr-FR"/>
        </w:rPr>
        <w:lastRenderedPageBreak/>
        <w:t>a)</w:t>
      </w:r>
      <w:r w:rsidRPr="00D05C85">
        <w:rPr>
          <w:lang w:val="fr-FR"/>
        </w:rPr>
        <w:tab/>
        <w:t xml:space="preserve">L’intensité lumineuse doit être conforme à la valeur minimale prescrite dans la grille de répartition normalisée de la lumière qui figure à l’annexe 3 et, lorsque toutes les sources lumineuses sont allumées, l’intensité maximale ne doit pas être dépassée ; </w:t>
      </w:r>
    </w:p>
    <w:p w14:paraId="7CDD524C" w14:textId="6A057134" w:rsidR="00AF2126" w:rsidRPr="00D05C85" w:rsidRDefault="00AF2126" w:rsidP="00AF2126">
      <w:pPr>
        <w:pStyle w:val="SingleTxtG"/>
        <w:ind w:left="2835" w:hanging="567"/>
        <w:rPr>
          <w:lang w:val="fr-FR"/>
        </w:rPr>
      </w:pPr>
      <w:r w:rsidRPr="00D05C85">
        <w:rPr>
          <w:lang w:val="fr-FR"/>
        </w:rPr>
        <w:t>b)</w:t>
      </w:r>
      <w:r w:rsidRPr="00D05C85">
        <w:rPr>
          <w:lang w:val="fr-FR"/>
        </w:rPr>
        <w:tab/>
        <w:t xml:space="preserve">Un signal d’activation d’un témoin de défaillance conforme aux prescriptions des paragraphes 6.4.8, 6.7.8, 6.9.8, 6.10.8, 6.11.8, 6.12.8, 6.13.8 </w:t>
      </w:r>
      <w:r w:rsidR="00910B33">
        <w:rPr>
          <w:lang w:val="fr-FR"/>
        </w:rPr>
        <w:t xml:space="preserve">et </w:t>
      </w:r>
      <w:r w:rsidRPr="00D05C85">
        <w:rPr>
          <w:lang w:val="fr-FR"/>
        </w:rPr>
        <w:t>6.18.8 du Règlement ONU n</w:t>
      </w:r>
      <w:r w:rsidRPr="00D05C85">
        <w:rPr>
          <w:vertAlign w:val="superscript"/>
          <w:lang w:val="fr-FR"/>
        </w:rPr>
        <w:t>o</w:t>
      </w:r>
      <w:r w:rsidR="005B36F1" w:rsidRPr="00D05C85">
        <w:rPr>
          <w:lang w:val="fr-FR"/>
        </w:rPr>
        <w:t> </w:t>
      </w:r>
      <w:r w:rsidRPr="00D05C85">
        <w:rPr>
          <w:lang w:val="fr-FR"/>
        </w:rPr>
        <w:t>48 doit être émis. Dans ce cas, il est précisé dans la fiche de communication que le feu ne doit être utilisé que sur un véhicule équipé d’un témoin de défaillance.</w:t>
      </w:r>
    </w:p>
    <w:p w14:paraId="51AB26EB" w14:textId="52BD5A56" w:rsidR="00AF2126" w:rsidRPr="00D05C85" w:rsidRDefault="00AF2126" w:rsidP="00AF2126">
      <w:pPr>
        <w:pStyle w:val="SingleTxtG"/>
        <w:ind w:left="2268" w:hanging="1134"/>
        <w:rPr>
          <w:rStyle w:val="Carpredefinitoparagrafo1"/>
          <w:bCs/>
          <w:lang w:val="fr-FR"/>
        </w:rPr>
      </w:pPr>
      <w:r w:rsidRPr="00D05C85">
        <w:rPr>
          <w:lang w:val="fr-FR"/>
        </w:rPr>
        <w:t>4.6.1.3</w:t>
      </w:r>
      <w:r w:rsidRPr="00D05C85">
        <w:rPr>
          <w:lang w:val="fr-FR"/>
        </w:rPr>
        <w:tab/>
        <w:t xml:space="preserve">Pour les feux de circulation diurne, les dispositions ci-après s’appliquent en lieu </w:t>
      </w:r>
      <w:r w:rsidR="00910B33">
        <w:rPr>
          <w:lang w:val="fr-FR"/>
        </w:rPr>
        <w:t xml:space="preserve">et </w:t>
      </w:r>
      <w:r w:rsidRPr="00D05C85">
        <w:rPr>
          <w:lang w:val="fr-FR"/>
        </w:rPr>
        <w:t xml:space="preserve">place des prescriptions du paragraphe 4.6.1.2 </w:t>
      </w:r>
      <w:r w:rsidR="00910B33">
        <w:rPr>
          <w:lang w:val="fr-FR"/>
        </w:rPr>
        <w:t xml:space="preserve">et </w:t>
      </w:r>
      <w:r w:rsidRPr="00D05C85">
        <w:rPr>
          <w:lang w:val="fr-FR"/>
        </w:rPr>
        <w:t>en sus des prescriptions du paragraphe 4.6.1.1 :</w:t>
      </w:r>
    </w:p>
    <w:p w14:paraId="2E00E235" w14:textId="77777777" w:rsidR="00AF2126" w:rsidRPr="00D05C85" w:rsidRDefault="00AF2126" w:rsidP="00AF2126">
      <w:pPr>
        <w:pStyle w:val="SingleTxtG"/>
        <w:ind w:left="2268"/>
        <w:rPr>
          <w:rStyle w:val="Carpredefinitoparagrafo1"/>
          <w:bCs/>
          <w:lang w:val="fr-FR"/>
        </w:rPr>
      </w:pPr>
      <w:r w:rsidRPr="00D05C85">
        <w:rPr>
          <w:lang w:val="fr-FR"/>
        </w:rPr>
        <w:tab/>
        <w:t>En cas de défaillance de l’une quelconque des sources lumineuses d’un feu comprenant plusieurs sources lumineuses, au moins l’une des dispositions suivantes s’applique :</w:t>
      </w:r>
    </w:p>
    <w:p w14:paraId="72F2E71D" w14:textId="77777777" w:rsidR="00AF2126" w:rsidRPr="00D05C85" w:rsidRDefault="00AF2126" w:rsidP="00AF2126">
      <w:pPr>
        <w:pStyle w:val="SingleTxtG"/>
        <w:ind w:left="2835" w:hanging="567"/>
        <w:rPr>
          <w:rStyle w:val="Carpredefinitoparagrafo1"/>
          <w:bCs/>
          <w:lang w:val="fr-FR"/>
        </w:rPr>
      </w:pPr>
      <w:r w:rsidRPr="00D05C85">
        <w:rPr>
          <w:lang w:val="fr-FR"/>
        </w:rPr>
        <w:t>a)</w:t>
      </w:r>
      <w:r w:rsidRPr="00D05C85">
        <w:rPr>
          <w:lang w:val="fr-FR"/>
        </w:rPr>
        <w:tab/>
        <w:t xml:space="preserve">L’intensité lumineuse mesurée aux points de répartition normalisée de la lumière définis au paragraphe 2.2 de l’annexe 3 doit équivaloir à au moins 80 % de la valeur minimale d’intensité requise ; </w:t>
      </w:r>
    </w:p>
    <w:p w14:paraId="6B9937E5" w14:textId="77777777" w:rsidR="00AF2126" w:rsidRPr="00D05C85" w:rsidRDefault="00AF2126" w:rsidP="00AF2126">
      <w:pPr>
        <w:pStyle w:val="SingleTxtG"/>
        <w:ind w:left="2835" w:hanging="567"/>
        <w:rPr>
          <w:rStyle w:val="Carpredefinitoparagrafo1"/>
          <w:bCs/>
          <w:lang w:val="fr-FR"/>
        </w:rPr>
      </w:pPr>
      <w:r w:rsidRPr="00D05C85">
        <w:rPr>
          <w:lang w:val="fr-FR"/>
        </w:rPr>
        <w:t>b)</w:t>
      </w:r>
      <w:r w:rsidRPr="00D05C85">
        <w:rPr>
          <w:lang w:val="fr-FR"/>
        </w:rPr>
        <w:tab/>
        <w:t>Un signal d’activation d’un témoin de défaillance conforme aux prescriptions du paragraphe 6.19.8 du Règlement ONU n</w:t>
      </w:r>
      <w:r w:rsidRPr="00D05C85">
        <w:rPr>
          <w:vertAlign w:val="superscript"/>
          <w:lang w:val="fr-FR"/>
        </w:rPr>
        <w:t>o</w:t>
      </w:r>
      <w:r w:rsidRPr="00D05C85">
        <w:rPr>
          <w:lang w:val="fr-FR"/>
        </w:rPr>
        <w:t xml:space="preserve"> 48 doit être émis. Dans ce cas, il est précisé dans la fiche de communication que le feu ne doit être utilisé que sur un véhicule équipé d’un témoin de défaillance.</w:t>
      </w:r>
    </w:p>
    <w:p w14:paraId="70024FD6" w14:textId="54C6D4BE" w:rsidR="00AF2126" w:rsidRPr="00D05C85" w:rsidRDefault="00AF2126" w:rsidP="00AF2126">
      <w:pPr>
        <w:pStyle w:val="SingleTxtG"/>
        <w:ind w:left="2268" w:hanging="1134"/>
        <w:rPr>
          <w:rStyle w:val="Carpredefinitoparagrafo1"/>
          <w:bCs/>
          <w:lang w:val="fr-FR"/>
        </w:rPr>
      </w:pPr>
      <w:r w:rsidRPr="00D05C85">
        <w:rPr>
          <w:lang w:val="fr-FR"/>
        </w:rPr>
        <w:t>4.6.1.4</w:t>
      </w:r>
      <w:r w:rsidRPr="00D05C85">
        <w:rPr>
          <w:lang w:val="fr-FR"/>
        </w:rPr>
        <w:tab/>
        <w:t xml:space="preserve">Pour les feux indicateurs de direction des catégories 1, 1a, 1b, 2a, 2b, 11, 11a, 11b, 11c </w:t>
      </w:r>
      <w:r w:rsidR="00910B33">
        <w:rPr>
          <w:lang w:val="fr-FR"/>
        </w:rPr>
        <w:t xml:space="preserve">et </w:t>
      </w:r>
      <w:r w:rsidRPr="00D05C85">
        <w:rPr>
          <w:lang w:val="fr-FR"/>
        </w:rPr>
        <w:t xml:space="preserve">12, les dispositions ci-après s’appliquent en lieu </w:t>
      </w:r>
      <w:r w:rsidR="00910B33">
        <w:rPr>
          <w:lang w:val="fr-FR"/>
        </w:rPr>
        <w:t xml:space="preserve">et </w:t>
      </w:r>
      <w:r w:rsidRPr="00D05C85">
        <w:rPr>
          <w:lang w:val="fr-FR"/>
        </w:rPr>
        <w:t xml:space="preserve">place des prescriptions du paragraphe 4.6.1.2 </w:t>
      </w:r>
      <w:r w:rsidR="00910B33">
        <w:rPr>
          <w:lang w:val="fr-FR"/>
        </w:rPr>
        <w:t xml:space="preserve">et </w:t>
      </w:r>
      <w:r w:rsidRPr="00D05C85">
        <w:rPr>
          <w:lang w:val="fr-FR"/>
        </w:rPr>
        <w:t>en sus des prescriptions du paragraphe 4.6.1.1 :</w:t>
      </w:r>
    </w:p>
    <w:p w14:paraId="23BDCA7E" w14:textId="4AA2487B" w:rsidR="00AF2126" w:rsidRPr="00D05C85" w:rsidRDefault="00AF2126" w:rsidP="00AF2126">
      <w:pPr>
        <w:pStyle w:val="SingleTxtG"/>
        <w:ind w:left="2268"/>
        <w:rPr>
          <w:rStyle w:val="Carpredefinitoparagrafo1"/>
          <w:bCs/>
          <w:lang w:val="fr-FR"/>
        </w:rPr>
      </w:pPr>
      <w:r w:rsidRPr="00D05C85">
        <w:rPr>
          <w:lang w:val="fr-FR"/>
        </w:rPr>
        <w:tab/>
        <w:t>Un signal d’activation d’un témoin de défaillance conforme aux prescriptions du paragraphe 6.5.8 du Règlement ONU n</w:t>
      </w:r>
      <w:r w:rsidRPr="00D05C85">
        <w:rPr>
          <w:vertAlign w:val="superscript"/>
          <w:lang w:val="fr-FR"/>
        </w:rPr>
        <w:t>o</w:t>
      </w:r>
      <w:r w:rsidR="005B36F1" w:rsidRPr="00D05C85">
        <w:rPr>
          <w:lang w:val="fr-FR"/>
        </w:rPr>
        <w:t> </w:t>
      </w:r>
      <w:r w:rsidRPr="00D05C85">
        <w:rPr>
          <w:lang w:val="fr-FR"/>
        </w:rPr>
        <w:t>48 ou du paragraphe 6.3.8 du Règlement ONU n</w:t>
      </w:r>
      <w:r w:rsidRPr="00D05C85">
        <w:rPr>
          <w:vertAlign w:val="superscript"/>
          <w:lang w:val="fr-FR"/>
        </w:rPr>
        <w:t>o</w:t>
      </w:r>
      <w:r w:rsidR="005B36F1" w:rsidRPr="00D05C85">
        <w:rPr>
          <w:lang w:val="fr-FR"/>
        </w:rPr>
        <w:t> </w:t>
      </w:r>
      <w:r w:rsidRPr="00D05C85">
        <w:rPr>
          <w:lang w:val="fr-FR"/>
        </w:rPr>
        <w:t>53 doit être émis, nonobstant les dispositions énoncées au paragraphe 4.6, si :</w:t>
      </w:r>
    </w:p>
    <w:p w14:paraId="430E0017" w14:textId="77777777" w:rsidR="00AF2126" w:rsidRPr="00D05C85" w:rsidRDefault="00AF2126" w:rsidP="00AF2126">
      <w:pPr>
        <w:pStyle w:val="SingleTxtG"/>
        <w:ind w:left="2835" w:hanging="567"/>
        <w:rPr>
          <w:rStyle w:val="Carpredefinitoparagrafo1"/>
          <w:bCs/>
          <w:lang w:val="fr-FR"/>
        </w:rPr>
      </w:pPr>
      <w:r w:rsidRPr="00D05C85">
        <w:rPr>
          <w:lang w:val="fr-FR"/>
        </w:rPr>
        <w:t>a)</w:t>
      </w:r>
      <w:r w:rsidRPr="00D05C85">
        <w:rPr>
          <w:lang w:val="fr-FR"/>
        </w:rPr>
        <w:tab/>
        <w:t>L’une quelconque des sources lumineuses est défectueuse ; ou</w:t>
      </w:r>
    </w:p>
    <w:p w14:paraId="0B2654AA" w14:textId="77777777" w:rsidR="00AF2126" w:rsidRPr="00D05C85" w:rsidRDefault="00AF2126" w:rsidP="00AF2126">
      <w:pPr>
        <w:pStyle w:val="SingleTxtG"/>
        <w:ind w:left="2835" w:hanging="567"/>
        <w:rPr>
          <w:rStyle w:val="Carpredefinitoparagrafo1"/>
          <w:bCs/>
          <w:lang w:val="fr-FR"/>
        </w:rPr>
      </w:pPr>
      <w:r w:rsidRPr="00D05C85">
        <w:rPr>
          <w:lang w:val="fr-FR"/>
        </w:rPr>
        <w:t>b)</w:t>
      </w:r>
      <w:r w:rsidRPr="00D05C85">
        <w:rPr>
          <w:lang w:val="fr-FR"/>
        </w:rPr>
        <w:tab/>
        <w:t>Dans le cas d’un feu conçu pour deux sources lumineuses seulement, l’intensité dans l’axe de référence est inférieure à 50 % de l’intensité minimale requise ; ou</w:t>
      </w:r>
    </w:p>
    <w:p w14:paraId="588ABD39" w14:textId="77777777" w:rsidR="00AF2126" w:rsidRPr="00D05C85" w:rsidRDefault="00AF2126" w:rsidP="00AF2126">
      <w:pPr>
        <w:pStyle w:val="SingleTxtG"/>
        <w:ind w:left="2835" w:hanging="567"/>
        <w:rPr>
          <w:rStyle w:val="Carpredefinitoparagrafo1"/>
          <w:bCs/>
          <w:lang w:val="fr-FR"/>
        </w:rPr>
      </w:pPr>
      <w:r w:rsidRPr="00D05C85">
        <w:rPr>
          <w:lang w:val="fr-FR"/>
        </w:rPr>
        <w:t>c)</w:t>
      </w:r>
      <w:r w:rsidRPr="00D05C85">
        <w:rPr>
          <w:lang w:val="fr-FR"/>
        </w:rPr>
        <w:tab/>
        <w:t>À la suite d’une défaillance d’une ou de plusieurs sources lumineuses, l’intensité dans l’une des directions ci-après, comme indiqué au paragraphe 2.1 de l’annexe 3, est inférieure à l’intensité minimale requise :</w:t>
      </w:r>
    </w:p>
    <w:p w14:paraId="5D8A07C6" w14:textId="109119A3" w:rsidR="00AF2126" w:rsidRPr="00D05C85" w:rsidRDefault="00AF2126" w:rsidP="00AF2126">
      <w:pPr>
        <w:pStyle w:val="SingleTxtG"/>
        <w:ind w:left="3402" w:hanging="567"/>
        <w:rPr>
          <w:rStyle w:val="Carpredefinitoparagrafo1"/>
          <w:bCs/>
          <w:lang w:val="fr-FR"/>
        </w:rPr>
      </w:pPr>
      <w:r w:rsidRPr="00D05C85">
        <w:rPr>
          <w:lang w:val="fr-FR"/>
        </w:rPr>
        <w:t>i)</w:t>
      </w:r>
      <w:r w:rsidRPr="00D05C85">
        <w:rPr>
          <w:lang w:val="fr-FR"/>
        </w:rPr>
        <w:tab/>
        <w:t>H = 0°,</w:t>
      </w:r>
      <w:r w:rsidR="005B36F1" w:rsidRPr="00D05C85">
        <w:rPr>
          <w:lang w:val="fr-FR"/>
        </w:rPr>
        <w:t> V</w:t>
      </w:r>
      <w:r w:rsidRPr="00D05C85">
        <w:rPr>
          <w:lang w:val="fr-FR"/>
        </w:rPr>
        <w:t xml:space="preserve"> = 0° ;</w:t>
      </w:r>
    </w:p>
    <w:p w14:paraId="13592F7E" w14:textId="455D9B19" w:rsidR="00AF2126" w:rsidRPr="00D05C85" w:rsidRDefault="00AF2126" w:rsidP="00AF2126">
      <w:pPr>
        <w:pStyle w:val="SingleTxtG"/>
        <w:ind w:left="3402" w:hanging="567"/>
        <w:rPr>
          <w:rStyle w:val="Carpredefinitoparagrafo1"/>
          <w:bCs/>
          <w:lang w:val="fr-FR"/>
        </w:rPr>
      </w:pPr>
      <w:r w:rsidRPr="00D05C85">
        <w:rPr>
          <w:lang w:val="fr-FR"/>
        </w:rPr>
        <w:t>ii)</w:t>
      </w:r>
      <w:r w:rsidRPr="00D05C85">
        <w:rPr>
          <w:lang w:val="fr-FR"/>
        </w:rPr>
        <w:tab/>
        <w:t>H = 20° vers l’extérieur du véhicule,</w:t>
      </w:r>
      <w:r w:rsidR="005B36F1" w:rsidRPr="00D05C85">
        <w:rPr>
          <w:lang w:val="fr-FR"/>
        </w:rPr>
        <w:t> V</w:t>
      </w:r>
      <w:r w:rsidRPr="00D05C85">
        <w:rPr>
          <w:lang w:val="fr-FR"/>
        </w:rPr>
        <w:t xml:space="preserve"> = + 5° ;</w:t>
      </w:r>
    </w:p>
    <w:p w14:paraId="5F7FB237" w14:textId="1EB4EEE6" w:rsidR="00AF2126" w:rsidRPr="00D05C85" w:rsidRDefault="00AF2126" w:rsidP="00AF2126">
      <w:pPr>
        <w:pStyle w:val="SingleTxtG"/>
        <w:ind w:left="3402" w:hanging="567"/>
        <w:rPr>
          <w:rStyle w:val="Carpredefinitoparagrafo1"/>
          <w:bCs/>
          <w:lang w:val="fr-FR"/>
        </w:rPr>
      </w:pPr>
      <w:r w:rsidRPr="00D05C85">
        <w:rPr>
          <w:lang w:val="fr-FR"/>
        </w:rPr>
        <w:t>iii)</w:t>
      </w:r>
      <w:r w:rsidRPr="00D05C85">
        <w:rPr>
          <w:lang w:val="fr-FR"/>
        </w:rPr>
        <w:tab/>
        <w:t>H = 10° vers l’intérieur du véhicule,</w:t>
      </w:r>
      <w:r w:rsidR="005B36F1" w:rsidRPr="00D05C85">
        <w:rPr>
          <w:lang w:val="fr-FR"/>
        </w:rPr>
        <w:t> V</w:t>
      </w:r>
      <w:r w:rsidRPr="00D05C85">
        <w:rPr>
          <w:lang w:val="fr-FR"/>
        </w:rPr>
        <w:t xml:space="preserve"> = 0°.</w:t>
      </w:r>
    </w:p>
    <w:p w14:paraId="40E4BFB9" w14:textId="77777777" w:rsidR="00AF2126" w:rsidRPr="00D05C85" w:rsidRDefault="00AF2126" w:rsidP="00AF2126">
      <w:pPr>
        <w:pStyle w:val="SingleTxtG"/>
        <w:ind w:left="2268" w:hanging="1134"/>
        <w:rPr>
          <w:rStyle w:val="Carpredefinitoparagrafo1"/>
          <w:bCs/>
          <w:lang w:val="fr-FR"/>
        </w:rPr>
      </w:pPr>
      <w:r w:rsidRPr="00D05C85">
        <w:rPr>
          <w:lang w:val="fr-FR"/>
        </w:rPr>
        <w:t>4.6.1.5</w:t>
      </w:r>
      <w:r w:rsidRPr="00D05C85">
        <w:rPr>
          <w:lang w:val="fr-FR"/>
        </w:rPr>
        <w:tab/>
        <w:t>Les prescriptions du paragraphe 4.6.1.2 ne s’appliquent pas aux feux d’éclairage de la plaque d’immatriculation arrière. Toutefois, les prescriptions du paragraphe 4.6.1.1 restent applicables.</w:t>
      </w:r>
    </w:p>
    <w:p w14:paraId="229BEA96" w14:textId="7DC07C96" w:rsidR="00AF2126" w:rsidRPr="00D05C85" w:rsidRDefault="00AF2126" w:rsidP="00AF2126">
      <w:pPr>
        <w:pStyle w:val="SingleTxtG"/>
        <w:ind w:left="2268" w:hanging="1134"/>
        <w:rPr>
          <w:rStyle w:val="Carpredefinitoparagrafo1"/>
          <w:bCs/>
          <w:lang w:val="fr-FR"/>
        </w:rPr>
      </w:pPr>
      <w:r w:rsidRPr="00D05C85">
        <w:rPr>
          <w:lang w:val="fr-FR"/>
        </w:rPr>
        <w:t>4.6.1.6</w:t>
      </w:r>
      <w:r w:rsidRPr="00D05C85">
        <w:rPr>
          <w:lang w:val="fr-FR"/>
        </w:rPr>
        <w:tab/>
        <w:t xml:space="preserve">Les prescriptions du paragraphe 4.6.1.2 b) ne s’appliquent pas aux feux-stop </w:t>
      </w:r>
      <w:r w:rsidR="00910B33">
        <w:rPr>
          <w:lang w:val="fr-FR"/>
        </w:rPr>
        <w:t xml:space="preserve">et </w:t>
      </w:r>
      <w:r w:rsidRPr="00D05C85">
        <w:rPr>
          <w:lang w:val="fr-FR"/>
        </w:rPr>
        <w:t xml:space="preserve">aux feux de position destinés aux véhicules de la catégorie L. Toutefois, les prescriptions du paragraphe 4.6.1.1 </w:t>
      </w:r>
      <w:r w:rsidR="00910B33">
        <w:rPr>
          <w:lang w:val="fr-FR"/>
        </w:rPr>
        <w:t xml:space="preserve">et </w:t>
      </w:r>
      <w:r w:rsidRPr="00D05C85">
        <w:rPr>
          <w:lang w:val="fr-FR"/>
        </w:rPr>
        <w:t>du paragraphe 4.6.1.2 a) restent applicables.</w:t>
      </w:r>
    </w:p>
    <w:p w14:paraId="52832FD1" w14:textId="77777777" w:rsidR="00AF2126" w:rsidRPr="00D05C85" w:rsidRDefault="00AF2126" w:rsidP="00AF2126">
      <w:pPr>
        <w:pStyle w:val="SingleTxtG"/>
        <w:keepNext/>
        <w:ind w:left="2268" w:hanging="1134"/>
        <w:rPr>
          <w:lang w:val="fr-FR"/>
        </w:rPr>
      </w:pPr>
      <w:r w:rsidRPr="00D05C85">
        <w:rPr>
          <w:lang w:val="fr-FR"/>
        </w:rPr>
        <w:lastRenderedPageBreak/>
        <w:t>4.6.2</w:t>
      </w:r>
      <w:r w:rsidRPr="00D05C85">
        <w:rPr>
          <w:lang w:val="fr-FR"/>
        </w:rPr>
        <w:tab/>
        <w:t>En cas de défaillance du régulateur d’intensité :</w:t>
      </w:r>
    </w:p>
    <w:p w14:paraId="0DCE4F07" w14:textId="77777777" w:rsidR="00AF2126" w:rsidRPr="00D05C85" w:rsidRDefault="00AF2126" w:rsidP="00AF2126">
      <w:pPr>
        <w:pStyle w:val="SingleTxtG"/>
        <w:ind w:left="2835" w:hanging="567"/>
        <w:rPr>
          <w:lang w:val="fr-FR"/>
        </w:rPr>
      </w:pPr>
      <w:r w:rsidRPr="00D05C85">
        <w:rPr>
          <w:lang w:val="fr-FR"/>
        </w:rPr>
        <w:t>a)</w:t>
      </w:r>
      <w:r w:rsidRPr="00D05C85">
        <w:rPr>
          <w:lang w:val="fr-FR"/>
        </w:rPr>
        <w:tab/>
        <w:t>D’un feu de position arrière de la catégorie R2, émettant une lumière d’une intensité supérieure à la valeur maximale prescrite pour la catégorie R1 ;</w:t>
      </w:r>
    </w:p>
    <w:p w14:paraId="3EBA7AD0" w14:textId="77777777" w:rsidR="00AF2126" w:rsidRPr="00D05C85" w:rsidRDefault="00AF2126" w:rsidP="00AF2126">
      <w:pPr>
        <w:pStyle w:val="SingleTxtG"/>
        <w:ind w:left="2835" w:hanging="567"/>
        <w:rPr>
          <w:lang w:val="fr-FR"/>
        </w:rPr>
      </w:pPr>
      <w:r w:rsidRPr="00D05C85">
        <w:rPr>
          <w:lang w:val="fr-FR"/>
        </w:rPr>
        <w:t>b)</w:t>
      </w:r>
      <w:r w:rsidRPr="00D05C85">
        <w:rPr>
          <w:lang w:val="fr-FR"/>
        </w:rPr>
        <w:tab/>
        <w:t>D’un feu d’encombrement arrière de la catégorie RM2 émettant une lumière d’une intensité supérieure à la valeur maximale prescrite pour la catégorie RM1 ;</w:t>
      </w:r>
    </w:p>
    <w:p w14:paraId="13064B0B" w14:textId="77777777" w:rsidR="00AF2126" w:rsidRPr="00D05C85" w:rsidRDefault="00AF2126" w:rsidP="00AF2126">
      <w:pPr>
        <w:pStyle w:val="SingleTxtG"/>
        <w:ind w:left="2835" w:hanging="567"/>
        <w:rPr>
          <w:lang w:val="fr-FR"/>
        </w:rPr>
      </w:pPr>
      <w:r w:rsidRPr="00D05C85">
        <w:rPr>
          <w:lang w:val="fr-FR"/>
        </w:rPr>
        <w:t>c)</w:t>
      </w:r>
      <w:r w:rsidRPr="00D05C85">
        <w:rPr>
          <w:lang w:val="fr-FR"/>
        </w:rPr>
        <w:tab/>
        <w:t>D’un feu-stop de la catégorie S2 émettant une lumière d’une intensité supérieure à la valeur maximale prescrite pour la catégorie S1 ;</w:t>
      </w:r>
    </w:p>
    <w:p w14:paraId="7379916D" w14:textId="77777777" w:rsidR="00AF2126" w:rsidRPr="00D05C85" w:rsidRDefault="00AF2126" w:rsidP="00AF2126">
      <w:pPr>
        <w:pStyle w:val="SingleTxtG"/>
        <w:ind w:left="2835" w:hanging="567"/>
        <w:rPr>
          <w:lang w:val="fr-FR"/>
        </w:rPr>
      </w:pPr>
      <w:r w:rsidRPr="00D05C85">
        <w:rPr>
          <w:lang w:val="fr-FR"/>
        </w:rPr>
        <w:t>d)</w:t>
      </w:r>
      <w:r w:rsidRPr="00D05C85">
        <w:rPr>
          <w:lang w:val="fr-FR"/>
        </w:rPr>
        <w:tab/>
        <w:t>D’un feu-stop de la catégorie S4 émettant une lumière d’une intensité supérieure à la valeur maximale prescrite pour la catégorie S3 ;</w:t>
      </w:r>
    </w:p>
    <w:p w14:paraId="19CCF7CA" w14:textId="77777777" w:rsidR="00AF2126" w:rsidRPr="00D05C85" w:rsidRDefault="00AF2126" w:rsidP="00AF2126">
      <w:pPr>
        <w:pStyle w:val="SingleTxtG"/>
        <w:ind w:left="2835" w:hanging="567"/>
        <w:rPr>
          <w:lang w:val="fr-FR"/>
        </w:rPr>
      </w:pPr>
      <w:r w:rsidRPr="00D05C85">
        <w:rPr>
          <w:lang w:val="fr-FR"/>
        </w:rPr>
        <w:t>e)</w:t>
      </w:r>
      <w:r w:rsidRPr="00D05C85">
        <w:rPr>
          <w:lang w:val="fr-FR"/>
        </w:rPr>
        <w:tab/>
        <w:t>D’un indicateur de direction de la catégorie 2b émettant une lumière d’une intensité supérieure à la valeur maximale prescrite pour la catégorie 2a ;</w:t>
      </w:r>
    </w:p>
    <w:p w14:paraId="674AB727" w14:textId="77777777" w:rsidR="00AF2126" w:rsidRPr="00D05C85" w:rsidRDefault="00AF2126" w:rsidP="00AF2126">
      <w:pPr>
        <w:pStyle w:val="SingleTxtG"/>
        <w:ind w:left="2835" w:hanging="567"/>
        <w:rPr>
          <w:lang w:val="fr-FR"/>
        </w:rPr>
      </w:pPr>
      <w:r w:rsidRPr="00D05C85">
        <w:rPr>
          <w:lang w:val="fr-FR"/>
        </w:rPr>
        <w:t>f)</w:t>
      </w:r>
      <w:r w:rsidRPr="00D05C85">
        <w:rPr>
          <w:lang w:val="fr-FR"/>
        </w:rPr>
        <w:tab/>
        <w:t>D’un feu de brouillard arrière de la catégorie F2 émettant une lumière d’une intensité supérieure à la valeur maximale prescrite pour la catégorie F1.</w:t>
      </w:r>
    </w:p>
    <w:p w14:paraId="38614AE7" w14:textId="77777777" w:rsidR="00AF2126" w:rsidRPr="00D05C85" w:rsidRDefault="00AF2126" w:rsidP="00AF2126">
      <w:pPr>
        <w:pStyle w:val="SingleTxtG"/>
        <w:ind w:left="2268"/>
        <w:rPr>
          <w:lang w:val="fr-FR"/>
        </w:rPr>
      </w:pPr>
      <w:r w:rsidRPr="00D05C85">
        <w:rPr>
          <w:lang w:val="fr-FR"/>
        </w:rPr>
        <w:t>Les prescriptions relatives à l’intensité lumineuse constante de chaque catégorie susmentionnée doivent être automatiquement respectées.</w:t>
      </w:r>
    </w:p>
    <w:p w14:paraId="078363CD" w14:textId="77777777" w:rsidR="00AF2126" w:rsidRPr="00D05C85" w:rsidRDefault="00AF2126" w:rsidP="00AF2126">
      <w:pPr>
        <w:pStyle w:val="SingleTxtG"/>
        <w:ind w:left="2268" w:hanging="1134"/>
        <w:rPr>
          <w:lang w:val="fr-FR"/>
        </w:rPr>
      </w:pPr>
      <w:r w:rsidRPr="00D05C85">
        <w:rPr>
          <w:lang w:val="fr-FR"/>
        </w:rPr>
        <w:t>4.7</w:t>
      </w:r>
      <w:r w:rsidRPr="00D05C85">
        <w:rPr>
          <w:lang w:val="fr-FR"/>
        </w:rPr>
        <w:tab/>
        <w:t>Dispositions relatives aux sources lumineuses</w:t>
      </w:r>
    </w:p>
    <w:p w14:paraId="569867D1" w14:textId="77777777" w:rsidR="00AF2126" w:rsidRPr="00D05C85" w:rsidRDefault="00AF2126" w:rsidP="00AF2126">
      <w:pPr>
        <w:pStyle w:val="SingleTxtG"/>
        <w:ind w:left="2268" w:hanging="1134"/>
        <w:rPr>
          <w:lang w:val="fr-FR"/>
        </w:rPr>
      </w:pPr>
      <w:r w:rsidRPr="00D05C85">
        <w:rPr>
          <w:lang w:val="fr-FR"/>
        </w:rPr>
        <w:t>4.7.1</w:t>
      </w:r>
      <w:r w:rsidRPr="00D05C85">
        <w:rPr>
          <w:lang w:val="fr-FR"/>
        </w:rPr>
        <w:tab/>
        <w:t>Utilisation des sources lumineuses</w:t>
      </w:r>
    </w:p>
    <w:p w14:paraId="2FD3AD8B" w14:textId="77777777" w:rsidR="00AF2126" w:rsidRPr="00D05C85" w:rsidRDefault="00AF2126" w:rsidP="00AF2126">
      <w:pPr>
        <w:pStyle w:val="SingleTxtG"/>
        <w:ind w:left="2268"/>
        <w:rPr>
          <w:lang w:val="fr-FR"/>
        </w:rPr>
      </w:pPr>
      <w:r w:rsidRPr="00D05C85">
        <w:rPr>
          <w:lang w:val="fr-FR"/>
        </w:rPr>
        <w:t>Le feu doit être équipé exclusivement :</w:t>
      </w:r>
    </w:p>
    <w:p w14:paraId="66B5878F" w14:textId="3D9215E4" w:rsidR="00AF2126" w:rsidRPr="00D05C85" w:rsidRDefault="00AF2126" w:rsidP="00AF2126">
      <w:pPr>
        <w:pStyle w:val="SingleTxtG"/>
        <w:ind w:left="2835" w:hanging="567"/>
        <w:rPr>
          <w:lang w:val="fr-FR"/>
        </w:rPr>
      </w:pPr>
      <w:r w:rsidRPr="00D05C85">
        <w:rPr>
          <w:lang w:val="fr-FR"/>
        </w:rPr>
        <w:t>-</w:t>
      </w:r>
      <w:r w:rsidRPr="00D05C85">
        <w:rPr>
          <w:lang w:val="fr-FR"/>
        </w:rPr>
        <w:tab/>
        <w:t>D’une ou plusieurs sources lumineuses homologuées en application des Règlements ONU n</w:t>
      </w:r>
      <w:r w:rsidRPr="00D05C85">
        <w:rPr>
          <w:vertAlign w:val="superscript"/>
          <w:lang w:val="fr-FR"/>
        </w:rPr>
        <w:t>os</w:t>
      </w:r>
      <w:r w:rsidR="005B36F1" w:rsidRPr="00D05C85">
        <w:rPr>
          <w:lang w:val="fr-FR"/>
        </w:rPr>
        <w:t> </w:t>
      </w:r>
      <w:r w:rsidRPr="00D05C85">
        <w:rPr>
          <w:lang w:val="fr-FR"/>
        </w:rPr>
        <w:t>37, 99 ou 128, sous réserve qu’il n’y ait aucune restriction d’utilisation à la date de la demande d’homologation de type ; et/ou</w:t>
      </w:r>
    </w:p>
    <w:p w14:paraId="5D1E5F86" w14:textId="77777777" w:rsidR="00AF2126" w:rsidRPr="00D05C85" w:rsidRDefault="00AF2126" w:rsidP="00AF2126">
      <w:pPr>
        <w:pStyle w:val="SingleTxtG"/>
        <w:ind w:left="2268"/>
        <w:rPr>
          <w:lang w:val="fr-FR"/>
        </w:rPr>
      </w:pPr>
      <w:r w:rsidRPr="00D05C85">
        <w:rPr>
          <w:lang w:val="fr-FR"/>
        </w:rPr>
        <w:t>-</w:t>
      </w:r>
      <w:r w:rsidRPr="00D05C85">
        <w:rPr>
          <w:lang w:val="fr-FR"/>
        </w:rPr>
        <w:tab/>
        <w:t xml:space="preserve">D’un ou de plusieurs modules d’éclairage ; et/ou </w:t>
      </w:r>
    </w:p>
    <w:p w14:paraId="71438B11" w14:textId="77777777" w:rsidR="00AF2126" w:rsidRPr="00D05C85" w:rsidRDefault="00AF2126" w:rsidP="00AF2126">
      <w:pPr>
        <w:pStyle w:val="SingleTxtG"/>
        <w:ind w:left="2268"/>
        <w:rPr>
          <w:lang w:val="fr-FR"/>
        </w:rPr>
      </w:pPr>
      <w:r w:rsidRPr="00D05C85">
        <w:rPr>
          <w:lang w:val="fr-FR"/>
        </w:rPr>
        <w:t>-</w:t>
      </w:r>
      <w:r w:rsidRPr="00D05C85">
        <w:rPr>
          <w:lang w:val="fr-FR"/>
        </w:rPr>
        <w:tab/>
        <w:t>D’une ou de plusieurs sources lumineuses non remplaçables.</w:t>
      </w:r>
    </w:p>
    <w:p w14:paraId="473B00E3" w14:textId="77777777" w:rsidR="00AF2126" w:rsidRPr="00D05C85" w:rsidRDefault="00AF2126" w:rsidP="00AF2126">
      <w:pPr>
        <w:pStyle w:val="SingleTxtG"/>
        <w:ind w:left="2268" w:hanging="1134"/>
        <w:rPr>
          <w:lang w:val="fr-FR"/>
        </w:rPr>
      </w:pPr>
      <w:r w:rsidRPr="00D05C85">
        <w:rPr>
          <w:lang w:val="fr-FR"/>
        </w:rPr>
        <w:t>4.7.2</w:t>
      </w:r>
      <w:r w:rsidRPr="00D05C85">
        <w:rPr>
          <w:lang w:val="fr-FR"/>
        </w:rPr>
        <w:tab/>
        <w:t>Prescriptions générales applicables aux sources lumineuses</w:t>
      </w:r>
    </w:p>
    <w:p w14:paraId="3D9DEC17" w14:textId="77777777" w:rsidR="00AF2126" w:rsidRPr="00D05C85" w:rsidRDefault="00AF2126" w:rsidP="00AF2126">
      <w:pPr>
        <w:pStyle w:val="SingleTxtG"/>
        <w:ind w:left="2268" w:hanging="1134"/>
        <w:rPr>
          <w:lang w:val="fr-FR"/>
        </w:rPr>
      </w:pPr>
      <w:r w:rsidRPr="00D05C85">
        <w:rPr>
          <w:lang w:val="fr-FR"/>
        </w:rPr>
        <w:t>4.7.2.1</w:t>
      </w:r>
      <w:r w:rsidRPr="00D05C85">
        <w:rPr>
          <w:lang w:val="fr-FR"/>
        </w:rPr>
        <w:tab/>
        <w:t>Si des restrictions sont prévues concernant l’utilisation d’une ou de plusieurs catégories ou d’un ou de plusieurs types de sources lumineuses dans des feux montés sur des véhicules en circulation qui en sont équipés d’origine, le demandeur de l’homologation de type du feu déclare que celui-ci est destiné exclusivement à être monté sur les véhicules concernés ; cette déclaration doit être consignée dans la fiche de communication.</w:t>
      </w:r>
    </w:p>
    <w:p w14:paraId="6E771036" w14:textId="77777777" w:rsidR="00AF2126" w:rsidRPr="00D05C85" w:rsidRDefault="00AF2126" w:rsidP="00AF2126">
      <w:pPr>
        <w:pStyle w:val="SingleTxtG"/>
        <w:ind w:left="2268" w:hanging="1134"/>
        <w:rPr>
          <w:lang w:val="fr-FR"/>
        </w:rPr>
      </w:pPr>
      <w:r w:rsidRPr="00D05C85">
        <w:rPr>
          <w:lang w:val="fr-FR"/>
        </w:rPr>
        <w:t>4.7.2.2</w:t>
      </w:r>
      <w:r w:rsidRPr="00D05C85">
        <w:rPr>
          <w:lang w:val="fr-FR"/>
        </w:rPr>
        <w:tab/>
        <w:t>Dans le cas de sources lumineuses remplaçables approuvées par l’ONU :</w:t>
      </w:r>
    </w:p>
    <w:p w14:paraId="68B5C9FF" w14:textId="77777777" w:rsidR="00AF2126" w:rsidRPr="00D05C85" w:rsidRDefault="00AF2126" w:rsidP="00AF2126">
      <w:pPr>
        <w:pStyle w:val="SingleTxtG"/>
        <w:ind w:left="2835" w:hanging="567"/>
        <w:rPr>
          <w:lang w:val="fr-FR"/>
        </w:rPr>
      </w:pPr>
      <w:r w:rsidRPr="00D05C85">
        <w:rPr>
          <w:lang w:val="fr-FR"/>
        </w:rPr>
        <w:t>a)</w:t>
      </w:r>
      <w:r w:rsidRPr="00D05C85">
        <w:rPr>
          <w:lang w:val="fr-FR"/>
        </w:rPr>
        <w:tab/>
        <w:t>Le feu doit être conçu de sorte que la ou les sources lumineuses ne puissent pas être montées autrement que dans la position correcte ;</w:t>
      </w:r>
    </w:p>
    <w:p w14:paraId="21132882" w14:textId="77777777" w:rsidR="00AF2126" w:rsidRPr="00D05C85" w:rsidRDefault="00AF2126" w:rsidP="00AF2126">
      <w:pPr>
        <w:pStyle w:val="SingleTxtG"/>
        <w:ind w:left="2835" w:hanging="567"/>
        <w:rPr>
          <w:lang w:val="fr-FR"/>
        </w:rPr>
      </w:pPr>
      <w:r w:rsidRPr="00D05C85">
        <w:rPr>
          <w:lang w:val="fr-FR"/>
        </w:rPr>
        <w:t>b)</w:t>
      </w:r>
      <w:r w:rsidRPr="00D05C85">
        <w:rPr>
          <w:lang w:val="fr-FR"/>
        </w:rPr>
        <w:tab/>
        <w:t>La douille doit être conforme aux caractéristiques de la publication CEI 60061. La feuille de caractéristiques de la douille correspondant à la catégorie de sources lumineuses prescrite est applicable. En outre, lorsqu’une catégorie de sources lumineuses à DEL de substitution est aussi prescrite, la feuille de caractéristiques de la douille correspondant à cette catégorie est applicable.</w:t>
      </w:r>
    </w:p>
    <w:p w14:paraId="7705DA24" w14:textId="77777777" w:rsidR="00AF2126" w:rsidRPr="00D05C85" w:rsidRDefault="00AF2126" w:rsidP="00AF2126">
      <w:pPr>
        <w:pStyle w:val="SingleTxtG"/>
        <w:ind w:left="2268" w:hanging="1134"/>
        <w:rPr>
          <w:lang w:val="fr-FR"/>
        </w:rPr>
      </w:pPr>
      <w:r w:rsidRPr="00D05C85">
        <w:rPr>
          <w:lang w:val="fr-FR"/>
        </w:rPr>
        <w:t>4.7.2.3</w:t>
      </w:r>
      <w:r w:rsidRPr="00D05C85">
        <w:rPr>
          <w:lang w:val="fr-FR"/>
        </w:rPr>
        <w:tab/>
        <w:t xml:space="preserve">Les dispositifs de signalisation lumineuse ne doivent pas provoquer de rayonnement ou de perturbations sur les lignes électriques susceptibles de </w:t>
      </w:r>
      <w:r w:rsidRPr="00D05C85">
        <w:rPr>
          <w:lang w:val="fr-FR"/>
        </w:rPr>
        <w:lastRenderedPageBreak/>
        <w:t>causer des défaillances des autres systèmes électriques/électroniques du véhicule</w:t>
      </w:r>
      <w:r w:rsidRPr="00D05C85">
        <w:rPr>
          <w:rStyle w:val="Appelnotedebasdep"/>
          <w:lang w:val="fr-FR"/>
        </w:rPr>
        <w:footnoteReference w:id="3"/>
      </w:r>
      <w:r w:rsidRPr="00D05C85">
        <w:rPr>
          <w:lang w:val="fr-FR"/>
        </w:rPr>
        <w:t>.</w:t>
      </w:r>
    </w:p>
    <w:p w14:paraId="368E8BE4" w14:textId="77777777" w:rsidR="00AF2126" w:rsidRPr="00D05C85" w:rsidRDefault="00AF2126" w:rsidP="00AF2126">
      <w:pPr>
        <w:pStyle w:val="SingleTxtG"/>
        <w:ind w:left="2268" w:hanging="1134"/>
        <w:rPr>
          <w:lang w:val="fr-FR"/>
        </w:rPr>
      </w:pPr>
      <w:r w:rsidRPr="00D05C85">
        <w:rPr>
          <w:lang w:val="fr-FR"/>
        </w:rPr>
        <w:t>4.7.2.4</w:t>
      </w:r>
      <w:r w:rsidRPr="00D05C85">
        <w:rPr>
          <w:lang w:val="fr-FR"/>
        </w:rPr>
        <w:tab/>
        <w:t>Dans le cas d’un module d’éclairage remplaçable, ce module doit être conçu de telle sorte :</w:t>
      </w:r>
    </w:p>
    <w:p w14:paraId="15998A90" w14:textId="15A37A1F" w:rsidR="00AF2126" w:rsidRPr="00D05C85" w:rsidRDefault="00AF2126" w:rsidP="00AF2126">
      <w:pPr>
        <w:pStyle w:val="SingleTxtG"/>
        <w:ind w:left="2835" w:hanging="567"/>
        <w:rPr>
          <w:lang w:val="fr-FR"/>
        </w:rPr>
      </w:pPr>
      <w:r w:rsidRPr="00D05C85">
        <w:rPr>
          <w:lang w:val="fr-FR"/>
        </w:rPr>
        <w:t>a)</w:t>
      </w:r>
      <w:r w:rsidRPr="00D05C85">
        <w:rPr>
          <w:lang w:val="fr-FR"/>
        </w:rPr>
        <w:tab/>
        <w:t xml:space="preserve">Qu’il ne puisse être monté que dans la position correcte </w:t>
      </w:r>
      <w:r w:rsidR="00910B33">
        <w:rPr>
          <w:lang w:val="fr-FR"/>
        </w:rPr>
        <w:t xml:space="preserve">et </w:t>
      </w:r>
      <w:r w:rsidRPr="00D05C85">
        <w:rPr>
          <w:lang w:val="fr-FR"/>
        </w:rPr>
        <w:t xml:space="preserve">ne puisse être démonté qu’à l’aide d’outils ; </w:t>
      </w:r>
    </w:p>
    <w:p w14:paraId="3E657CE5" w14:textId="77777777" w:rsidR="00AF2126" w:rsidRPr="00D05C85" w:rsidRDefault="00AF2126" w:rsidP="00AF2126">
      <w:pPr>
        <w:pStyle w:val="SingleTxtG"/>
        <w:ind w:left="2835" w:hanging="567"/>
        <w:rPr>
          <w:lang w:val="fr-FR"/>
        </w:rPr>
      </w:pPr>
      <w:r w:rsidRPr="00D05C85">
        <w:rPr>
          <w:lang w:val="fr-FR"/>
        </w:rPr>
        <w:t>b)</w:t>
      </w:r>
      <w:r w:rsidRPr="00D05C85">
        <w:rPr>
          <w:lang w:val="fr-FR"/>
        </w:rPr>
        <w:tab/>
        <w:t xml:space="preserve">Qu’il soit protégé contre les modifications ; </w:t>
      </w:r>
    </w:p>
    <w:p w14:paraId="56753B13" w14:textId="77777777" w:rsidR="00AF2126" w:rsidRPr="00D05C85" w:rsidRDefault="00AF2126" w:rsidP="00AF2126">
      <w:pPr>
        <w:pStyle w:val="SingleTxtG"/>
        <w:ind w:left="2835" w:hanging="567"/>
        <w:rPr>
          <w:lang w:val="fr-FR"/>
        </w:rPr>
      </w:pPr>
      <w:r w:rsidRPr="00D05C85">
        <w:rPr>
          <w:lang w:val="fr-FR"/>
        </w:rPr>
        <w:t>c)</w:t>
      </w:r>
      <w:r w:rsidRPr="00D05C85">
        <w:rPr>
          <w:lang w:val="fr-FR"/>
        </w:rPr>
        <w:tab/>
        <w:t>Que, même avec l’aide d’outils, il ne soit pas interchangeable avec :</w:t>
      </w:r>
    </w:p>
    <w:p w14:paraId="6A683898" w14:textId="77777777" w:rsidR="00AF2126" w:rsidRPr="00D05C85" w:rsidRDefault="00AF2126" w:rsidP="00AF2126">
      <w:pPr>
        <w:pStyle w:val="SingleTxtG"/>
        <w:ind w:left="3402" w:hanging="567"/>
        <w:rPr>
          <w:lang w:val="fr-FR"/>
        </w:rPr>
      </w:pPr>
      <w:r w:rsidRPr="00D05C85">
        <w:rPr>
          <w:lang w:val="fr-FR"/>
        </w:rPr>
        <w:t>-</w:t>
      </w:r>
      <w:r w:rsidRPr="00D05C85">
        <w:rPr>
          <w:lang w:val="fr-FR"/>
        </w:rPr>
        <w:tab/>
        <w:t xml:space="preserve">Une source lumineuse remplaçable approuvée par l’ONU ; </w:t>
      </w:r>
    </w:p>
    <w:p w14:paraId="3B500040" w14:textId="3B26217A" w:rsidR="00AF2126" w:rsidRPr="00D05C85" w:rsidRDefault="00AF2126" w:rsidP="00AF2126">
      <w:pPr>
        <w:pStyle w:val="SingleTxtG"/>
        <w:ind w:left="3402" w:hanging="567"/>
        <w:rPr>
          <w:lang w:val="fr-FR"/>
        </w:rPr>
      </w:pPr>
      <w:r w:rsidRPr="00D05C85">
        <w:rPr>
          <w:lang w:val="fr-FR"/>
        </w:rPr>
        <w:t>-</w:t>
      </w:r>
      <w:r w:rsidRPr="00D05C85">
        <w:rPr>
          <w:lang w:val="fr-FR"/>
        </w:rPr>
        <w:tab/>
        <w:t xml:space="preserve">Un quelconque autre module d’éclairage qui a des caractéristiques différentes </w:t>
      </w:r>
      <w:r w:rsidR="00910B33">
        <w:rPr>
          <w:lang w:val="fr-FR"/>
        </w:rPr>
        <w:t xml:space="preserve">et </w:t>
      </w:r>
      <w:r w:rsidRPr="00D05C85">
        <w:rPr>
          <w:lang w:val="fr-FR"/>
        </w:rPr>
        <w:t>se trouve dans le même boîtier ;</w:t>
      </w:r>
    </w:p>
    <w:p w14:paraId="072679B6" w14:textId="62FB4E50" w:rsidR="00AF2126" w:rsidRPr="00D05C85" w:rsidRDefault="00AF2126" w:rsidP="00AF2126">
      <w:pPr>
        <w:pStyle w:val="SingleTxtG"/>
        <w:ind w:left="2835" w:hanging="567"/>
        <w:rPr>
          <w:lang w:val="fr-FR"/>
        </w:rPr>
      </w:pPr>
      <w:r w:rsidRPr="00D05C85">
        <w:rPr>
          <w:lang w:val="fr-FR"/>
        </w:rPr>
        <w:t>d)</w:t>
      </w:r>
      <w:r w:rsidRPr="00D05C85">
        <w:rPr>
          <w:lang w:val="fr-FR"/>
        </w:rPr>
        <w:tab/>
        <w:t xml:space="preserve">Que, lorsqu’il est démonté </w:t>
      </w:r>
      <w:r w:rsidR="00910B33">
        <w:rPr>
          <w:lang w:val="fr-FR"/>
        </w:rPr>
        <w:t xml:space="preserve">et </w:t>
      </w:r>
      <w:r w:rsidRPr="00D05C85">
        <w:rPr>
          <w:lang w:val="fr-FR"/>
        </w:rPr>
        <w:t xml:space="preserve">remplacé par un autre module fourni par le demandeur </w:t>
      </w:r>
      <w:r w:rsidR="00910B33">
        <w:rPr>
          <w:lang w:val="fr-FR"/>
        </w:rPr>
        <w:t xml:space="preserve">et </w:t>
      </w:r>
      <w:r w:rsidRPr="00D05C85">
        <w:rPr>
          <w:lang w:val="fr-FR"/>
        </w:rPr>
        <w:t>portant le même code d’identification, les prescriptions photométriques soient toujours respectées.</w:t>
      </w:r>
    </w:p>
    <w:p w14:paraId="6A17E227" w14:textId="157204FF" w:rsidR="00AF2126" w:rsidRPr="00D05C85" w:rsidRDefault="00AF2126" w:rsidP="00AF2126">
      <w:pPr>
        <w:pStyle w:val="SingleTxtG"/>
        <w:ind w:left="2268" w:hanging="1134"/>
        <w:rPr>
          <w:lang w:val="fr-FR"/>
        </w:rPr>
      </w:pPr>
      <w:r w:rsidRPr="00D05C85">
        <w:rPr>
          <w:lang w:val="fr-FR"/>
        </w:rPr>
        <w:t>4.8</w:t>
      </w:r>
      <w:r w:rsidRPr="00D05C85">
        <w:rPr>
          <w:lang w:val="fr-FR"/>
        </w:rPr>
        <w:tab/>
        <w:t xml:space="preserve">Conditions d’essai </w:t>
      </w:r>
      <w:r w:rsidR="00910B33">
        <w:rPr>
          <w:lang w:val="fr-FR"/>
        </w:rPr>
        <w:t xml:space="preserve">et </w:t>
      </w:r>
      <w:r w:rsidRPr="00D05C85">
        <w:rPr>
          <w:lang w:val="fr-FR"/>
        </w:rPr>
        <w:t>méthodes de mesure</w:t>
      </w:r>
    </w:p>
    <w:p w14:paraId="314BE45C" w14:textId="77777777" w:rsidR="00AF2126" w:rsidRPr="00D05C85" w:rsidRDefault="00AF2126" w:rsidP="00AF2126">
      <w:pPr>
        <w:pStyle w:val="SingleTxtG"/>
        <w:ind w:left="2268" w:hanging="1134"/>
        <w:rPr>
          <w:lang w:val="fr-FR"/>
        </w:rPr>
      </w:pPr>
      <w:r w:rsidRPr="00D05C85">
        <w:rPr>
          <w:lang w:val="fr-FR"/>
        </w:rPr>
        <w:t>4.8.1</w:t>
      </w:r>
      <w:r w:rsidRPr="00D05C85">
        <w:rPr>
          <w:lang w:val="fr-FR"/>
        </w:rPr>
        <w:tab/>
        <w:t>Dispositions générales</w:t>
      </w:r>
    </w:p>
    <w:p w14:paraId="4784705E" w14:textId="0DB38E75" w:rsidR="00AF2126" w:rsidRPr="00D05C85" w:rsidRDefault="00AF2126" w:rsidP="00AF2126">
      <w:pPr>
        <w:pStyle w:val="SingleTxtG"/>
        <w:ind w:left="2268"/>
        <w:rPr>
          <w:lang w:val="fr-FR"/>
        </w:rPr>
      </w:pPr>
      <w:r w:rsidRPr="00D05C85">
        <w:rPr>
          <w:lang w:val="fr-FR"/>
        </w:rPr>
        <w:t xml:space="preserve">Toutes les mesures photométriques </w:t>
      </w:r>
      <w:r w:rsidR="00910B33">
        <w:rPr>
          <w:lang w:val="fr-FR"/>
        </w:rPr>
        <w:t xml:space="preserve">et </w:t>
      </w:r>
      <w:r w:rsidRPr="00D05C85">
        <w:rPr>
          <w:lang w:val="fr-FR"/>
        </w:rPr>
        <w:t>colorimétriques doivent être réalisées conformément aux prescriptions ci-après. On trouvera à l’annexe 3 des précisions sur les méthodes de mesure à appliquer.</w:t>
      </w:r>
    </w:p>
    <w:p w14:paraId="3ED7A2E9" w14:textId="77777777" w:rsidR="00AF2126" w:rsidRPr="00D05C85" w:rsidRDefault="00AF2126" w:rsidP="00AF2126">
      <w:pPr>
        <w:pStyle w:val="SingleTxtG"/>
        <w:ind w:left="2268" w:hanging="1134"/>
        <w:rPr>
          <w:lang w:val="fr-FR"/>
        </w:rPr>
      </w:pPr>
      <w:r w:rsidRPr="00D05C85">
        <w:rPr>
          <w:lang w:val="fr-FR"/>
        </w:rPr>
        <w:t>4.8.1.1</w:t>
      </w:r>
      <w:r w:rsidRPr="00D05C85">
        <w:rPr>
          <w:lang w:val="fr-FR"/>
        </w:rPr>
        <w:tab/>
        <w:t xml:space="preserve">Dans le cas de sources lumineuses remplaçables approuvées par l’ONU, toutes les mesures doivent être réalisées en utilisant des sources lumineuses étalons telles que décrites dans la Résolution R.E.5. </w:t>
      </w:r>
    </w:p>
    <w:p w14:paraId="71919989" w14:textId="77777777" w:rsidR="00AF2126" w:rsidRPr="00D05C85" w:rsidRDefault="00AF2126" w:rsidP="00AF2126">
      <w:pPr>
        <w:pStyle w:val="SingleTxtG"/>
        <w:ind w:left="2268" w:hanging="1134"/>
        <w:rPr>
          <w:lang w:val="fr-FR"/>
        </w:rPr>
      </w:pPr>
      <w:r w:rsidRPr="00D05C85">
        <w:rPr>
          <w:lang w:val="fr-FR"/>
        </w:rPr>
        <w:t>4.8.1.1.1</w:t>
      </w:r>
      <w:r w:rsidRPr="00D05C85">
        <w:rPr>
          <w:lang w:val="fr-FR"/>
        </w:rPr>
        <w:tab/>
        <w:t>De plus, si ces sources lumineuses remplaçables approuvées par l’ONU sont contrôlées par un module électronique de régulation de source lumineuse ou par un régulateur d’intensité, la valeur du flux lumineux produit par les sources lumineuses étalons ne doit pas s’écarter de plus de 5 % de la valeur du flux lumineux de référence (ou flux lumineux normal) lorsque la tension d’essai est appliquée.</w:t>
      </w:r>
    </w:p>
    <w:p w14:paraId="79BC1540" w14:textId="77777777" w:rsidR="00AF2126" w:rsidRPr="00D05C85" w:rsidRDefault="00AF2126" w:rsidP="00AF2126">
      <w:pPr>
        <w:pStyle w:val="SingleTxtG"/>
        <w:ind w:left="2268" w:hanging="1134"/>
        <w:rPr>
          <w:lang w:val="fr-FR"/>
        </w:rPr>
      </w:pPr>
      <w:r w:rsidRPr="00D05C85">
        <w:rPr>
          <w:lang w:val="fr-FR"/>
        </w:rPr>
        <w:t>4.8.1.2</w:t>
      </w:r>
      <w:r w:rsidRPr="00D05C85">
        <w:rPr>
          <w:lang w:val="fr-FR"/>
        </w:rPr>
        <w:tab/>
        <w:t>Dans le cas d’un feu équipé d’un ou de plusieurs modules d’éclairage ou d’une ou de plusieurs sources lumineuses non remplaçables, toutes les mesures doivent être réalisées avec la ou les sources lumineuses dont le feu est équipé.</w:t>
      </w:r>
    </w:p>
    <w:p w14:paraId="3F883B73" w14:textId="35787F17" w:rsidR="00AF2126" w:rsidRPr="00D05C85" w:rsidRDefault="00AF2126" w:rsidP="00AF2126">
      <w:pPr>
        <w:pStyle w:val="SingleTxtG"/>
        <w:ind w:left="2268" w:hanging="1134"/>
        <w:rPr>
          <w:lang w:val="fr-FR"/>
        </w:rPr>
      </w:pPr>
      <w:r w:rsidRPr="00D05C85">
        <w:rPr>
          <w:lang w:val="fr-FR"/>
        </w:rPr>
        <w:t>4.8.1.3</w:t>
      </w:r>
      <w:r w:rsidRPr="00D05C85">
        <w:rPr>
          <w:lang w:val="fr-FR"/>
        </w:rPr>
        <w:tab/>
        <w:t xml:space="preserve">Dans le cas d’un feu (fonction) équipé de sources lumineuses auxquelles plusieurs des conditions prescrites au paragraphe 4.8 s’appliquent, les mesures photométriques doivent être réalisées séparément </w:t>
      </w:r>
      <w:r w:rsidR="00910B33">
        <w:rPr>
          <w:lang w:val="fr-FR"/>
        </w:rPr>
        <w:t xml:space="preserve">et </w:t>
      </w:r>
      <w:r w:rsidRPr="00D05C85">
        <w:rPr>
          <w:lang w:val="fr-FR"/>
        </w:rPr>
        <w:t>conformément à chacune des conditions applicables.</w:t>
      </w:r>
    </w:p>
    <w:p w14:paraId="685D86B6" w14:textId="77777777" w:rsidR="00AF2126" w:rsidRPr="00D05C85" w:rsidRDefault="00AF2126" w:rsidP="00AF2126">
      <w:pPr>
        <w:pStyle w:val="SingleTxtG"/>
        <w:ind w:left="2268"/>
        <w:rPr>
          <w:lang w:val="fr-FR"/>
        </w:rPr>
      </w:pPr>
      <w:r w:rsidRPr="00D05C85">
        <w:rPr>
          <w:lang w:val="fr-FR"/>
        </w:rPr>
        <w:t>Les résultats de toutes les mesures doivent être additionnés.</w:t>
      </w:r>
    </w:p>
    <w:p w14:paraId="6705EF72" w14:textId="77777777" w:rsidR="00AF2126" w:rsidRPr="00D05C85" w:rsidRDefault="00AF2126" w:rsidP="00AF2126">
      <w:pPr>
        <w:pStyle w:val="SingleTxtG"/>
        <w:ind w:left="2268"/>
        <w:rPr>
          <w:lang w:val="fr-FR"/>
        </w:rPr>
      </w:pPr>
      <w:r w:rsidRPr="00D05C85">
        <w:rPr>
          <w:lang w:val="fr-FR"/>
        </w:rPr>
        <w:t>Le laboratoire d’essai peut exiger que le demandeur lui fournisse les échantillons nécessaires pour alimenter les différentes sources lumineuses séparément.</w:t>
      </w:r>
    </w:p>
    <w:p w14:paraId="69BFE7DD" w14:textId="77777777" w:rsidR="00AF2126" w:rsidRPr="00D05C85" w:rsidRDefault="00AF2126" w:rsidP="00AF2126">
      <w:pPr>
        <w:pStyle w:val="SingleTxtG"/>
        <w:ind w:left="2268" w:hanging="1134"/>
        <w:rPr>
          <w:color w:val="000000" w:themeColor="text1"/>
          <w:lang w:val="fr-FR"/>
        </w:rPr>
      </w:pPr>
      <w:r w:rsidRPr="00D05C85">
        <w:rPr>
          <w:lang w:val="fr-FR"/>
        </w:rPr>
        <w:t>4.8.1.4</w:t>
      </w:r>
      <w:r w:rsidRPr="00D05C85">
        <w:rPr>
          <w:lang w:val="fr-FR"/>
        </w:rPr>
        <w:tab/>
        <w:t>Pendant les mesures photométriques, les réflexions parasites doivent être évitées au moyen d’un masquage approprié.</w:t>
      </w:r>
    </w:p>
    <w:p w14:paraId="022F085E" w14:textId="77777777" w:rsidR="00AF2126" w:rsidRPr="00D05C85" w:rsidRDefault="00AF2126" w:rsidP="00AF2126">
      <w:pPr>
        <w:pStyle w:val="SingleTxtG"/>
        <w:ind w:left="2268" w:hanging="1134"/>
        <w:rPr>
          <w:color w:val="000000" w:themeColor="text1"/>
          <w:lang w:val="fr-FR"/>
        </w:rPr>
      </w:pPr>
      <w:r w:rsidRPr="00D05C85">
        <w:rPr>
          <w:lang w:val="fr-FR"/>
        </w:rPr>
        <w:t>4.8.1.5</w:t>
      </w:r>
      <w:r w:rsidRPr="00D05C85">
        <w:rPr>
          <w:lang w:val="fr-FR"/>
        </w:rPr>
        <w:tab/>
        <w:t>Si le feu peut être monté sur le véhicule en plusieurs positions ou dans une plage de positions, il faut recommencer les mesures photométriques pour chaque position ou pour les positions extrêmes de la plage d’axes de référence définie par le fabricant.</w:t>
      </w:r>
    </w:p>
    <w:p w14:paraId="6160B405" w14:textId="0BC69870" w:rsidR="00AF2126" w:rsidRPr="00D05C85" w:rsidRDefault="00AF2126" w:rsidP="00AF2126">
      <w:pPr>
        <w:pStyle w:val="SingleTxtG"/>
        <w:ind w:left="2268" w:hanging="1134"/>
        <w:rPr>
          <w:color w:val="000000" w:themeColor="text1"/>
          <w:lang w:val="fr-FR"/>
        </w:rPr>
      </w:pPr>
      <w:r w:rsidRPr="00D05C85">
        <w:rPr>
          <w:lang w:val="fr-FR"/>
        </w:rPr>
        <w:lastRenderedPageBreak/>
        <w:t>4.8.1.6</w:t>
      </w:r>
      <w:r w:rsidRPr="00D05C85">
        <w:rPr>
          <w:lang w:val="fr-FR"/>
        </w:rPr>
        <w:tab/>
        <w:t xml:space="preserve">Dans le cas où, à la discrétion du demandeur, le feu doit également être homologué avec une ou plusieurs sources lumineuses à DEL de substitution, toutes les mesures photométriques </w:t>
      </w:r>
      <w:r w:rsidR="00910B33">
        <w:rPr>
          <w:lang w:val="fr-FR"/>
        </w:rPr>
        <w:t xml:space="preserve">et </w:t>
      </w:r>
      <w:r w:rsidRPr="00D05C85">
        <w:rPr>
          <w:lang w:val="fr-FR"/>
        </w:rPr>
        <w:t>colorimétriques doivent être répétées sur les sources prescrites.</w:t>
      </w:r>
    </w:p>
    <w:p w14:paraId="55E714A9" w14:textId="77777777" w:rsidR="00AF2126" w:rsidRPr="00D05C85" w:rsidRDefault="00AF2126" w:rsidP="00AF2126">
      <w:pPr>
        <w:pStyle w:val="SingleTxtG"/>
        <w:ind w:left="2268" w:hanging="1134"/>
        <w:rPr>
          <w:color w:val="000000" w:themeColor="text1"/>
          <w:lang w:val="fr-FR"/>
        </w:rPr>
      </w:pPr>
      <w:r w:rsidRPr="00D05C85">
        <w:rPr>
          <w:lang w:val="fr-FR"/>
        </w:rPr>
        <w:t>4.8.1.7</w:t>
      </w:r>
      <w:r w:rsidRPr="00D05C85">
        <w:rPr>
          <w:lang w:val="fr-FR"/>
        </w:rPr>
        <w:tab/>
        <w:t>Sauf indication contraire, les intensités sont mesurées avec la source lumineuse allumée en permanence.</w:t>
      </w:r>
    </w:p>
    <w:p w14:paraId="1D107701" w14:textId="77777777" w:rsidR="00AF2126" w:rsidRPr="00D05C85" w:rsidRDefault="00AF2126" w:rsidP="00AF2126">
      <w:pPr>
        <w:pStyle w:val="SingleTxtG"/>
        <w:ind w:left="2268" w:hanging="1134"/>
        <w:rPr>
          <w:lang w:val="fr-FR"/>
        </w:rPr>
      </w:pPr>
      <w:r w:rsidRPr="00D05C85">
        <w:rPr>
          <w:lang w:val="fr-FR"/>
        </w:rPr>
        <w:t>4.8.1.8</w:t>
      </w:r>
      <w:r w:rsidRPr="00D05C85">
        <w:rPr>
          <w:lang w:val="fr-FR"/>
        </w:rPr>
        <w:tab/>
        <w:t>Afin de prévenir toute contestation des résultats des mesures, il convient d’exécuter celles-ci conformément aux prescriptions suivantes :</w:t>
      </w:r>
    </w:p>
    <w:p w14:paraId="1BB23283" w14:textId="77777777" w:rsidR="00AF2126" w:rsidRPr="00D05C85" w:rsidRDefault="00AF2126" w:rsidP="00AF2126">
      <w:pPr>
        <w:pStyle w:val="SingleTxtG"/>
        <w:ind w:left="2268" w:hanging="1134"/>
        <w:rPr>
          <w:lang w:val="fr-FR"/>
        </w:rPr>
      </w:pPr>
      <w:r w:rsidRPr="00D05C85">
        <w:rPr>
          <w:lang w:val="fr-FR"/>
        </w:rPr>
        <w:t>4.8.1.8.1</w:t>
      </w:r>
      <w:r w:rsidRPr="00D05C85">
        <w:rPr>
          <w:lang w:val="fr-FR"/>
        </w:rPr>
        <w:tab/>
        <w:t>La distance de mesure doit être telle que la loi de l’inverse du carré de la distance soit applicable ;</w:t>
      </w:r>
    </w:p>
    <w:p w14:paraId="1E489A91" w14:textId="19EC25B8" w:rsidR="00AF2126" w:rsidRPr="00D05C85" w:rsidRDefault="00AF2126" w:rsidP="00AF2126">
      <w:pPr>
        <w:pStyle w:val="SingleTxtG"/>
        <w:ind w:left="2268" w:hanging="1134"/>
        <w:rPr>
          <w:lang w:val="fr-FR"/>
        </w:rPr>
      </w:pPr>
      <w:r w:rsidRPr="00D05C85">
        <w:rPr>
          <w:lang w:val="fr-FR"/>
        </w:rPr>
        <w:t>4.8.1.8.2</w:t>
      </w:r>
      <w:r w:rsidRPr="00D05C85">
        <w:rPr>
          <w:lang w:val="fr-FR"/>
        </w:rPr>
        <w:tab/>
        <w:t xml:space="preserve">L’appareillage de mesure doit être tel que l’ouverture angulaire du récepteur vue du centre de référence du feu soit comprise entre 10 minutes d’angle </w:t>
      </w:r>
      <w:r w:rsidR="00910B33">
        <w:rPr>
          <w:lang w:val="fr-FR"/>
        </w:rPr>
        <w:t xml:space="preserve">et </w:t>
      </w:r>
      <w:r w:rsidRPr="00D05C85">
        <w:rPr>
          <w:lang w:val="fr-FR"/>
        </w:rPr>
        <w:t>1 degré ;</w:t>
      </w:r>
    </w:p>
    <w:p w14:paraId="625E7162" w14:textId="77777777" w:rsidR="00AF2126" w:rsidRPr="00D05C85" w:rsidRDefault="00AF2126" w:rsidP="00AF2126">
      <w:pPr>
        <w:pStyle w:val="SingleTxtG"/>
        <w:ind w:left="2268" w:hanging="1134"/>
        <w:rPr>
          <w:lang w:val="fr-FR"/>
        </w:rPr>
      </w:pPr>
      <w:r w:rsidRPr="00D05C85">
        <w:rPr>
          <w:lang w:val="fr-FR"/>
        </w:rPr>
        <w:t>4.8.1.8.3</w:t>
      </w:r>
      <w:r w:rsidRPr="00D05C85">
        <w:rPr>
          <w:lang w:val="fr-FR"/>
        </w:rPr>
        <w:tab/>
        <w:t>L’exigence d’intensité pour une direction d’observation déterminée est jugée satisfaite si cette exigence est réalisée dans une direction ne s’écartant pas de plus d’un quart de degré de la direction d’observation.</w:t>
      </w:r>
    </w:p>
    <w:p w14:paraId="5C30AC18" w14:textId="3FA1F8EB" w:rsidR="00AF2126" w:rsidRPr="00D05C85" w:rsidRDefault="00AF2126" w:rsidP="00AF2126">
      <w:pPr>
        <w:pStyle w:val="SingleTxtG"/>
        <w:ind w:left="2268" w:hanging="1134"/>
        <w:rPr>
          <w:lang w:val="fr-FR"/>
        </w:rPr>
      </w:pPr>
      <w:r w:rsidRPr="00D05C85">
        <w:rPr>
          <w:lang w:val="fr-FR"/>
        </w:rPr>
        <w:t>4.8.1.9</w:t>
      </w:r>
      <w:r w:rsidRPr="00D05C85">
        <w:rPr>
          <w:lang w:val="fr-FR"/>
        </w:rPr>
        <w:tab/>
        <w:t xml:space="preserve">Les limites de la surface apparente dans la direction de l’axe de référence d’un feu de signalisation lumineuse doivent être déterminées. Toutefois, dans le cas des indicateurs de direction des catégories 5 </w:t>
      </w:r>
      <w:r w:rsidR="00910B33">
        <w:rPr>
          <w:lang w:val="fr-FR"/>
        </w:rPr>
        <w:t xml:space="preserve">et </w:t>
      </w:r>
      <w:r w:rsidRPr="00D05C85">
        <w:rPr>
          <w:lang w:val="fr-FR"/>
        </w:rPr>
        <w:t>6, il convient de déterminer les limites de la surface de sortie de la lumière. Cette prescription ne s’applique pas aux feux d’éclairage de la plaque d’immatriculation arrière.</w:t>
      </w:r>
    </w:p>
    <w:p w14:paraId="5246F959" w14:textId="74E11611" w:rsidR="00AF2126" w:rsidRPr="00D05C85" w:rsidRDefault="00AF2126" w:rsidP="00AF2126">
      <w:pPr>
        <w:pStyle w:val="SingleTxtG"/>
        <w:ind w:left="2268" w:hanging="1134"/>
        <w:rPr>
          <w:lang w:val="fr-FR"/>
        </w:rPr>
      </w:pPr>
      <w:r w:rsidRPr="00D05C85">
        <w:rPr>
          <w:lang w:val="fr-FR"/>
        </w:rPr>
        <w:t>4.8.1.10</w:t>
      </w:r>
      <w:r w:rsidRPr="00D05C85">
        <w:rPr>
          <w:lang w:val="fr-FR"/>
        </w:rPr>
        <w:tab/>
        <w:t xml:space="preserve">Dans le cas d’un feu destiné à être monté à l’intérieur du véhicule, le ou les échantillons de vitre fournis (selon le nombre de possibilités) (voir </w:t>
      </w:r>
      <w:r w:rsidR="005B36F1" w:rsidRPr="00D05C85">
        <w:rPr>
          <w:lang w:val="fr-FR"/>
        </w:rPr>
        <w:t>par. </w:t>
      </w:r>
      <w:r w:rsidRPr="00D05C85">
        <w:rPr>
          <w:lang w:val="fr-FR"/>
        </w:rPr>
        <w:t xml:space="preserve">3.1.2.8) doivent être placés devant le feu soumis à l’essai, dans la ou les positions géométriques décrites dans le ou les croquis accompagnant la demande d’homologation (voir </w:t>
      </w:r>
      <w:r w:rsidR="005B36F1" w:rsidRPr="00D05C85">
        <w:rPr>
          <w:lang w:val="fr-FR"/>
        </w:rPr>
        <w:t>par. </w:t>
      </w:r>
      <w:r w:rsidRPr="00D05C85">
        <w:rPr>
          <w:lang w:val="fr-FR"/>
        </w:rPr>
        <w:t>3.1.2.2).</w:t>
      </w:r>
    </w:p>
    <w:p w14:paraId="07D8A300" w14:textId="77777777" w:rsidR="00AF2126" w:rsidRPr="00D05C85" w:rsidRDefault="00AF2126" w:rsidP="00AF2126">
      <w:pPr>
        <w:pStyle w:val="SingleTxtG"/>
        <w:ind w:left="2268" w:hanging="1134"/>
        <w:rPr>
          <w:lang w:val="fr-FR"/>
        </w:rPr>
      </w:pPr>
      <w:r w:rsidRPr="00D05C85">
        <w:rPr>
          <w:lang w:val="fr-FR"/>
        </w:rPr>
        <w:t>4.8.2</w:t>
      </w:r>
      <w:r w:rsidRPr="00D05C85">
        <w:rPr>
          <w:lang w:val="fr-FR"/>
        </w:rPr>
        <w:tab/>
        <w:t>Fonctionnement du feu dans le cadre des essais</w:t>
      </w:r>
    </w:p>
    <w:p w14:paraId="1CF1FE69" w14:textId="6DE7CB86" w:rsidR="00AF2126" w:rsidRPr="00D05C85" w:rsidRDefault="00AF2126" w:rsidP="00AF2126">
      <w:pPr>
        <w:pStyle w:val="SingleTxtG"/>
        <w:ind w:left="2268"/>
        <w:rPr>
          <w:lang w:val="fr-FR"/>
        </w:rPr>
      </w:pPr>
      <w:r w:rsidRPr="00D05C85">
        <w:rPr>
          <w:lang w:val="fr-FR"/>
        </w:rPr>
        <w:t>Sauf indication contraire, la tension fournie au feu doit être de 6,75</w:t>
      </w:r>
      <w:r w:rsidR="005B36F1" w:rsidRPr="00D05C85">
        <w:rPr>
          <w:lang w:val="fr-FR"/>
        </w:rPr>
        <w:t> V</w:t>
      </w:r>
      <w:r w:rsidRPr="00D05C85">
        <w:rPr>
          <w:lang w:val="fr-FR"/>
        </w:rPr>
        <w:t xml:space="preserve"> (circuits 6</w:t>
      </w:r>
      <w:r w:rsidR="005B36F1" w:rsidRPr="00D05C85">
        <w:rPr>
          <w:lang w:val="fr-FR"/>
        </w:rPr>
        <w:t> V</w:t>
      </w:r>
      <w:r w:rsidRPr="00D05C85">
        <w:rPr>
          <w:lang w:val="fr-FR"/>
        </w:rPr>
        <w:t>), de 13,5</w:t>
      </w:r>
      <w:r w:rsidR="005B36F1" w:rsidRPr="00D05C85">
        <w:rPr>
          <w:lang w:val="fr-FR"/>
        </w:rPr>
        <w:t> V</w:t>
      </w:r>
      <w:r w:rsidRPr="00D05C85">
        <w:rPr>
          <w:lang w:val="fr-FR"/>
        </w:rPr>
        <w:t xml:space="preserve"> (circuits 12</w:t>
      </w:r>
      <w:r w:rsidR="005B36F1" w:rsidRPr="00D05C85">
        <w:rPr>
          <w:lang w:val="fr-FR"/>
        </w:rPr>
        <w:t> V</w:t>
      </w:r>
      <w:r w:rsidRPr="00D05C85">
        <w:rPr>
          <w:lang w:val="fr-FR"/>
        </w:rPr>
        <w:t>) ou de 28</w:t>
      </w:r>
      <w:r w:rsidR="005B36F1" w:rsidRPr="00D05C85">
        <w:rPr>
          <w:lang w:val="fr-FR"/>
        </w:rPr>
        <w:t> V</w:t>
      </w:r>
      <w:r w:rsidRPr="00D05C85">
        <w:rPr>
          <w:lang w:val="fr-FR"/>
        </w:rPr>
        <w:t xml:space="preserve"> (circuits 24</w:t>
      </w:r>
      <w:r w:rsidR="005B36F1" w:rsidRPr="00D05C85">
        <w:rPr>
          <w:lang w:val="fr-FR"/>
        </w:rPr>
        <w:t> V</w:t>
      </w:r>
      <w:r w:rsidRPr="00D05C85">
        <w:rPr>
          <w:lang w:val="fr-FR"/>
        </w:rPr>
        <w:t>).</w:t>
      </w:r>
    </w:p>
    <w:p w14:paraId="0AB9B998" w14:textId="77777777" w:rsidR="00AF2126" w:rsidRPr="00D05C85" w:rsidRDefault="00AF2126" w:rsidP="00AF2126">
      <w:pPr>
        <w:pStyle w:val="SingleTxtG"/>
        <w:ind w:left="2268" w:hanging="1134"/>
        <w:rPr>
          <w:lang w:val="fr-FR"/>
        </w:rPr>
      </w:pPr>
      <w:r w:rsidRPr="00D05C85">
        <w:rPr>
          <w:lang w:val="fr-FR"/>
        </w:rPr>
        <w:t>4.8.2.1</w:t>
      </w:r>
      <w:r w:rsidRPr="00D05C85">
        <w:rPr>
          <w:lang w:val="fr-FR"/>
        </w:rPr>
        <w:tab/>
        <w:t>Dans le cas d’un feu contrôlé par un module électronique de régulation de source lumineuse ou par un régulateur d’intensité, on doit faire fonctionner le feu conformément aux indications du demandeur.</w:t>
      </w:r>
    </w:p>
    <w:p w14:paraId="1211BF95" w14:textId="77777777" w:rsidR="00AF2126" w:rsidRPr="00D05C85" w:rsidRDefault="00AF2126" w:rsidP="00AF2126">
      <w:pPr>
        <w:pStyle w:val="SingleTxtG"/>
        <w:ind w:left="2268"/>
        <w:rPr>
          <w:lang w:val="fr-FR"/>
        </w:rPr>
      </w:pPr>
      <w:r w:rsidRPr="00D05C85">
        <w:rPr>
          <w:lang w:val="fr-FR"/>
        </w:rPr>
        <w:t>Le laboratoire d’essai peut exiger que le module électronique de régulation de source lumineuse ou le régulateur d’intensité lui soit fourni.</w:t>
      </w:r>
    </w:p>
    <w:p w14:paraId="4DEF75EB" w14:textId="77777777" w:rsidR="00AF2126" w:rsidRPr="00D05C85" w:rsidRDefault="00AF2126" w:rsidP="00AF2126">
      <w:pPr>
        <w:pStyle w:val="SingleTxtG"/>
        <w:ind w:left="2268" w:hanging="1134"/>
        <w:rPr>
          <w:lang w:val="fr-FR"/>
        </w:rPr>
      </w:pPr>
      <w:r w:rsidRPr="00D05C85">
        <w:rPr>
          <w:lang w:val="fr-FR"/>
        </w:rPr>
        <w:t>4.8.2.2</w:t>
      </w:r>
      <w:r w:rsidRPr="00D05C85">
        <w:rPr>
          <w:lang w:val="fr-FR"/>
        </w:rPr>
        <w:tab/>
        <w:t>Dans le cas d’un feu qui n’est pas contrôlé par un module électronique de régulation de source lumineuse ou par un régulateur d’intensité :</w:t>
      </w:r>
    </w:p>
    <w:p w14:paraId="768B9A73" w14:textId="307FEC5A" w:rsidR="00AF2126" w:rsidRPr="00D05C85" w:rsidRDefault="00AF2126" w:rsidP="00AF2126">
      <w:pPr>
        <w:pStyle w:val="SingleTxtG"/>
        <w:ind w:left="2268" w:hanging="1134"/>
        <w:rPr>
          <w:lang w:val="fr-FR"/>
        </w:rPr>
      </w:pPr>
      <w:r w:rsidRPr="00D05C85">
        <w:rPr>
          <w:lang w:val="fr-FR"/>
        </w:rPr>
        <w:t>4.8.2.2.1</w:t>
      </w:r>
      <w:r w:rsidRPr="00D05C85">
        <w:rPr>
          <w:lang w:val="fr-FR"/>
        </w:rPr>
        <w:tab/>
      </w:r>
      <w:r w:rsidR="00910B33">
        <w:rPr>
          <w:lang w:val="fr-FR"/>
        </w:rPr>
        <w:t xml:space="preserve">Et </w:t>
      </w:r>
      <w:r w:rsidRPr="00D05C85">
        <w:rPr>
          <w:lang w:val="fr-FR"/>
        </w:rPr>
        <w:t>est équipé d’un ou de plusieurs modules d’éclairage ou d’une ou de plusieurs sources lumineuses non remplaçables, on doit faire fonctionner le feu conformément aux indications du demandeur ;</w:t>
      </w:r>
    </w:p>
    <w:p w14:paraId="64B12510" w14:textId="728DECB2" w:rsidR="00AF2126" w:rsidRPr="00D05C85" w:rsidRDefault="00AF2126" w:rsidP="00AF2126">
      <w:pPr>
        <w:pStyle w:val="SingleTxtG"/>
        <w:ind w:left="2268" w:hanging="1134"/>
        <w:rPr>
          <w:lang w:val="fr-FR"/>
        </w:rPr>
      </w:pPr>
      <w:r w:rsidRPr="00D05C85">
        <w:rPr>
          <w:lang w:val="fr-FR"/>
        </w:rPr>
        <w:t>4.8.2.2.2.</w:t>
      </w:r>
      <w:r w:rsidRPr="00D05C85">
        <w:rPr>
          <w:lang w:val="fr-FR"/>
        </w:rPr>
        <w:tab/>
      </w:r>
      <w:r w:rsidR="00910B33">
        <w:rPr>
          <w:lang w:val="fr-FR"/>
        </w:rPr>
        <w:t xml:space="preserve">Et </w:t>
      </w:r>
      <w:r w:rsidRPr="00D05C85">
        <w:rPr>
          <w:lang w:val="fr-FR"/>
        </w:rPr>
        <w:t>est équipé d’une ou de plusieurs sources lumineuses remplaçables approuvées par l’ONU, on doit faire fonctionner la ou les sources lumineuses de manière à produire le flux lumineux de référence (ou flux lumineux normal) ou un flux lumineux différent, auquel cas une correction proportionnelle devra être appliquée aux intensités lumineuses mesurées.</w:t>
      </w:r>
    </w:p>
    <w:p w14:paraId="7AE7B73E" w14:textId="77777777" w:rsidR="00AF2126" w:rsidRPr="00D05C85" w:rsidRDefault="00AF2126" w:rsidP="00AF2126">
      <w:pPr>
        <w:pStyle w:val="SingleTxtG"/>
        <w:ind w:left="2268" w:hanging="1134"/>
        <w:rPr>
          <w:lang w:val="fr-FR"/>
        </w:rPr>
      </w:pPr>
      <w:r w:rsidRPr="00D05C85">
        <w:rPr>
          <w:lang w:val="fr-FR"/>
        </w:rPr>
        <w:t>4.8.2.3</w:t>
      </w:r>
      <w:r w:rsidRPr="00D05C85">
        <w:rPr>
          <w:lang w:val="fr-FR"/>
        </w:rPr>
        <w:tab/>
        <w:t>Dans le cas de feux équipés de plusieurs sources lumineuses remplaçables approuvées par l’ONU :</w:t>
      </w:r>
    </w:p>
    <w:p w14:paraId="266DBCF6" w14:textId="2482AFBF" w:rsidR="00AF2126" w:rsidRPr="00D05C85" w:rsidRDefault="00AF2126" w:rsidP="00AF2126">
      <w:pPr>
        <w:pStyle w:val="SingleTxtG"/>
        <w:ind w:left="2268" w:hanging="1134"/>
        <w:rPr>
          <w:lang w:val="fr-FR"/>
        </w:rPr>
      </w:pPr>
      <w:r w:rsidRPr="00D05C85">
        <w:rPr>
          <w:lang w:val="fr-FR"/>
        </w:rPr>
        <w:t>4.8.2.3.1</w:t>
      </w:r>
      <w:r w:rsidRPr="00D05C85">
        <w:rPr>
          <w:lang w:val="fr-FR"/>
        </w:rPr>
        <w:tab/>
        <w:t xml:space="preserve">Le voltage ou le courant électrique qui alimente les sources lumineuses doit être tel que les flux lumineux produits par les sources lumineuses ne s’écartent pas de plus de 5 % de la valeur moyenne de ces flux lumineux. Les intensités lumineuses mesurées doivent être corrigées proportionnellement pour tenir </w:t>
      </w:r>
      <w:r w:rsidRPr="00D05C85">
        <w:rPr>
          <w:lang w:val="fr-FR"/>
        </w:rPr>
        <w:lastRenderedPageBreak/>
        <w:t xml:space="preserve">compte de la différence entre la valeur moyenne des flux lumineux </w:t>
      </w:r>
      <w:r w:rsidR="00910B33">
        <w:rPr>
          <w:lang w:val="fr-FR"/>
        </w:rPr>
        <w:t xml:space="preserve">et </w:t>
      </w:r>
      <w:r w:rsidRPr="00D05C85">
        <w:rPr>
          <w:lang w:val="fr-FR"/>
        </w:rPr>
        <w:t xml:space="preserve">la valeur applicable du flux lumineux de référence (ou flux lumineux normal) ; </w:t>
      </w:r>
    </w:p>
    <w:p w14:paraId="5AF6F186" w14:textId="77777777" w:rsidR="00AF2126" w:rsidRPr="00D05C85" w:rsidRDefault="00AF2126" w:rsidP="00AF2126">
      <w:pPr>
        <w:pStyle w:val="SingleTxtG"/>
        <w:ind w:left="2268" w:hanging="1134"/>
        <w:rPr>
          <w:lang w:val="fr-FR"/>
        </w:rPr>
      </w:pPr>
      <w:r w:rsidRPr="00D05C85">
        <w:rPr>
          <w:lang w:val="fr-FR"/>
        </w:rPr>
        <w:t>4.8.2.3.2</w:t>
      </w:r>
      <w:r w:rsidRPr="00D05C85">
        <w:rPr>
          <w:lang w:val="fr-FR"/>
        </w:rPr>
        <w:tab/>
        <w:t>L’essai peut aussi consister à utiliser une source lumineuse pour chaque position de la douille en produisant à chaque fois le flux lumineux de référence (ou flux lumineux normal), puis à calculer la somme des intensités lumineuses mesurées pour chaque direction.</w:t>
      </w:r>
    </w:p>
    <w:p w14:paraId="4E9C7872" w14:textId="77777777" w:rsidR="00AF2126" w:rsidRPr="00D05C85" w:rsidRDefault="00AF2126" w:rsidP="00AF2126">
      <w:pPr>
        <w:pStyle w:val="SingleTxtG"/>
        <w:ind w:left="2268" w:hanging="1134"/>
        <w:rPr>
          <w:lang w:val="fr-FR"/>
        </w:rPr>
      </w:pPr>
      <w:r w:rsidRPr="00D05C85">
        <w:rPr>
          <w:lang w:val="fr-FR"/>
        </w:rPr>
        <w:t>4.8.2.4</w:t>
      </w:r>
      <w:r w:rsidRPr="00D05C85">
        <w:rPr>
          <w:lang w:val="fr-FR"/>
        </w:rPr>
        <w:tab/>
        <w:t>L’identification du module électronique de régulation de source lumineuse, le cas échéant, ou du régulateur d’intensité, le cas échéant, et/ou la tension appliquée, ainsi que les tolérances, doivent être consignées dans la fiche de communication figurant à l’annexe 1.</w:t>
      </w:r>
    </w:p>
    <w:p w14:paraId="63C5944A" w14:textId="77777777" w:rsidR="00AF2126" w:rsidRPr="00D05C85" w:rsidRDefault="00AF2126" w:rsidP="00AF2126">
      <w:pPr>
        <w:pStyle w:val="SingleTxtG"/>
        <w:ind w:left="2268" w:hanging="1134"/>
        <w:rPr>
          <w:lang w:val="fr-FR"/>
        </w:rPr>
      </w:pPr>
      <w:r w:rsidRPr="00D05C85">
        <w:rPr>
          <w:lang w:val="fr-FR"/>
        </w:rPr>
        <w:t>4.8.3</w:t>
      </w:r>
      <w:r w:rsidRPr="00D05C85">
        <w:rPr>
          <w:lang w:val="fr-FR"/>
        </w:rPr>
        <w:tab/>
        <w:t>Intensités lumineuses</w:t>
      </w:r>
    </w:p>
    <w:p w14:paraId="2DD6C3C9" w14:textId="77777777" w:rsidR="00AF2126" w:rsidRPr="00D05C85" w:rsidRDefault="00AF2126" w:rsidP="00AF2126">
      <w:pPr>
        <w:pStyle w:val="SingleTxtG"/>
        <w:ind w:left="2268" w:hanging="1134"/>
        <w:rPr>
          <w:snapToGrid w:val="0"/>
          <w:color w:val="000000" w:themeColor="text1"/>
          <w:lang w:val="fr-FR"/>
        </w:rPr>
      </w:pPr>
      <w:r w:rsidRPr="00D05C85">
        <w:rPr>
          <w:lang w:val="fr-FR"/>
        </w:rPr>
        <w:t>4.8.3.1</w:t>
      </w:r>
      <w:r w:rsidRPr="00D05C85">
        <w:rPr>
          <w:lang w:val="fr-FR"/>
        </w:rPr>
        <w:tab/>
        <w:t>Sauf indication contraire, l’intensité de la lumière émise par chacun des deux échantillons fournis ne doit pas :</w:t>
      </w:r>
    </w:p>
    <w:p w14:paraId="2321B4E3" w14:textId="77777777" w:rsidR="00AF2126" w:rsidRPr="00D05C85" w:rsidRDefault="00AF2126" w:rsidP="00AF2126">
      <w:pPr>
        <w:pStyle w:val="SingleTxtG"/>
        <w:spacing w:after="0"/>
        <w:ind w:left="2835" w:hanging="567"/>
        <w:rPr>
          <w:lang w:val="fr-FR"/>
        </w:rPr>
      </w:pPr>
      <w:r w:rsidRPr="00D05C85">
        <w:rPr>
          <w:lang w:val="fr-FR"/>
        </w:rPr>
        <w:t>a)</w:t>
      </w:r>
      <w:r w:rsidRPr="00D05C85">
        <w:rPr>
          <w:lang w:val="fr-FR"/>
        </w:rPr>
        <w:tab/>
        <w:t>Dans l’axe de référence (HV),</w:t>
      </w:r>
    </w:p>
    <w:p w14:paraId="5F252B26" w14:textId="77777777" w:rsidR="00AF2126" w:rsidRPr="00D05C85" w:rsidRDefault="00AF2126" w:rsidP="00AF2126">
      <w:pPr>
        <w:pStyle w:val="SingleTxtG"/>
        <w:ind w:left="2835"/>
        <w:rPr>
          <w:snapToGrid w:val="0"/>
          <w:color w:val="000000" w:themeColor="text1"/>
          <w:lang w:val="fr-FR"/>
        </w:rPr>
      </w:pPr>
      <w:r w:rsidRPr="00D05C85">
        <w:rPr>
          <w:lang w:val="fr-FR"/>
        </w:rPr>
        <w:t>être inférieure à la valeur minimale telle qu’indiquée au paragraphe 5 dans le tableau se rapportant à la fonction considérée ;</w:t>
      </w:r>
    </w:p>
    <w:p w14:paraId="7F103D29" w14:textId="77777777" w:rsidR="005B36F1" w:rsidRPr="00D05C85" w:rsidRDefault="00AF2126" w:rsidP="005B36F1">
      <w:pPr>
        <w:pStyle w:val="SingleTxtG"/>
        <w:spacing w:after="0"/>
        <w:ind w:left="2835" w:hanging="567"/>
        <w:rPr>
          <w:lang w:val="fr-FR"/>
        </w:rPr>
      </w:pPr>
      <w:r w:rsidRPr="00D05C85">
        <w:rPr>
          <w:lang w:val="fr-FR"/>
        </w:rPr>
        <w:t>b)</w:t>
      </w:r>
      <w:r w:rsidRPr="00D05C85">
        <w:rPr>
          <w:lang w:val="fr-FR"/>
        </w:rPr>
        <w:tab/>
        <w:t xml:space="preserve">être supérieure à la valeur maximale, </w:t>
      </w:r>
    </w:p>
    <w:p w14:paraId="2FF543F9" w14:textId="374F7A36" w:rsidR="00AF2126" w:rsidRPr="00D05C85" w:rsidRDefault="00AF2126" w:rsidP="005B36F1">
      <w:pPr>
        <w:pStyle w:val="SingleTxtG"/>
        <w:ind w:left="2835"/>
        <w:rPr>
          <w:snapToGrid w:val="0"/>
          <w:color w:val="000000" w:themeColor="text1"/>
          <w:lang w:val="fr-FR"/>
        </w:rPr>
      </w:pPr>
      <w:r w:rsidRPr="00D05C85">
        <w:rPr>
          <w:lang w:val="fr-FR"/>
        </w:rPr>
        <w:t>telle qu’indiquée au paragraphe 5 dans le tableau se rapportant à la fonction considérée, dans l’une quelconque des directions depuis lesquelles le feu est visible ;</w:t>
      </w:r>
    </w:p>
    <w:p w14:paraId="6F3D61E6" w14:textId="77777777" w:rsidR="00AF2126" w:rsidRPr="00D05C85" w:rsidRDefault="00AF2126" w:rsidP="00AF2126">
      <w:pPr>
        <w:pStyle w:val="SingleTxtG"/>
        <w:ind w:left="2835" w:hanging="567"/>
        <w:rPr>
          <w:lang w:val="fr-FR"/>
        </w:rPr>
      </w:pPr>
      <w:r w:rsidRPr="00D05C85">
        <w:rPr>
          <w:lang w:val="fr-FR"/>
        </w:rPr>
        <w:t>c)</w:t>
      </w:r>
      <w:r w:rsidRPr="00D05C85">
        <w:rPr>
          <w:lang w:val="fr-FR"/>
        </w:rPr>
        <w:tab/>
        <w:t>En dehors de l’axe de référence,</w:t>
      </w:r>
    </w:p>
    <w:p w14:paraId="20E1A879" w14:textId="53C62E76" w:rsidR="00AF2126" w:rsidRPr="00D05C85" w:rsidRDefault="00AF2126" w:rsidP="00AF2126">
      <w:pPr>
        <w:pStyle w:val="SingleTxtG"/>
        <w:ind w:left="3402" w:hanging="567"/>
        <w:rPr>
          <w:snapToGrid w:val="0"/>
          <w:color w:val="000000" w:themeColor="text1"/>
          <w:lang w:val="fr-FR"/>
        </w:rPr>
      </w:pPr>
      <w:r w:rsidRPr="00D05C85">
        <w:rPr>
          <w:lang w:val="fr-FR"/>
        </w:rPr>
        <w:t>-</w:t>
      </w:r>
      <w:r w:rsidRPr="00D05C85">
        <w:rPr>
          <w:lang w:val="fr-FR"/>
        </w:rPr>
        <w:tab/>
        <w:t xml:space="preserve">être inférieure, dans l’une quelconque des directions considérées, au produit du minimum indiqué au paragraphe 5 dans le tableau se rapportant à la fonction considérée </w:t>
      </w:r>
      <w:r w:rsidR="00910B33">
        <w:rPr>
          <w:lang w:val="fr-FR"/>
        </w:rPr>
        <w:t xml:space="preserve">et </w:t>
      </w:r>
      <w:r w:rsidRPr="00D05C85">
        <w:rPr>
          <w:lang w:val="fr-FR"/>
        </w:rPr>
        <w:t>du pourcentage indiqué à l’annexe 3 dans la figure de répartition de la lumière se rapportant à la fonction considérée ; ou</w:t>
      </w:r>
    </w:p>
    <w:p w14:paraId="0C08DD70" w14:textId="77777777" w:rsidR="00AF2126" w:rsidRPr="00D05C85" w:rsidRDefault="00AF2126" w:rsidP="00AF2126">
      <w:pPr>
        <w:pStyle w:val="SingleTxtG"/>
        <w:ind w:left="3402" w:hanging="567"/>
        <w:rPr>
          <w:snapToGrid w:val="0"/>
          <w:lang w:val="fr-FR"/>
        </w:rPr>
      </w:pPr>
      <w:r w:rsidRPr="00D05C85">
        <w:rPr>
          <w:lang w:val="fr-FR"/>
        </w:rPr>
        <w:t>-</w:t>
      </w:r>
      <w:r w:rsidRPr="00D05C85">
        <w:rPr>
          <w:lang w:val="fr-FR"/>
        </w:rPr>
        <w:tab/>
        <w:t>être inférieure, dans l’une quelconque des directions considérées, à l’intensité indiquée à l’annexe 3 dans la figure de répartition de la lumière se rapportant à la fonction considérée ;</w:t>
      </w:r>
    </w:p>
    <w:p w14:paraId="4B23BCFF" w14:textId="77777777" w:rsidR="00AF2126" w:rsidRPr="00D05C85" w:rsidRDefault="00AF2126" w:rsidP="00AF2126">
      <w:pPr>
        <w:pStyle w:val="SingleTxtG"/>
        <w:ind w:left="2835" w:hanging="567"/>
        <w:rPr>
          <w:snapToGrid w:val="0"/>
          <w:color w:val="000000" w:themeColor="text1"/>
          <w:lang w:val="fr-FR"/>
        </w:rPr>
      </w:pPr>
      <w:r w:rsidRPr="00D05C85">
        <w:rPr>
          <w:lang w:val="fr-FR"/>
        </w:rPr>
        <w:t>d)</w:t>
      </w:r>
      <w:r w:rsidRPr="00D05C85">
        <w:rPr>
          <w:lang w:val="fr-FR"/>
        </w:rPr>
        <w:tab/>
        <w:t>Sous les angles de visibilité géométrique définis dans les tableaux figurant à l’annexe 2, être inférieure à la valeur minimale telle qu’indiquée au paragraphe 5 dans le tableau se rapportant à la fonction considérée.</w:t>
      </w:r>
    </w:p>
    <w:p w14:paraId="35165C07" w14:textId="77777777" w:rsidR="00AF2126" w:rsidRPr="00D05C85" w:rsidRDefault="00AF2126" w:rsidP="00AF2126">
      <w:pPr>
        <w:pStyle w:val="SingleTxtG"/>
        <w:ind w:left="2268"/>
        <w:rPr>
          <w:snapToGrid w:val="0"/>
          <w:lang w:val="fr-FR"/>
        </w:rPr>
      </w:pPr>
      <w:r w:rsidRPr="00D05C85">
        <w:rPr>
          <w:lang w:val="fr-FR"/>
        </w:rPr>
        <w:t>Les prescriptions des paragraphes pertinents de l’annexe 3 sur les variations locales d’intensité doivent être respectées.</w:t>
      </w:r>
    </w:p>
    <w:p w14:paraId="35D546C5" w14:textId="22A2447A" w:rsidR="00AF2126" w:rsidRPr="00D05C85" w:rsidRDefault="00AF2126" w:rsidP="00AF2126">
      <w:pPr>
        <w:pStyle w:val="SingleTxtG"/>
        <w:ind w:left="2268" w:hanging="1134"/>
        <w:rPr>
          <w:bCs/>
          <w:snapToGrid w:val="0"/>
          <w:lang w:val="fr-FR"/>
        </w:rPr>
      </w:pPr>
      <w:r w:rsidRPr="00D05C85">
        <w:rPr>
          <w:lang w:val="fr-FR"/>
        </w:rPr>
        <w:t>4.8.3.1.1</w:t>
      </w:r>
      <w:r w:rsidRPr="00D05C85">
        <w:rPr>
          <w:lang w:val="fr-FR"/>
        </w:rPr>
        <w:tab/>
        <w:t>En outre, pour vérifier que la visibilité de la lumière rouge vers l’avant du véhicule et/ou de la lumière blanche vers l’arrière est conforme au Règlement ONU n</w:t>
      </w:r>
      <w:r w:rsidRPr="00D05C85">
        <w:rPr>
          <w:vertAlign w:val="superscript"/>
          <w:lang w:val="fr-FR"/>
        </w:rPr>
        <w:t>o</w:t>
      </w:r>
      <w:r w:rsidRPr="00D05C85">
        <w:rPr>
          <w:lang w:val="fr-FR"/>
        </w:rPr>
        <w:t xml:space="preserve"> 48, le demandeur peut demander qu’un essai supplémentaire soit réalisé afin de montrer que, dans les champs angulaires compris entre 165° </w:t>
      </w:r>
      <w:r w:rsidR="00910B33">
        <w:rPr>
          <w:lang w:val="fr-FR"/>
        </w:rPr>
        <w:t xml:space="preserve">et </w:t>
      </w:r>
      <w:r w:rsidRPr="00D05C85">
        <w:rPr>
          <w:lang w:val="fr-FR"/>
        </w:rPr>
        <w:t xml:space="preserve">180° vers l’extérieur dans la direction horizontale </w:t>
      </w:r>
      <w:r w:rsidR="00910B33">
        <w:rPr>
          <w:lang w:val="fr-FR"/>
        </w:rPr>
        <w:t xml:space="preserve">et </w:t>
      </w:r>
      <w:r w:rsidRPr="00D05C85">
        <w:rPr>
          <w:lang w:val="fr-FR"/>
        </w:rPr>
        <w:t xml:space="preserve">entre -2,5° </w:t>
      </w:r>
      <w:r w:rsidR="00910B33">
        <w:rPr>
          <w:lang w:val="fr-FR"/>
        </w:rPr>
        <w:t xml:space="preserve">et </w:t>
      </w:r>
      <w:r w:rsidRPr="00D05C85">
        <w:rPr>
          <w:lang w:val="fr-FR"/>
        </w:rPr>
        <w:t>+5° dans la direction verticale, l’intensité maximale n’est pas supérieure à 2,5∙10</w:t>
      </w:r>
      <w:r w:rsidRPr="00D05C85">
        <w:rPr>
          <w:vertAlign w:val="superscript"/>
          <w:lang w:val="fr-FR"/>
        </w:rPr>
        <w:t xml:space="preserve">-1 </w:t>
      </w:r>
      <w:r w:rsidRPr="00D05C85">
        <w:rPr>
          <w:lang w:val="fr-FR"/>
        </w:rPr>
        <w:t>cd. C</w:t>
      </w:r>
      <w:r w:rsidR="00910B33">
        <w:rPr>
          <w:lang w:val="fr-FR"/>
        </w:rPr>
        <w:t xml:space="preserve">et </w:t>
      </w:r>
      <w:r w:rsidRPr="00D05C85">
        <w:rPr>
          <w:lang w:val="fr-FR"/>
        </w:rPr>
        <w:t>essai supplémentaire peut être réalisé compte tenu de l’influence de la carrosserie du véhicule.</w:t>
      </w:r>
    </w:p>
    <w:p w14:paraId="5208BF51" w14:textId="4D577C96" w:rsidR="00AF2126" w:rsidRPr="00D05C85" w:rsidRDefault="00AF2126" w:rsidP="00AF2126">
      <w:pPr>
        <w:pStyle w:val="SingleTxtG"/>
        <w:ind w:left="2268" w:hanging="1134"/>
        <w:rPr>
          <w:lang w:val="fr-FR"/>
        </w:rPr>
      </w:pPr>
      <w:r w:rsidRPr="00D05C85">
        <w:rPr>
          <w:lang w:val="fr-FR"/>
        </w:rPr>
        <w:t>4.8.3.2</w:t>
      </w:r>
      <w:r w:rsidRPr="00D05C85">
        <w:rPr>
          <w:lang w:val="fr-FR"/>
        </w:rPr>
        <w:tab/>
        <w:t xml:space="preserve">Lorsqu’un assemblage de deux feux indépendants, destinés à être homologués en tant que feux marqués “D” </w:t>
      </w:r>
      <w:r w:rsidR="00910B33">
        <w:rPr>
          <w:lang w:val="fr-FR"/>
        </w:rPr>
        <w:t xml:space="preserve">et </w:t>
      </w:r>
      <w:r w:rsidRPr="00D05C85">
        <w:rPr>
          <w:lang w:val="fr-FR"/>
        </w:rPr>
        <w:t>ayant la même fonction, est censé être un feu simple, il doit satisfaire aux prescriptions relatives :</w:t>
      </w:r>
    </w:p>
    <w:p w14:paraId="34A078C4" w14:textId="77777777" w:rsidR="00AF2126" w:rsidRPr="00D05C85" w:rsidRDefault="00AF2126" w:rsidP="00AF2126">
      <w:pPr>
        <w:pStyle w:val="SingleTxtG"/>
        <w:ind w:left="2835" w:hanging="567"/>
        <w:rPr>
          <w:lang w:val="fr-FR"/>
        </w:rPr>
      </w:pPr>
      <w:r w:rsidRPr="00D05C85">
        <w:rPr>
          <w:lang w:val="fr-FR"/>
        </w:rPr>
        <w:t>a)</w:t>
      </w:r>
      <w:r w:rsidRPr="00D05C85">
        <w:rPr>
          <w:lang w:val="fr-FR"/>
        </w:rPr>
        <w:tab/>
        <w:t>À l’intensité maximale lorsque tous les feux sont allumés ;</w:t>
      </w:r>
    </w:p>
    <w:p w14:paraId="0B45D817" w14:textId="77777777" w:rsidR="00AF2126" w:rsidRPr="00D05C85" w:rsidRDefault="00AF2126" w:rsidP="00AF2126">
      <w:pPr>
        <w:pStyle w:val="SingleTxtG"/>
        <w:ind w:left="2835" w:hanging="567"/>
        <w:rPr>
          <w:lang w:val="fr-FR"/>
        </w:rPr>
      </w:pPr>
      <w:r w:rsidRPr="00D05C85">
        <w:rPr>
          <w:lang w:val="fr-FR"/>
        </w:rPr>
        <w:t>b)</w:t>
      </w:r>
      <w:r w:rsidRPr="00D05C85">
        <w:rPr>
          <w:lang w:val="fr-FR"/>
        </w:rPr>
        <w:tab/>
        <w:t>À l’intensité minimale lorsque l’un des deux feux est défectueux.</w:t>
      </w:r>
    </w:p>
    <w:p w14:paraId="117F9884" w14:textId="77777777" w:rsidR="00AF2126" w:rsidRPr="00D05C85" w:rsidRDefault="00AF2126" w:rsidP="005B36F1">
      <w:pPr>
        <w:pStyle w:val="SingleTxtG"/>
        <w:keepNext/>
        <w:ind w:left="2268" w:hanging="1134"/>
        <w:rPr>
          <w:lang w:val="fr-FR"/>
        </w:rPr>
      </w:pPr>
      <w:r w:rsidRPr="00D05C85">
        <w:rPr>
          <w:lang w:val="fr-FR"/>
        </w:rPr>
        <w:lastRenderedPageBreak/>
        <w:t>4.8.3.3</w:t>
      </w:r>
      <w:r w:rsidRPr="00D05C85">
        <w:rPr>
          <w:lang w:val="fr-FR"/>
        </w:rPr>
        <w:tab/>
        <w:t>Un système de feux interdépendants doit satisfaire aux prescriptions quand tous les feux interdépendants qui le composent fonctionnent simultanément.</w:t>
      </w:r>
    </w:p>
    <w:p w14:paraId="670AAF3B" w14:textId="77777777" w:rsidR="00AF2126" w:rsidRPr="00D05C85" w:rsidRDefault="00AF2126" w:rsidP="00AF2126">
      <w:pPr>
        <w:pStyle w:val="SingleTxtG"/>
        <w:keepNext/>
        <w:ind w:left="2268"/>
        <w:rPr>
          <w:lang w:val="fr-FR"/>
        </w:rPr>
      </w:pPr>
      <w:r w:rsidRPr="00D05C85">
        <w:rPr>
          <w:lang w:val="fr-FR"/>
        </w:rPr>
        <w:t>Cependant :</w:t>
      </w:r>
    </w:p>
    <w:p w14:paraId="1FF15BE1" w14:textId="7C29849C" w:rsidR="00AF2126" w:rsidRPr="00D05C85" w:rsidRDefault="00AF2126" w:rsidP="00AF2126">
      <w:pPr>
        <w:pStyle w:val="SingleTxtG"/>
        <w:ind w:left="2835" w:hanging="567"/>
        <w:rPr>
          <w:lang w:val="fr-FR"/>
        </w:rPr>
      </w:pPr>
      <w:r w:rsidRPr="00D05C85">
        <w:rPr>
          <w:lang w:val="fr-FR"/>
        </w:rPr>
        <w:t>a)</w:t>
      </w:r>
      <w:r w:rsidRPr="00D05C85">
        <w:rPr>
          <w:lang w:val="fr-FR"/>
        </w:rPr>
        <w:tab/>
        <w:t xml:space="preserve">Si le système de feux interdépendants assurant la fonction de feu de position arrière est monté partiellement sur une partie fixe </w:t>
      </w:r>
      <w:r w:rsidR="00910B33">
        <w:rPr>
          <w:lang w:val="fr-FR"/>
        </w:rPr>
        <w:t xml:space="preserve">et </w:t>
      </w:r>
      <w:r w:rsidRPr="00D05C85">
        <w:rPr>
          <w:lang w:val="fr-FR"/>
        </w:rPr>
        <w:t xml:space="preserve">partiellement sur une partie mobile, le ou les feux interdépendants définis par le demandeur doivent satisfaire à toutes les prescriptions concernant la visibilité géométrique vers l’extérieur </w:t>
      </w:r>
      <w:r w:rsidR="00910B33">
        <w:rPr>
          <w:lang w:val="fr-FR"/>
        </w:rPr>
        <w:t xml:space="preserve">et </w:t>
      </w:r>
      <w:r w:rsidRPr="00D05C85">
        <w:rPr>
          <w:lang w:val="fr-FR"/>
        </w:rPr>
        <w:t xml:space="preserve">les caractéristiques colorimétriques </w:t>
      </w:r>
      <w:r w:rsidR="00910B33">
        <w:rPr>
          <w:lang w:val="fr-FR"/>
        </w:rPr>
        <w:t xml:space="preserve">et </w:t>
      </w:r>
      <w:r w:rsidRPr="00D05C85">
        <w:rPr>
          <w:lang w:val="fr-FR"/>
        </w:rPr>
        <w:t>photométriques applicables, dans toutes les positions fixes de la ou des parties mobiles. Dans ce cas, il est considéré que les prescriptions concernant la visibilité géométrique vers l’intérieur sont respectées lorsque ce ou ces feux interdépendants restent conformes aux valeurs photométriques prescrites dans le champ de répartition de la lumière pour l’homologation du dispositif, dans toutes les positions fixes de la ou des parties mobiles ;</w:t>
      </w:r>
    </w:p>
    <w:p w14:paraId="095E7A5E" w14:textId="026EDE85" w:rsidR="00AF2126" w:rsidRPr="00D05C85" w:rsidRDefault="00AF2126" w:rsidP="00AF2126">
      <w:pPr>
        <w:pStyle w:val="SingleTxtG"/>
        <w:ind w:left="2835" w:hanging="567"/>
        <w:rPr>
          <w:lang w:val="fr-FR"/>
        </w:rPr>
      </w:pPr>
      <w:r w:rsidRPr="00D05C85">
        <w:rPr>
          <w:lang w:val="fr-FR"/>
        </w:rPr>
        <w:t>b)</w:t>
      </w:r>
      <w:r w:rsidRPr="00D05C85">
        <w:rPr>
          <w:lang w:val="fr-FR"/>
        </w:rPr>
        <w:tab/>
        <w:t xml:space="preserve">Si le système de feux interdépendants assurant la fonction de feu indicateur de direction arrière est monté partiellement sur une partie fixe </w:t>
      </w:r>
      <w:r w:rsidR="00910B33">
        <w:rPr>
          <w:lang w:val="fr-FR"/>
        </w:rPr>
        <w:t xml:space="preserve">et </w:t>
      </w:r>
      <w:r w:rsidRPr="00D05C85">
        <w:rPr>
          <w:lang w:val="fr-FR"/>
        </w:rPr>
        <w:t xml:space="preserve">partiellement sur une partie mobile, le ou les feux interdépendants indiqués par le demandeur doivent satisfaire aux prescriptions concernant la visibilité géométrique </w:t>
      </w:r>
      <w:r w:rsidR="00910B33">
        <w:rPr>
          <w:lang w:val="fr-FR"/>
        </w:rPr>
        <w:t xml:space="preserve">et </w:t>
      </w:r>
      <w:r w:rsidRPr="00D05C85">
        <w:rPr>
          <w:lang w:val="fr-FR"/>
        </w:rPr>
        <w:t xml:space="preserve">les caractéristiques colorimétriques </w:t>
      </w:r>
      <w:r w:rsidR="00910B33">
        <w:rPr>
          <w:lang w:val="fr-FR"/>
        </w:rPr>
        <w:t xml:space="preserve">et </w:t>
      </w:r>
      <w:r w:rsidRPr="00D05C85">
        <w:rPr>
          <w:lang w:val="fr-FR"/>
        </w:rPr>
        <w:t xml:space="preserve">photométriques applicables, dans toutes les positions fixes de la ou des parties mobiles. Cela ne s’applique pas lorsque des feux supplémentaires sont allumés pour assurer l’angle de visibilité géométrique dans toutes les positions fixes du ou des éléments mobiles, pour autant que ces feux supplémentaires satisfassent à toutes les prescriptions concernant l’emplacement ainsi que les caractéristiques photométriques </w:t>
      </w:r>
      <w:r w:rsidR="00910B33">
        <w:rPr>
          <w:lang w:val="fr-FR"/>
        </w:rPr>
        <w:t xml:space="preserve">et </w:t>
      </w:r>
      <w:r w:rsidRPr="00D05C85">
        <w:rPr>
          <w:lang w:val="fr-FR"/>
        </w:rPr>
        <w:t>colorimétriques applicables aux feux indicateurs de direction installés sur l’élément mobile.</w:t>
      </w:r>
    </w:p>
    <w:p w14:paraId="08892166" w14:textId="77777777" w:rsidR="00AF2126" w:rsidRPr="00D05C85" w:rsidRDefault="00AF2126" w:rsidP="00AF2126">
      <w:pPr>
        <w:pStyle w:val="SingleTxtG"/>
        <w:ind w:left="2268" w:hanging="1134"/>
        <w:rPr>
          <w:color w:val="000000" w:themeColor="text1"/>
          <w:lang w:val="fr-FR"/>
        </w:rPr>
      </w:pPr>
      <w:r w:rsidRPr="00D05C85">
        <w:rPr>
          <w:lang w:val="fr-FR"/>
        </w:rPr>
        <w:t>4.8.3.4</w:t>
      </w:r>
      <w:r w:rsidRPr="00D05C85">
        <w:rPr>
          <w:lang w:val="fr-FR"/>
        </w:rPr>
        <w:tab/>
        <w:t>Le régulateur d’intensité ne doit pas produire de signaux générant des intensités lumineuses qui :</w:t>
      </w:r>
    </w:p>
    <w:p w14:paraId="0FD2F0D8" w14:textId="77777777" w:rsidR="00AF2126" w:rsidRPr="00D05C85" w:rsidRDefault="00AF2126" w:rsidP="00AF2126">
      <w:pPr>
        <w:pStyle w:val="SingleTxtG"/>
        <w:ind w:left="2268" w:hanging="1134"/>
        <w:rPr>
          <w:bCs/>
          <w:snapToGrid w:val="0"/>
          <w:lang w:val="fr-FR"/>
        </w:rPr>
      </w:pPr>
      <w:r w:rsidRPr="00D05C85">
        <w:rPr>
          <w:lang w:val="fr-FR"/>
        </w:rPr>
        <w:t>4.8.3.4.1</w:t>
      </w:r>
      <w:r w:rsidRPr="00D05C85">
        <w:rPr>
          <w:lang w:val="fr-FR"/>
        </w:rPr>
        <w:tab/>
        <w:t xml:space="preserve">Dépassent les valeurs définies au paragraphe 5 ; </w:t>
      </w:r>
    </w:p>
    <w:p w14:paraId="2A6E3715" w14:textId="77777777" w:rsidR="00AF2126" w:rsidRPr="00D05C85" w:rsidRDefault="00AF2126" w:rsidP="00AF2126">
      <w:pPr>
        <w:pStyle w:val="SingleTxtG"/>
        <w:ind w:left="2268" w:hanging="1134"/>
        <w:rPr>
          <w:lang w:val="fr-FR"/>
        </w:rPr>
      </w:pPr>
      <w:r w:rsidRPr="00D05C85">
        <w:rPr>
          <w:lang w:val="fr-FR"/>
        </w:rPr>
        <w:t>4.8.3.4.2</w:t>
      </w:r>
      <w:r w:rsidRPr="00D05C85">
        <w:rPr>
          <w:lang w:val="fr-FR"/>
        </w:rPr>
        <w:tab/>
        <w:t>Dépassent l’intensité lumineuse constante maximale définie au paragraphe 5 pour le feu dont il s’agit :</w:t>
      </w:r>
    </w:p>
    <w:p w14:paraId="6143E556" w14:textId="30EF9EAA" w:rsidR="00AF2126" w:rsidRPr="00D05C85" w:rsidRDefault="00AF2126" w:rsidP="00AF2126">
      <w:pPr>
        <w:pStyle w:val="SingleTxtG"/>
        <w:ind w:left="2835" w:hanging="567"/>
        <w:rPr>
          <w:lang w:val="fr-FR"/>
        </w:rPr>
      </w:pPr>
      <w:r w:rsidRPr="00D05C85">
        <w:rPr>
          <w:lang w:val="fr-FR"/>
        </w:rPr>
        <w:t>a)</w:t>
      </w:r>
      <w:r w:rsidRPr="00D05C85">
        <w:rPr>
          <w:lang w:val="fr-FR"/>
        </w:rPr>
        <w:tab/>
        <w:t xml:space="preserve">Dans le cas des feux à deux niveaux d’intensité (un pour le jour </w:t>
      </w:r>
      <w:r w:rsidR="00910B33">
        <w:rPr>
          <w:lang w:val="fr-FR"/>
        </w:rPr>
        <w:t xml:space="preserve">et </w:t>
      </w:r>
      <w:r w:rsidRPr="00D05C85">
        <w:rPr>
          <w:lang w:val="fr-FR"/>
        </w:rPr>
        <w:t>un pour la nuit), en position “nuit” ;</w:t>
      </w:r>
    </w:p>
    <w:p w14:paraId="04C203BD" w14:textId="77777777" w:rsidR="00AF2126" w:rsidRPr="00D05C85" w:rsidRDefault="00AF2126" w:rsidP="00AF2126">
      <w:pPr>
        <w:pStyle w:val="SingleTxtG"/>
        <w:ind w:left="2835" w:hanging="567"/>
        <w:rPr>
          <w:lang w:val="fr-FR"/>
        </w:rPr>
      </w:pPr>
      <w:r w:rsidRPr="00D05C85">
        <w:rPr>
          <w:lang w:val="fr-FR"/>
        </w:rPr>
        <w:t>b)</w:t>
      </w:r>
      <w:r w:rsidRPr="00D05C85">
        <w:rPr>
          <w:lang w:val="fr-FR"/>
        </w:rPr>
        <w:tab/>
        <w:t>Dans le cas des autres feux, en conditions normales</w:t>
      </w:r>
      <w:r w:rsidRPr="00D05C85">
        <w:rPr>
          <w:rStyle w:val="Appelnotedebasdep"/>
          <w:lang w:val="fr-FR"/>
        </w:rPr>
        <w:footnoteReference w:id="4"/>
      </w:r>
      <w:r w:rsidRPr="00D05C85">
        <w:rPr>
          <w:lang w:val="fr-FR"/>
        </w:rPr>
        <w:t>.</w:t>
      </w:r>
    </w:p>
    <w:p w14:paraId="221627ED" w14:textId="6EAC0A7B" w:rsidR="00AF2126" w:rsidRPr="00D05C85" w:rsidRDefault="00AF2126" w:rsidP="00AF2126">
      <w:pPr>
        <w:pStyle w:val="SingleTxtG"/>
        <w:ind w:left="2268" w:hanging="1134"/>
        <w:rPr>
          <w:lang w:val="fr-FR"/>
        </w:rPr>
      </w:pPr>
      <w:r w:rsidRPr="00D05C85">
        <w:rPr>
          <w:lang w:val="fr-FR"/>
        </w:rPr>
        <w:t>4.8.3.5</w:t>
      </w:r>
      <w:r w:rsidRPr="00D05C85">
        <w:rPr>
          <w:lang w:val="fr-FR"/>
        </w:rPr>
        <w:tab/>
        <w:t xml:space="preserve">Si un feu de position arrière ou un feu d’encombrement arrière est mutuellement incorporé dans un feu-stop produisant une lumière d’une intensité constante ou variable, le rapport entre les intensités lumineuses effectivement mesurées sur les deux feux lorsqu’ils sont allumés simultanément </w:t>
      </w:r>
      <w:r w:rsidR="00910B33">
        <w:rPr>
          <w:lang w:val="fr-FR"/>
        </w:rPr>
        <w:t xml:space="preserve">et </w:t>
      </w:r>
      <w:r w:rsidRPr="00D05C85">
        <w:rPr>
          <w:lang w:val="fr-FR"/>
        </w:rPr>
        <w:t>l’intensité du feu de position arrière ou du feu d’encombrement lorsqu’ils sont allumés seuls doit être au minimum de 5:1 dans le champ délimité par les droites horizontales passant par ±5</w:t>
      </w:r>
      <w:r w:rsidR="005B36F1" w:rsidRPr="00D05C85">
        <w:rPr>
          <w:lang w:val="fr-FR"/>
        </w:rPr>
        <w:t> </w:t>
      </w:r>
      <w:r w:rsidRPr="00D05C85">
        <w:rPr>
          <w:lang w:val="fr-FR"/>
        </w:rPr>
        <w:t xml:space="preserve">°V </w:t>
      </w:r>
      <w:r w:rsidR="00910B33">
        <w:rPr>
          <w:lang w:val="fr-FR"/>
        </w:rPr>
        <w:t xml:space="preserve">et </w:t>
      </w:r>
      <w:r w:rsidRPr="00D05C85">
        <w:rPr>
          <w:lang w:val="fr-FR"/>
        </w:rPr>
        <w:t>les droites verticales passant par ±10</w:t>
      </w:r>
      <w:r w:rsidR="005B36F1" w:rsidRPr="00D05C85">
        <w:rPr>
          <w:lang w:val="fr-FR"/>
        </w:rPr>
        <w:t> </w:t>
      </w:r>
      <w:r w:rsidRPr="00D05C85">
        <w:rPr>
          <w:lang w:val="fr-FR"/>
        </w:rPr>
        <w:t>°H de la grille de répartition de la lumière.</w:t>
      </w:r>
    </w:p>
    <w:p w14:paraId="470686C3" w14:textId="7B95068A" w:rsidR="00AF2126" w:rsidRPr="00D05C85" w:rsidRDefault="00AF2126" w:rsidP="00AF2126">
      <w:pPr>
        <w:pStyle w:val="SingleTxtG"/>
        <w:ind w:left="2268"/>
        <w:rPr>
          <w:lang w:val="fr-FR"/>
        </w:rPr>
      </w:pPr>
      <w:r w:rsidRPr="00D05C85">
        <w:rPr>
          <w:lang w:val="fr-FR"/>
        </w:rPr>
        <w:t xml:space="preserve">Si le feu de position arrière ou le feu-stop, ou encore les deux à la fois, contiennent plus d’une source lumineuse </w:t>
      </w:r>
      <w:r w:rsidR="00910B33">
        <w:rPr>
          <w:lang w:val="fr-FR"/>
        </w:rPr>
        <w:t xml:space="preserve">et </w:t>
      </w:r>
      <w:r w:rsidRPr="00D05C85">
        <w:rPr>
          <w:lang w:val="fr-FR"/>
        </w:rPr>
        <w:t>sont considérés comme un feu unique, les valeurs à prendre en considération sont celles qui sont obtenues lorsque toutes les sources lumineuses sont allumées.</w:t>
      </w:r>
    </w:p>
    <w:p w14:paraId="606CD49C" w14:textId="77777777" w:rsidR="00AF2126" w:rsidRPr="00D05C85" w:rsidRDefault="00AF2126" w:rsidP="00AF2126">
      <w:pPr>
        <w:pStyle w:val="SingleTxtG"/>
        <w:ind w:left="2268" w:hanging="1134"/>
        <w:rPr>
          <w:lang w:val="fr-FR"/>
        </w:rPr>
      </w:pPr>
      <w:r w:rsidRPr="00D05C85">
        <w:rPr>
          <w:lang w:val="fr-FR"/>
        </w:rPr>
        <w:lastRenderedPageBreak/>
        <w:t>4.8.3.6</w:t>
      </w:r>
      <w:r w:rsidRPr="00D05C85">
        <w:rPr>
          <w:lang w:val="fr-FR"/>
        </w:rPr>
        <w:tab/>
        <w:t>Les essais de contrôle de la conformité des intensités lumineuses doivent être réalisés conformément aux prescriptions de l’annexe 8.</w:t>
      </w:r>
      <w:bookmarkStart w:id="12" w:name="_Hlk66193647"/>
      <w:bookmarkEnd w:id="12"/>
    </w:p>
    <w:p w14:paraId="4A25427B" w14:textId="77777777" w:rsidR="00AF2126" w:rsidRPr="00D05C85" w:rsidRDefault="00AF2126" w:rsidP="00AF2126">
      <w:pPr>
        <w:pStyle w:val="SingleTxtG"/>
        <w:keepNext/>
        <w:ind w:left="2268" w:hanging="1134"/>
        <w:rPr>
          <w:lang w:val="fr-FR"/>
        </w:rPr>
      </w:pPr>
      <w:r w:rsidRPr="00D05C85">
        <w:rPr>
          <w:lang w:val="fr-FR"/>
        </w:rPr>
        <w:t>4.9</w:t>
      </w:r>
      <w:r w:rsidRPr="00D05C85">
        <w:rPr>
          <w:lang w:val="fr-FR"/>
        </w:rPr>
        <w:tab/>
        <w:t>Couleur de la lumière émise</w:t>
      </w:r>
    </w:p>
    <w:p w14:paraId="12745269" w14:textId="77777777" w:rsidR="00AF2126" w:rsidRPr="00D05C85" w:rsidRDefault="00AF2126" w:rsidP="00AF2126">
      <w:pPr>
        <w:pStyle w:val="SingleTxtG"/>
        <w:ind w:left="2268"/>
        <w:rPr>
          <w:lang w:val="fr-FR"/>
        </w:rPr>
      </w:pPr>
      <w:r w:rsidRPr="00D05C85">
        <w:rPr>
          <w:lang w:val="fr-FR"/>
        </w:rPr>
        <w:tab/>
        <w:t>La couleur de la lumière émise doit être mesurée à l’intérieur du champ de la grille de répartition de la lumière définie pour la fonction décrite dans le paragraphe correspondant de l’annexe 3. Pour vérifier ces caractéristiques colorimétriques, on applique la procédure décrite au paragraphe 4.8. En dehors du champ, on ne doit pas constater de forte variation de couleur.</w:t>
      </w:r>
    </w:p>
    <w:p w14:paraId="138A44F0" w14:textId="77777777" w:rsidR="00AF2126" w:rsidRPr="00D05C85" w:rsidRDefault="00AF2126" w:rsidP="00AF2126">
      <w:pPr>
        <w:pStyle w:val="SingleTxtG"/>
        <w:ind w:left="2268"/>
        <w:rPr>
          <w:lang w:val="fr-FR"/>
        </w:rPr>
      </w:pPr>
      <w:r w:rsidRPr="00D05C85">
        <w:rPr>
          <w:lang w:val="fr-FR"/>
        </w:rPr>
        <w:tab/>
        <w:t>Cependant, dans le cas des feux équipés de sources lumineuses non remplaçables, les caractéristiques colorimétriques doivent être vérifiées alors que les sources lumineuses sont présentes dans le feu, conformément aux alinéas pertinents du paragraphe 4.8 du présent Règlement.</w:t>
      </w:r>
    </w:p>
    <w:p w14:paraId="3A8366E8" w14:textId="7DBEFF3B" w:rsidR="00AF2126" w:rsidRPr="00D05C85" w:rsidRDefault="00AF2126" w:rsidP="00AF2126">
      <w:pPr>
        <w:pStyle w:val="SingleTxtG"/>
        <w:ind w:left="2268" w:hanging="1134"/>
        <w:rPr>
          <w:lang w:val="fr-FR"/>
        </w:rPr>
      </w:pPr>
      <w:r w:rsidRPr="00D05C85">
        <w:rPr>
          <w:lang w:val="fr-FR"/>
        </w:rPr>
        <w:t>4.9.1</w:t>
      </w:r>
      <w:r w:rsidRPr="00D05C85">
        <w:rPr>
          <w:lang w:val="fr-FR"/>
        </w:rPr>
        <w:tab/>
        <w:t xml:space="preserve">Pour les feux (fonctions) qui produisent la lumière au moyen de plusieurs technologies, les caractéristiques colorimétriques doivent être vérifiées séparément pour chaque technologie conformément aux dispositions applicables des paragraphes 4.8.1 </w:t>
      </w:r>
      <w:r w:rsidR="00910B33">
        <w:rPr>
          <w:lang w:val="fr-FR"/>
        </w:rPr>
        <w:t xml:space="preserve">et </w:t>
      </w:r>
      <w:r w:rsidRPr="00D05C85">
        <w:rPr>
          <w:lang w:val="fr-FR"/>
        </w:rPr>
        <w:t>4.8.2.</w:t>
      </w:r>
    </w:p>
    <w:p w14:paraId="5E0FA334" w14:textId="77777777" w:rsidR="00AF2126" w:rsidRPr="00D05C85" w:rsidRDefault="00AF2126" w:rsidP="00AF2126">
      <w:pPr>
        <w:pStyle w:val="SingleTxtG"/>
        <w:ind w:left="2268"/>
        <w:rPr>
          <w:lang w:val="fr-FR"/>
        </w:rPr>
      </w:pPr>
      <w:r w:rsidRPr="00D05C85">
        <w:rPr>
          <w:lang w:val="fr-FR"/>
        </w:rPr>
        <w:t>Le laboratoire d’essai peut exiger que le demandeur lui fournisse les échantillons nécessaires pour tester les différentes sources lumineuses séparément.</w:t>
      </w:r>
    </w:p>
    <w:p w14:paraId="18F4E253" w14:textId="77777777" w:rsidR="00AF2126" w:rsidRPr="00D05C85" w:rsidRDefault="00AF2126" w:rsidP="00AF2126">
      <w:pPr>
        <w:pStyle w:val="HChG"/>
        <w:tabs>
          <w:tab w:val="clear" w:pos="851"/>
          <w:tab w:val="right" w:pos="1134"/>
        </w:tabs>
        <w:ind w:left="2268"/>
        <w:outlineLvl w:val="0"/>
        <w:rPr>
          <w:rFonts w:eastAsia="Times New Roman"/>
          <w:b w:val="0"/>
          <w:bCs/>
          <w:szCs w:val="28"/>
          <w:lang w:val="fr-FR"/>
        </w:rPr>
      </w:pPr>
      <w:r w:rsidRPr="00D05C85">
        <w:rPr>
          <w:bCs/>
          <w:lang w:val="fr-FR"/>
        </w:rPr>
        <w:t>5.</w:t>
      </w:r>
      <w:r w:rsidRPr="00D05C85">
        <w:rPr>
          <w:lang w:val="fr-FR"/>
        </w:rPr>
        <w:tab/>
      </w:r>
      <w:r w:rsidRPr="00D05C85">
        <w:rPr>
          <w:bCs/>
          <w:lang w:val="fr-FR"/>
        </w:rPr>
        <w:t>Prescriptions techniques particulières</w:t>
      </w:r>
    </w:p>
    <w:p w14:paraId="059B5B3B" w14:textId="5A315230" w:rsidR="00AF2126" w:rsidRPr="00D05C85" w:rsidRDefault="00AF2126" w:rsidP="00AF2126">
      <w:pPr>
        <w:pStyle w:val="SingleTxtG"/>
        <w:ind w:left="2268" w:hanging="1134"/>
        <w:rPr>
          <w:bCs/>
          <w:lang w:val="fr-FR"/>
        </w:rPr>
      </w:pPr>
      <w:r w:rsidRPr="00D05C85">
        <w:rPr>
          <w:lang w:val="fr-FR"/>
        </w:rPr>
        <w:t>5.1</w:t>
      </w:r>
      <w:r w:rsidRPr="00D05C85">
        <w:rPr>
          <w:lang w:val="fr-FR"/>
        </w:rPr>
        <w:tab/>
        <w:t xml:space="preserve">Feux de position avant (A </w:t>
      </w:r>
      <w:r w:rsidR="00910B33">
        <w:rPr>
          <w:lang w:val="fr-FR"/>
        </w:rPr>
        <w:t xml:space="preserve">et </w:t>
      </w:r>
      <w:r w:rsidRPr="00D05C85">
        <w:rPr>
          <w:lang w:val="fr-FR"/>
        </w:rPr>
        <w:t xml:space="preserve">MA) </w:t>
      </w:r>
      <w:r w:rsidR="00910B33">
        <w:rPr>
          <w:lang w:val="fr-FR"/>
        </w:rPr>
        <w:t xml:space="preserve">et </w:t>
      </w:r>
      <w:r w:rsidRPr="00D05C85">
        <w:rPr>
          <w:lang w:val="fr-FR"/>
        </w:rPr>
        <w:t>feux d’encombrement avant (AM)</w:t>
      </w:r>
    </w:p>
    <w:p w14:paraId="34078814" w14:textId="52564133" w:rsidR="00AF2126" w:rsidRPr="00D05C85" w:rsidRDefault="00AF2126" w:rsidP="00AF2126">
      <w:pPr>
        <w:pStyle w:val="SingleTxtG"/>
        <w:ind w:left="2268" w:hanging="1134"/>
        <w:rPr>
          <w:lang w:val="fr-FR"/>
        </w:rPr>
      </w:pPr>
      <w:r w:rsidRPr="00D05C85">
        <w:rPr>
          <w:lang w:val="fr-FR"/>
        </w:rPr>
        <w:t>5.1.1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1FFC3019" w14:textId="77777777" w:rsidR="00AF2126" w:rsidRPr="00D05C85" w:rsidRDefault="00AF2126" w:rsidP="00AF2126">
      <w:pPr>
        <w:pStyle w:val="SingleTxtG"/>
        <w:ind w:left="2268"/>
        <w:rPr>
          <w:lang w:val="fr-FR"/>
        </w:rPr>
      </w:pPr>
      <w:r w:rsidRPr="00D05C85">
        <w:rPr>
          <w:lang w:val="fr-FR"/>
        </w:rPr>
        <w:tab/>
        <w:t>La lumière émise par chacun des deux échantillons fournis doit satisfaire aux prescriptions du tableau 3.</w:t>
      </w:r>
    </w:p>
    <w:p w14:paraId="28CDF7D7" w14:textId="4E69DD28" w:rsidR="00AF2126" w:rsidRPr="00D05C85" w:rsidRDefault="00AF2126" w:rsidP="00AF2126">
      <w:pPr>
        <w:pStyle w:val="Titre1"/>
        <w:tabs>
          <w:tab w:val="left" w:pos="1701"/>
          <w:tab w:val="left" w:pos="2268"/>
          <w:tab w:val="left" w:pos="2835"/>
        </w:tabs>
        <w:spacing w:after="120"/>
        <w:rPr>
          <w:rStyle w:val="Carpredefinitoparagrafo1"/>
          <w:b/>
          <w:bCs/>
          <w:lang w:val="fr-FR"/>
        </w:rPr>
      </w:pPr>
      <w:r w:rsidRPr="00D05C85">
        <w:rPr>
          <w:lang w:val="fr-FR"/>
        </w:rPr>
        <w:t>Tableau 3</w:t>
      </w:r>
      <w:r w:rsidRPr="00D05C85">
        <w:rPr>
          <w:lang w:val="fr-FR"/>
        </w:rPr>
        <w:br/>
      </w:r>
      <w:r w:rsidRPr="00D05C85">
        <w:rPr>
          <w:b/>
          <w:bCs/>
          <w:lang w:val="fr-FR"/>
        </w:rPr>
        <w:t xml:space="preserve">Intensité lumineuse des feux de position avant </w:t>
      </w:r>
      <w:r w:rsidR="00910B33">
        <w:rPr>
          <w:b/>
          <w:bCs/>
          <w:lang w:val="fr-FR"/>
        </w:rPr>
        <w:t xml:space="preserve">et </w:t>
      </w:r>
      <w:r w:rsidRPr="00D05C85">
        <w:rPr>
          <w:b/>
          <w:bCs/>
          <w:lang w:val="fr-FR"/>
        </w:rPr>
        <w:t>des feux d’encombrement avant</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1248"/>
        <w:gridCol w:w="1134"/>
        <w:gridCol w:w="1298"/>
        <w:gridCol w:w="1235"/>
        <w:gridCol w:w="1181"/>
        <w:gridCol w:w="992"/>
      </w:tblGrid>
      <w:tr w:rsidR="00AF2126" w:rsidRPr="00D05C85" w14:paraId="428B024B" w14:textId="77777777" w:rsidTr="00E70082">
        <w:trPr>
          <w:trHeight w:val="397"/>
        </w:trPr>
        <w:tc>
          <w:tcPr>
            <w:tcW w:w="1418" w:type="dxa"/>
            <w:vMerge w:val="restart"/>
            <w:shd w:val="clear" w:color="auto" w:fill="auto"/>
            <w:tcMar>
              <w:top w:w="0" w:type="dxa"/>
              <w:left w:w="5" w:type="dxa"/>
              <w:bottom w:w="0" w:type="dxa"/>
              <w:right w:w="5" w:type="dxa"/>
            </w:tcMar>
            <w:vAlign w:val="bottom"/>
          </w:tcPr>
          <w:p w14:paraId="00A9B4E6" w14:textId="5ABDDA80"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 xml:space="preserve">Feux de position avant </w:t>
            </w:r>
            <w:r w:rsidR="00910B33">
              <w:rPr>
                <w:b/>
                <w:bCs/>
                <w:i/>
                <w:iCs/>
                <w:sz w:val="16"/>
                <w:szCs w:val="16"/>
                <w:lang w:val="fr-FR"/>
              </w:rPr>
              <w:t xml:space="preserve">et </w:t>
            </w:r>
            <w:r w:rsidRPr="00D05C85">
              <w:rPr>
                <w:b/>
                <w:bCs/>
                <w:i/>
                <w:iCs/>
                <w:sz w:val="16"/>
                <w:szCs w:val="16"/>
                <w:lang w:val="fr-FR"/>
              </w:rPr>
              <w:t xml:space="preserve">feux d’encombrement avant </w:t>
            </w:r>
            <w:r w:rsidR="00CF1C7C" w:rsidRPr="00D05C85">
              <w:rPr>
                <w:b/>
                <w:bCs/>
                <w:i/>
                <w:iCs/>
                <w:sz w:val="16"/>
                <w:szCs w:val="16"/>
                <w:lang w:val="fr-FR"/>
              </w:rPr>
              <w:br/>
            </w:r>
            <w:r w:rsidRPr="00D05C85">
              <w:rPr>
                <w:b/>
                <w:bCs/>
                <w:i/>
                <w:iCs/>
                <w:sz w:val="16"/>
                <w:szCs w:val="16"/>
                <w:lang w:val="fr-FR"/>
              </w:rPr>
              <w:t>des catégories</w:t>
            </w:r>
          </w:p>
        </w:tc>
        <w:tc>
          <w:tcPr>
            <w:tcW w:w="1248" w:type="dxa"/>
            <w:vMerge w:val="restart"/>
            <w:shd w:val="clear" w:color="auto" w:fill="auto"/>
            <w:tcMar>
              <w:top w:w="15" w:type="dxa"/>
              <w:left w:w="15" w:type="dxa"/>
              <w:bottom w:w="0" w:type="dxa"/>
              <w:right w:w="15" w:type="dxa"/>
            </w:tcMar>
            <w:vAlign w:val="bottom"/>
          </w:tcPr>
          <w:p w14:paraId="098D7B1A" w14:textId="6A6BA1B5"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Intensité lumineuse minimale en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a))</w:t>
            </w:r>
          </w:p>
        </w:tc>
        <w:tc>
          <w:tcPr>
            <w:tcW w:w="2432" w:type="dxa"/>
            <w:gridSpan w:val="2"/>
            <w:shd w:val="clear" w:color="auto" w:fill="auto"/>
            <w:tcMar>
              <w:top w:w="15" w:type="dxa"/>
              <w:left w:w="15" w:type="dxa"/>
              <w:bottom w:w="0" w:type="dxa"/>
              <w:right w:w="15" w:type="dxa"/>
            </w:tcMar>
            <w:vAlign w:val="bottom"/>
          </w:tcPr>
          <w:p w14:paraId="13B859FC" w14:textId="5778AA05"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 xml:space="preserve">Intensité lumineuse maximale </w:t>
            </w:r>
            <w:r w:rsidR="00CF1C7C" w:rsidRPr="00D05C85">
              <w:rPr>
                <w:b/>
                <w:bCs/>
                <w:i/>
                <w:iCs/>
                <w:sz w:val="16"/>
                <w:szCs w:val="16"/>
                <w:lang w:val="fr-FR"/>
              </w:rPr>
              <w:br/>
            </w:r>
            <w:r w:rsidRPr="00D05C85">
              <w:rPr>
                <w:b/>
                <w:bCs/>
                <w:i/>
                <w:iCs/>
                <w:sz w:val="16"/>
                <w:szCs w:val="16"/>
                <w:lang w:val="fr-FR"/>
              </w:rPr>
              <w:t>(en cd) lorsque le feu est utilisé</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b))</w:t>
            </w:r>
          </w:p>
        </w:tc>
        <w:tc>
          <w:tcPr>
            <w:tcW w:w="1235" w:type="dxa"/>
            <w:vMerge w:val="restart"/>
            <w:shd w:val="clear" w:color="auto" w:fill="auto"/>
            <w:tcMar>
              <w:top w:w="0" w:type="dxa"/>
              <w:left w:w="5" w:type="dxa"/>
              <w:bottom w:w="0" w:type="dxa"/>
              <w:right w:w="5" w:type="dxa"/>
            </w:tcMar>
            <w:vAlign w:val="bottom"/>
          </w:tcPr>
          <w:p w14:paraId="2260C6BE" w14:textId="4CF0AB7B"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 xml:space="preserve">Répartition normalisée </w:t>
            </w:r>
            <w:r w:rsidRPr="00D05C85">
              <w:rPr>
                <w:b/>
                <w:bCs/>
                <w:i/>
                <w:iCs/>
                <w:sz w:val="16"/>
                <w:szCs w:val="16"/>
                <w:lang w:val="fr-FR"/>
              </w:rPr>
              <w:b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2173" w:type="dxa"/>
            <w:gridSpan w:val="2"/>
            <w:shd w:val="clear" w:color="auto" w:fill="auto"/>
            <w:tcMar>
              <w:top w:w="0" w:type="dxa"/>
              <w:left w:w="5" w:type="dxa"/>
              <w:bottom w:w="0" w:type="dxa"/>
              <w:right w:w="5" w:type="dxa"/>
            </w:tcMar>
            <w:vAlign w:val="bottom"/>
          </w:tcPr>
          <w:p w14:paraId="75B52CF7" w14:textId="48CD558C"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Angles de visibilité géométrique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d))</w:t>
            </w:r>
          </w:p>
        </w:tc>
      </w:tr>
      <w:tr w:rsidR="00AF2126" w:rsidRPr="00D05C85" w14:paraId="2A842BC0" w14:textId="77777777" w:rsidTr="00E70082">
        <w:trPr>
          <w:trHeight w:val="672"/>
        </w:trPr>
        <w:tc>
          <w:tcPr>
            <w:tcW w:w="1418" w:type="dxa"/>
            <w:vMerge/>
            <w:shd w:val="clear" w:color="auto" w:fill="auto"/>
            <w:tcMar>
              <w:top w:w="0" w:type="dxa"/>
              <w:left w:w="5" w:type="dxa"/>
              <w:bottom w:w="0" w:type="dxa"/>
              <w:right w:w="5" w:type="dxa"/>
            </w:tcMar>
            <w:vAlign w:val="bottom"/>
          </w:tcPr>
          <w:p w14:paraId="69E3D188" w14:textId="77777777" w:rsidR="00AF2126" w:rsidRPr="00D05C85" w:rsidRDefault="00AF2126" w:rsidP="00E70082">
            <w:pPr>
              <w:pStyle w:val="Normale1"/>
              <w:spacing w:before="80" w:after="80" w:line="200" w:lineRule="exact"/>
              <w:jc w:val="center"/>
              <w:rPr>
                <w:b/>
                <w:bCs/>
                <w:i/>
                <w:iCs/>
                <w:sz w:val="16"/>
                <w:szCs w:val="16"/>
                <w:lang w:val="fr-FR"/>
              </w:rPr>
            </w:pPr>
          </w:p>
        </w:tc>
        <w:tc>
          <w:tcPr>
            <w:tcW w:w="1248" w:type="dxa"/>
            <w:vMerge/>
            <w:shd w:val="clear" w:color="auto" w:fill="auto"/>
            <w:tcMar>
              <w:top w:w="15" w:type="dxa"/>
              <w:left w:w="15" w:type="dxa"/>
              <w:bottom w:w="0" w:type="dxa"/>
              <w:right w:w="15" w:type="dxa"/>
            </w:tcMar>
            <w:vAlign w:val="bottom"/>
          </w:tcPr>
          <w:p w14:paraId="63EA49E3" w14:textId="77777777" w:rsidR="00AF2126" w:rsidRPr="00D05C85" w:rsidRDefault="00AF2126" w:rsidP="00E70082">
            <w:pPr>
              <w:pStyle w:val="Normale1"/>
              <w:spacing w:before="80" w:after="80" w:line="200" w:lineRule="exact"/>
              <w:jc w:val="center"/>
              <w:rPr>
                <w:b/>
                <w:bCs/>
                <w:i/>
                <w:iCs/>
                <w:sz w:val="16"/>
                <w:szCs w:val="16"/>
                <w:lang w:val="fr-FR"/>
              </w:rPr>
            </w:pPr>
          </w:p>
        </w:tc>
        <w:tc>
          <w:tcPr>
            <w:tcW w:w="1134" w:type="dxa"/>
            <w:shd w:val="clear" w:color="auto" w:fill="auto"/>
            <w:tcMar>
              <w:top w:w="15" w:type="dxa"/>
              <w:left w:w="15" w:type="dxa"/>
              <w:bottom w:w="0" w:type="dxa"/>
              <w:right w:w="15" w:type="dxa"/>
            </w:tcMar>
            <w:vAlign w:val="bottom"/>
          </w:tcPr>
          <w:p w14:paraId="2E21707E" w14:textId="77777777"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Comme feu simple</w:t>
            </w:r>
          </w:p>
        </w:tc>
        <w:tc>
          <w:tcPr>
            <w:tcW w:w="1298" w:type="dxa"/>
            <w:shd w:val="clear" w:color="auto" w:fill="auto"/>
            <w:tcMar>
              <w:top w:w="15" w:type="dxa"/>
              <w:left w:w="15" w:type="dxa"/>
              <w:bottom w:w="0" w:type="dxa"/>
              <w:right w:w="15" w:type="dxa"/>
            </w:tcMar>
            <w:vAlign w:val="bottom"/>
          </w:tcPr>
          <w:p w14:paraId="53E5623F" w14:textId="0DAA2698"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 xml:space="preserve">Comme feu portant </w:t>
            </w:r>
            <w:r w:rsidR="00CF1C7C" w:rsidRPr="00D05C85">
              <w:rPr>
                <w:b/>
                <w:bCs/>
                <w:i/>
                <w:iCs/>
                <w:sz w:val="16"/>
                <w:szCs w:val="16"/>
                <w:lang w:val="fr-FR"/>
              </w:rPr>
              <w:br/>
            </w:r>
            <w:r w:rsidRPr="00D05C85">
              <w:rPr>
                <w:b/>
                <w:bCs/>
                <w:i/>
                <w:iCs/>
                <w:sz w:val="16"/>
                <w:szCs w:val="16"/>
                <w:lang w:val="fr-FR"/>
              </w:rPr>
              <w:t xml:space="preserve">la marque </w:t>
            </w:r>
            <w:r w:rsidRPr="00D05C85">
              <w:rPr>
                <w:lang w:val="fr-FR"/>
              </w:rPr>
              <w:t>“</w:t>
            </w:r>
            <w:r w:rsidRPr="00D05C85">
              <w:rPr>
                <w:b/>
                <w:bCs/>
                <w:i/>
                <w:iCs/>
                <w:sz w:val="16"/>
                <w:szCs w:val="16"/>
                <w:lang w:val="fr-FR"/>
              </w:rPr>
              <w:t>D</w:t>
            </w:r>
            <w:r w:rsidRPr="00D05C85">
              <w:rPr>
                <w:lang w:val="fr-FR"/>
              </w:rPr>
              <w:t>”</w:t>
            </w:r>
            <w:r w:rsidRPr="00D05C85">
              <w:rPr>
                <w:b/>
                <w:bCs/>
                <w:i/>
                <w:iCs/>
                <w:sz w:val="16"/>
                <w:szCs w:val="16"/>
                <w:lang w:val="fr-FR"/>
              </w:rPr>
              <w:t xml:space="preserve"> (</w:t>
            </w:r>
            <w:r w:rsidR="005B36F1" w:rsidRPr="00D05C85">
              <w:rPr>
                <w:b/>
                <w:bCs/>
                <w:i/>
                <w:iCs/>
                <w:sz w:val="16"/>
                <w:szCs w:val="16"/>
                <w:lang w:val="fr-FR"/>
              </w:rPr>
              <w:t>par. </w:t>
            </w:r>
            <w:r w:rsidRPr="00D05C85">
              <w:rPr>
                <w:b/>
                <w:bCs/>
                <w:i/>
                <w:iCs/>
                <w:sz w:val="16"/>
                <w:szCs w:val="16"/>
                <w:lang w:val="fr-FR"/>
              </w:rPr>
              <w:t>3.3.2.5.2)</w:t>
            </w:r>
          </w:p>
        </w:tc>
        <w:tc>
          <w:tcPr>
            <w:tcW w:w="1235" w:type="dxa"/>
            <w:vMerge/>
            <w:shd w:val="clear" w:color="auto" w:fill="auto"/>
            <w:tcMar>
              <w:top w:w="0" w:type="dxa"/>
              <w:left w:w="5" w:type="dxa"/>
              <w:bottom w:w="0" w:type="dxa"/>
              <w:right w:w="5" w:type="dxa"/>
            </w:tcMar>
            <w:vAlign w:val="bottom"/>
          </w:tcPr>
          <w:p w14:paraId="21F6E7E0" w14:textId="77777777" w:rsidR="00AF2126" w:rsidRPr="00D05C85" w:rsidRDefault="00AF2126" w:rsidP="00E70082">
            <w:pPr>
              <w:pStyle w:val="Normale1"/>
              <w:spacing w:before="80" w:after="80" w:line="200" w:lineRule="exact"/>
              <w:jc w:val="center"/>
              <w:rPr>
                <w:b/>
                <w:bCs/>
                <w:i/>
                <w:iCs/>
                <w:sz w:val="16"/>
                <w:szCs w:val="16"/>
                <w:lang w:val="fr-FR"/>
              </w:rPr>
            </w:pPr>
          </w:p>
        </w:tc>
        <w:tc>
          <w:tcPr>
            <w:tcW w:w="1181" w:type="dxa"/>
            <w:shd w:val="clear" w:color="auto" w:fill="auto"/>
            <w:tcMar>
              <w:top w:w="0" w:type="dxa"/>
              <w:left w:w="5" w:type="dxa"/>
              <w:bottom w:w="0" w:type="dxa"/>
              <w:right w:w="5" w:type="dxa"/>
            </w:tcMar>
            <w:vAlign w:val="bottom"/>
          </w:tcPr>
          <w:p w14:paraId="182A3FD0" w14:textId="77777777" w:rsidR="00AF2126" w:rsidRPr="00D05C85" w:rsidRDefault="00AF2126" w:rsidP="00E70082">
            <w:pPr>
              <w:pStyle w:val="Normale1"/>
              <w:spacing w:before="80" w:after="80" w:line="200" w:lineRule="exact"/>
              <w:jc w:val="center"/>
              <w:rPr>
                <w:b/>
                <w:bCs/>
                <w:i/>
                <w:iCs/>
                <w:sz w:val="16"/>
                <w:szCs w:val="16"/>
                <w:lang w:val="fr-FR"/>
              </w:rPr>
            </w:pPr>
            <w:r w:rsidRPr="00D05C85">
              <w:rPr>
                <w:b/>
                <w:bCs/>
                <w:i/>
                <w:iCs/>
                <w:sz w:val="16"/>
                <w:szCs w:val="16"/>
                <w:lang w:val="fr-FR"/>
              </w:rPr>
              <w:t>Définition</w:t>
            </w:r>
          </w:p>
        </w:tc>
        <w:tc>
          <w:tcPr>
            <w:tcW w:w="992" w:type="dxa"/>
            <w:shd w:val="clear" w:color="auto" w:fill="auto"/>
            <w:vAlign w:val="bottom"/>
          </w:tcPr>
          <w:p w14:paraId="27DED453" w14:textId="77777777" w:rsidR="00AF2126" w:rsidRPr="00D05C85" w:rsidRDefault="00AF2126" w:rsidP="00E70082">
            <w:pPr>
              <w:pStyle w:val="Normale1"/>
              <w:spacing w:before="80" w:after="80" w:line="200" w:lineRule="exact"/>
              <w:jc w:val="center"/>
              <w:rPr>
                <w:b/>
                <w:bCs/>
                <w:i/>
                <w:iCs/>
                <w:sz w:val="16"/>
                <w:szCs w:val="16"/>
                <w:lang w:val="fr-FR"/>
              </w:rPr>
            </w:pPr>
            <w:r w:rsidRPr="00D05C85">
              <w:rPr>
                <w:b/>
                <w:bCs/>
                <w:i/>
                <w:iCs/>
                <w:sz w:val="16"/>
                <w:szCs w:val="16"/>
                <w:lang w:val="fr-FR"/>
              </w:rPr>
              <w:t xml:space="preserve">Intensité lumineuse minimale </w:t>
            </w:r>
            <w:r w:rsidRPr="00D05C85">
              <w:rPr>
                <w:b/>
                <w:bCs/>
                <w:i/>
                <w:iCs/>
                <w:sz w:val="16"/>
                <w:szCs w:val="16"/>
                <w:lang w:val="fr-FR"/>
              </w:rPr>
              <w:br/>
              <w:t>en cd</w:t>
            </w:r>
          </w:p>
        </w:tc>
      </w:tr>
      <w:tr w:rsidR="00AF2126" w:rsidRPr="00D05C85" w14:paraId="2E85E78F" w14:textId="77777777" w:rsidTr="00E70082">
        <w:trPr>
          <w:trHeight w:val="361"/>
        </w:trPr>
        <w:tc>
          <w:tcPr>
            <w:tcW w:w="1418" w:type="dxa"/>
            <w:shd w:val="clear" w:color="auto" w:fill="auto"/>
            <w:tcMar>
              <w:top w:w="0" w:type="dxa"/>
              <w:left w:w="5" w:type="dxa"/>
              <w:bottom w:w="0" w:type="dxa"/>
              <w:right w:w="5" w:type="dxa"/>
            </w:tcMar>
            <w:vAlign w:val="center"/>
          </w:tcPr>
          <w:p w14:paraId="2B8F360C"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A, MA ou AM</w:t>
            </w:r>
          </w:p>
        </w:tc>
        <w:tc>
          <w:tcPr>
            <w:tcW w:w="1248" w:type="dxa"/>
            <w:shd w:val="clear" w:color="auto" w:fill="auto"/>
            <w:tcMar>
              <w:top w:w="15" w:type="dxa"/>
              <w:left w:w="15" w:type="dxa"/>
              <w:bottom w:w="0" w:type="dxa"/>
              <w:right w:w="15" w:type="dxa"/>
            </w:tcMar>
            <w:vAlign w:val="center"/>
          </w:tcPr>
          <w:p w14:paraId="30194746"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4∙10</w:t>
            </w:r>
            <w:r w:rsidRPr="00D05C85">
              <w:rPr>
                <w:sz w:val="18"/>
                <w:szCs w:val="18"/>
                <w:vertAlign w:val="superscript"/>
                <w:lang w:val="fr-FR"/>
              </w:rPr>
              <w:t>0</w:t>
            </w:r>
          </w:p>
        </w:tc>
        <w:tc>
          <w:tcPr>
            <w:tcW w:w="1134" w:type="dxa"/>
            <w:shd w:val="clear" w:color="auto" w:fill="auto"/>
            <w:tcMar>
              <w:top w:w="15" w:type="dxa"/>
              <w:left w:w="15" w:type="dxa"/>
              <w:bottom w:w="0" w:type="dxa"/>
              <w:right w:w="15" w:type="dxa"/>
            </w:tcMar>
            <w:vAlign w:val="center"/>
          </w:tcPr>
          <w:p w14:paraId="54D004E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1,40∙10</w:t>
            </w:r>
            <w:r w:rsidRPr="00D05C85">
              <w:rPr>
                <w:sz w:val="18"/>
                <w:szCs w:val="18"/>
                <w:vertAlign w:val="superscript"/>
                <w:lang w:val="fr-FR"/>
              </w:rPr>
              <w:t>2</w:t>
            </w:r>
          </w:p>
        </w:tc>
        <w:tc>
          <w:tcPr>
            <w:tcW w:w="1298" w:type="dxa"/>
            <w:shd w:val="clear" w:color="auto" w:fill="auto"/>
            <w:tcMar>
              <w:top w:w="15" w:type="dxa"/>
              <w:left w:w="15" w:type="dxa"/>
              <w:bottom w:w="0" w:type="dxa"/>
              <w:right w:w="15" w:type="dxa"/>
            </w:tcMar>
            <w:vAlign w:val="center"/>
          </w:tcPr>
          <w:p w14:paraId="4B58B56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7,0∙10</w:t>
            </w:r>
            <w:r w:rsidRPr="00D05C85">
              <w:rPr>
                <w:sz w:val="18"/>
                <w:szCs w:val="18"/>
                <w:vertAlign w:val="superscript"/>
                <w:lang w:val="fr-FR"/>
              </w:rPr>
              <w:t>1</w:t>
            </w:r>
          </w:p>
        </w:tc>
        <w:tc>
          <w:tcPr>
            <w:tcW w:w="1235" w:type="dxa"/>
            <w:shd w:val="clear" w:color="auto" w:fill="auto"/>
            <w:tcMar>
              <w:top w:w="0" w:type="dxa"/>
              <w:left w:w="5" w:type="dxa"/>
              <w:bottom w:w="0" w:type="dxa"/>
              <w:right w:w="5" w:type="dxa"/>
            </w:tcMar>
            <w:vAlign w:val="center"/>
          </w:tcPr>
          <w:p w14:paraId="253540E9"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81" w:type="dxa"/>
            <w:shd w:val="clear" w:color="auto" w:fill="auto"/>
            <w:tcMar>
              <w:top w:w="0" w:type="dxa"/>
              <w:left w:w="5" w:type="dxa"/>
              <w:bottom w:w="0" w:type="dxa"/>
              <w:right w:w="5" w:type="dxa"/>
            </w:tcMar>
            <w:vAlign w:val="center"/>
          </w:tcPr>
          <w:p w14:paraId="0707FF7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2" w:type="dxa"/>
            <w:shd w:val="clear" w:color="auto" w:fill="auto"/>
            <w:tcMar>
              <w:top w:w="0" w:type="dxa"/>
              <w:left w:w="5" w:type="dxa"/>
              <w:bottom w:w="0" w:type="dxa"/>
              <w:right w:w="5" w:type="dxa"/>
            </w:tcMar>
            <w:vAlign w:val="center"/>
          </w:tcPr>
          <w:p w14:paraId="58E04362"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5∙10</w:t>
            </w:r>
            <w:r w:rsidRPr="00D05C85">
              <w:rPr>
                <w:sz w:val="18"/>
                <w:szCs w:val="18"/>
                <w:vertAlign w:val="superscript"/>
                <w:lang w:val="fr-FR"/>
              </w:rPr>
              <w:t>-2</w:t>
            </w:r>
          </w:p>
        </w:tc>
      </w:tr>
    </w:tbl>
    <w:p w14:paraId="6211346F" w14:textId="77777777" w:rsidR="00AF2126" w:rsidRPr="00D05C85" w:rsidRDefault="00AF2126" w:rsidP="00AF2126">
      <w:pPr>
        <w:pStyle w:val="SingleTxtG"/>
        <w:spacing w:before="240"/>
        <w:ind w:left="2268" w:hanging="1134"/>
        <w:rPr>
          <w:bCs/>
          <w:lang w:val="fr-FR"/>
        </w:rPr>
      </w:pPr>
      <w:r w:rsidRPr="00D05C85">
        <w:rPr>
          <w:lang w:val="fr-FR"/>
        </w:rPr>
        <w:t>5.1.2</w:t>
      </w:r>
      <w:r w:rsidRPr="00D05C85">
        <w:rPr>
          <w:lang w:val="fr-FR"/>
        </w:rPr>
        <w:tab/>
        <w:t>Intensité lumineuse minimale sous les angles de visibilité géométrique :</w:t>
      </w:r>
    </w:p>
    <w:p w14:paraId="49157E36" w14:textId="77777777" w:rsidR="00AF2126" w:rsidRPr="00D05C85" w:rsidRDefault="00AF2126" w:rsidP="00AF2126">
      <w:pPr>
        <w:pStyle w:val="SingleTxtG"/>
        <w:ind w:left="2268"/>
        <w:rPr>
          <w:bCs/>
          <w:lang w:val="fr-FR"/>
        </w:rPr>
      </w:pPr>
      <w:r w:rsidRPr="00D05C85">
        <w:rPr>
          <w:lang w:val="fr-FR"/>
        </w:rPr>
        <w:tab/>
        <w:t>Voir le tableau 3.</w:t>
      </w:r>
    </w:p>
    <w:p w14:paraId="5897A912" w14:textId="77777777" w:rsidR="00AF2126" w:rsidRPr="00D05C85" w:rsidRDefault="00AF2126" w:rsidP="00AF2126">
      <w:pPr>
        <w:pStyle w:val="SingleTxtG"/>
        <w:ind w:left="2268" w:hanging="1134"/>
        <w:rPr>
          <w:bCs/>
          <w:lang w:val="fr-FR"/>
        </w:rPr>
      </w:pPr>
      <w:r w:rsidRPr="00D05C85">
        <w:rPr>
          <w:lang w:val="fr-FR"/>
        </w:rPr>
        <w:t>5.1.3</w:t>
      </w:r>
      <w:r w:rsidRPr="00D05C85">
        <w:rPr>
          <w:lang w:val="fr-FR"/>
        </w:rPr>
        <w:tab/>
        <w:t>Superficie minimale ou maximale de la surface apparente :</w:t>
      </w:r>
      <w:bookmarkStart w:id="13" w:name="_Hlk21592134"/>
      <w:bookmarkEnd w:id="13"/>
    </w:p>
    <w:p w14:paraId="4D3DEE01" w14:textId="77777777" w:rsidR="00AF2126" w:rsidRPr="00D05C85" w:rsidRDefault="00AF2126" w:rsidP="00AF2126">
      <w:pPr>
        <w:pStyle w:val="SingleTxtG"/>
        <w:ind w:left="2268"/>
        <w:rPr>
          <w:bCs/>
          <w:lang w:val="fr-FR"/>
        </w:rPr>
      </w:pPr>
      <w:r w:rsidRPr="00D05C85">
        <w:rPr>
          <w:lang w:val="fr-FR"/>
        </w:rPr>
        <w:tab/>
        <w:t>Pas de prescriptions.</w:t>
      </w:r>
    </w:p>
    <w:p w14:paraId="5BE08DBA" w14:textId="77777777" w:rsidR="00AF2126" w:rsidRPr="00D05C85" w:rsidRDefault="00AF2126" w:rsidP="00AF2126">
      <w:pPr>
        <w:pStyle w:val="SingleTxtG"/>
        <w:ind w:left="2268" w:hanging="1134"/>
        <w:rPr>
          <w:bCs/>
          <w:lang w:val="fr-FR"/>
        </w:rPr>
      </w:pPr>
      <w:r w:rsidRPr="00D05C85">
        <w:rPr>
          <w:lang w:val="fr-FR"/>
        </w:rPr>
        <w:t>5.1.4</w:t>
      </w:r>
      <w:r w:rsidRPr="00D05C85">
        <w:rPr>
          <w:lang w:val="fr-FR"/>
        </w:rPr>
        <w:tab/>
        <w:t>Mesure :</w:t>
      </w:r>
    </w:p>
    <w:p w14:paraId="50AA11F4" w14:textId="3F4A9F62" w:rsidR="00AF2126" w:rsidRPr="00D05C85" w:rsidRDefault="00AF2126" w:rsidP="00AF2126">
      <w:pPr>
        <w:pStyle w:val="SingleTxtG"/>
        <w:ind w:left="2268"/>
        <w:rPr>
          <w:bCs/>
          <w:lang w:val="fr-FR"/>
        </w:rPr>
      </w:pPr>
      <w:r w:rsidRPr="00D05C85">
        <w:rPr>
          <w:lang w:val="fr-FR"/>
        </w:rPr>
        <w:t>Pour les feux d’encombrement (AM), la répartition normalisée de la lumière peut, à la requête du demandeur, être considérée de la ligne</w:t>
      </w:r>
      <w:r w:rsidR="005B36F1" w:rsidRPr="00D05C85">
        <w:rPr>
          <w:lang w:val="fr-FR"/>
        </w:rPr>
        <w:t> V</w:t>
      </w:r>
      <w:r w:rsidRPr="00D05C85">
        <w:rPr>
          <w:lang w:val="fr-FR"/>
        </w:rPr>
        <w:t>V jusqu’au bord extérieur seulement.</w:t>
      </w:r>
    </w:p>
    <w:p w14:paraId="277FA15F" w14:textId="77777777" w:rsidR="00AF2126" w:rsidRPr="00D05C85" w:rsidRDefault="00AF2126" w:rsidP="00AF2126">
      <w:pPr>
        <w:pStyle w:val="SingleTxtG"/>
        <w:ind w:left="2268" w:hanging="1134"/>
        <w:rPr>
          <w:bCs/>
          <w:lang w:val="fr-FR"/>
        </w:rPr>
      </w:pPr>
      <w:r w:rsidRPr="00D05C85">
        <w:rPr>
          <w:lang w:val="fr-FR"/>
        </w:rPr>
        <w:t>5.1.5</w:t>
      </w:r>
      <w:r w:rsidRPr="00D05C85">
        <w:rPr>
          <w:lang w:val="fr-FR"/>
        </w:rPr>
        <w:tab/>
      </w:r>
      <w:r w:rsidRPr="00D05C85">
        <w:rPr>
          <w:lang w:val="fr-FR"/>
        </w:rPr>
        <w:tab/>
        <w:t>Prescriptions supplémentaires :</w:t>
      </w:r>
    </w:p>
    <w:p w14:paraId="665E8A48" w14:textId="77777777" w:rsidR="00AF2126" w:rsidRPr="00D05C85" w:rsidRDefault="00AF2126" w:rsidP="00AF2126">
      <w:pPr>
        <w:pStyle w:val="SingleTxtG"/>
        <w:ind w:left="2268"/>
        <w:rPr>
          <w:bCs/>
          <w:lang w:val="fr-FR"/>
        </w:rPr>
      </w:pPr>
      <w:r w:rsidRPr="00D05C85">
        <w:rPr>
          <w:lang w:val="fr-FR"/>
        </w:rPr>
        <w:tab/>
        <w:t>Aucune.</w:t>
      </w:r>
    </w:p>
    <w:p w14:paraId="53EBE504" w14:textId="77777777" w:rsidR="00AF2126" w:rsidRPr="00D05C85" w:rsidRDefault="00AF2126" w:rsidP="00AF2126">
      <w:pPr>
        <w:pStyle w:val="SingleTxtG"/>
        <w:ind w:left="2268" w:hanging="1134"/>
        <w:rPr>
          <w:bCs/>
          <w:lang w:val="fr-FR"/>
        </w:rPr>
      </w:pPr>
      <w:r w:rsidRPr="00D05C85">
        <w:rPr>
          <w:lang w:val="fr-FR"/>
        </w:rPr>
        <w:t>5.1.6</w:t>
      </w:r>
      <w:r w:rsidRPr="00D05C85">
        <w:rPr>
          <w:lang w:val="fr-FR"/>
        </w:rPr>
        <w:tab/>
        <w:t>Dispositions applicables en cas de défaillance :</w:t>
      </w:r>
    </w:p>
    <w:p w14:paraId="1BBDA3C5" w14:textId="77777777" w:rsidR="00AF2126" w:rsidRPr="00D05C85" w:rsidRDefault="00AF2126" w:rsidP="00AF2126">
      <w:pPr>
        <w:pStyle w:val="SingleTxtG"/>
        <w:ind w:left="2268"/>
        <w:rPr>
          <w:bCs/>
          <w:lang w:val="fr-FR"/>
        </w:rPr>
      </w:pPr>
      <w:r w:rsidRPr="00D05C85">
        <w:rPr>
          <w:lang w:val="fr-FR"/>
        </w:rPr>
        <w:lastRenderedPageBreak/>
        <w:tab/>
        <w:t>Voir le paragraphe 4.6.</w:t>
      </w:r>
    </w:p>
    <w:p w14:paraId="554083D2" w14:textId="77777777" w:rsidR="00AF2126" w:rsidRPr="00D05C85" w:rsidRDefault="00AF2126" w:rsidP="00AF2126">
      <w:pPr>
        <w:pStyle w:val="SingleTxtG"/>
        <w:keepNext/>
        <w:ind w:left="2268" w:hanging="1134"/>
        <w:rPr>
          <w:lang w:val="fr-FR"/>
        </w:rPr>
      </w:pPr>
      <w:r w:rsidRPr="00D05C85">
        <w:rPr>
          <w:lang w:val="fr-FR"/>
        </w:rPr>
        <w:t>5.1.7</w:t>
      </w:r>
      <w:r w:rsidRPr="00D05C85">
        <w:rPr>
          <w:lang w:val="fr-FR"/>
        </w:rPr>
        <w:tab/>
        <w:t>Couleur :</w:t>
      </w:r>
    </w:p>
    <w:p w14:paraId="270E0587" w14:textId="77777777" w:rsidR="00AF2126" w:rsidRPr="00D05C85" w:rsidRDefault="00AF2126" w:rsidP="00AF2126">
      <w:pPr>
        <w:pStyle w:val="SingleTxtG"/>
        <w:ind w:left="2268"/>
        <w:rPr>
          <w:lang w:val="fr-FR"/>
        </w:rPr>
      </w:pPr>
      <w:r w:rsidRPr="00D05C85">
        <w:rPr>
          <w:lang w:val="fr-FR"/>
        </w:rPr>
        <w:tab/>
        <w:t>La couleur de la lumière émise doit être blanche, mais le feu identifié par le symbole “MA” peut être jaune-auto.</w:t>
      </w:r>
    </w:p>
    <w:p w14:paraId="5FF6D7A5" w14:textId="14B35E6F" w:rsidR="00AF2126" w:rsidRPr="00D05C85" w:rsidRDefault="00AF2126" w:rsidP="00AF2126">
      <w:pPr>
        <w:pStyle w:val="SingleTxtG"/>
        <w:ind w:left="2268" w:hanging="1134"/>
        <w:rPr>
          <w:bCs/>
          <w:lang w:val="fr-FR"/>
        </w:rPr>
      </w:pPr>
      <w:r w:rsidRPr="00D05C85">
        <w:rPr>
          <w:lang w:val="fr-FR"/>
        </w:rPr>
        <w:t>5.2</w:t>
      </w:r>
      <w:r w:rsidRPr="00D05C85">
        <w:rPr>
          <w:lang w:val="fr-FR"/>
        </w:rPr>
        <w:tab/>
        <w:t xml:space="preserve">Feux de position arrière (R1, R2 </w:t>
      </w:r>
      <w:r w:rsidR="00910B33">
        <w:rPr>
          <w:lang w:val="fr-FR"/>
        </w:rPr>
        <w:t xml:space="preserve">et </w:t>
      </w:r>
      <w:r w:rsidRPr="00D05C85">
        <w:rPr>
          <w:lang w:val="fr-FR"/>
        </w:rPr>
        <w:t xml:space="preserve">MR) </w:t>
      </w:r>
      <w:r w:rsidR="00910B33">
        <w:rPr>
          <w:lang w:val="fr-FR"/>
        </w:rPr>
        <w:t xml:space="preserve">et </w:t>
      </w:r>
      <w:r w:rsidRPr="00D05C85">
        <w:rPr>
          <w:lang w:val="fr-FR"/>
        </w:rPr>
        <w:t xml:space="preserve">feux d’encombrement arrière (RM1 </w:t>
      </w:r>
      <w:r w:rsidR="00910B33">
        <w:rPr>
          <w:lang w:val="fr-FR"/>
        </w:rPr>
        <w:t xml:space="preserve">et </w:t>
      </w:r>
      <w:r w:rsidRPr="00D05C85">
        <w:rPr>
          <w:lang w:val="fr-FR"/>
        </w:rPr>
        <w:t>RM2)</w:t>
      </w:r>
    </w:p>
    <w:p w14:paraId="1BBBB959" w14:textId="1DA0E52D" w:rsidR="00AF2126" w:rsidRPr="00D05C85" w:rsidRDefault="00AF2126" w:rsidP="00AF2126">
      <w:pPr>
        <w:pStyle w:val="SingleTxtG"/>
        <w:ind w:left="2268" w:hanging="1134"/>
        <w:rPr>
          <w:lang w:val="fr-FR"/>
        </w:rPr>
      </w:pPr>
      <w:r w:rsidRPr="00D05C85">
        <w:rPr>
          <w:lang w:val="fr-FR"/>
        </w:rPr>
        <w:t>5.2.1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0BC24E19" w14:textId="77777777" w:rsidR="00AF2126" w:rsidRPr="00D05C85" w:rsidRDefault="00AF2126" w:rsidP="00AF2126">
      <w:pPr>
        <w:pStyle w:val="SingleTxtG"/>
        <w:ind w:left="2268"/>
        <w:rPr>
          <w:lang w:val="fr-FR"/>
        </w:rPr>
      </w:pPr>
      <w:r w:rsidRPr="00D05C85">
        <w:rPr>
          <w:lang w:val="fr-FR"/>
        </w:rPr>
        <w:tab/>
        <w:t>La lumière émise par chacun des deux échantillons fournis doit satisfaire aux prescriptions du tableau 4.</w:t>
      </w:r>
    </w:p>
    <w:p w14:paraId="383AC27D" w14:textId="77777777" w:rsidR="00AF2126" w:rsidRPr="00D05C85" w:rsidRDefault="00AF2126" w:rsidP="00AF2126">
      <w:pPr>
        <w:pStyle w:val="SingleTxtG"/>
        <w:ind w:left="2268"/>
        <w:rPr>
          <w:lang w:val="fr-FR"/>
        </w:rPr>
      </w:pPr>
      <w:r w:rsidRPr="00D05C85">
        <w:rPr>
          <w:lang w:val="fr-FR"/>
        </w:rPr>
        <w:t>Toutefois, une intensité lumineuse de 6,0∙10</w:t>
      </w:r>
      <w:r w:rsidRPr="00D05C85">
        <w:rPr>
          <w:vertAlign w:val="superscript"/>
          <w:lang w:val="fr-FR"/>
        </w:rPr>
        <w:t xml:space="preserve">1 </w:t>
      </w:r>
      <w:r w:rsidRPr="00D05C85">
        <w:rPr>
          <w:lang w:val="fr-FR"/>
        </w:rPr>
        <w:t>cd est admise pour les feux de position arrière mutuellement incorporés avec des feux-stop au-dessous d’un plan formant un angle de 5° vers le bas avec le plan horizontal.</w:t>
      </w:r>
    </w:p>
    <w:p w14:paraId="41441219" w14:textId="3B47ABBF" w:rsidR="00AF2126" w:rsidRPr="00D05C85" w:rsidRDefault="00AF2126" w:rsidP="00AF2126">
      <w:pPr>
        <w:pStyle w:val="Titre1"/>
        <w:tabs>
          <w:tab w:val="left" w:pos="1701"/>
          <w:tab w:val="left" w:pos="2268"/>
          <w:tab w:val="left" w:pos="2835"/>
        </w:tabs>
        <w:spacing w:after="120"/>
        <w:rPr>
          <w:rStyle w:val="Carpredefinitoparagrafo1"/>
          <w:b/>
          <w:bCs/>
          <w:lang w:val="fr-FR"/>
        </w:rPr>
      </w:pPr>
      <w:r w:rsidRPr="00D05C85">
        <w:rPr>
          <w:lang w:val="fr-FR"/>
        </w:rPr>
        <w:t>Tableau 4</w:t>
      </w:r>
      <w:r w:rsidRPr="00D05C85">
        <w:rPr>
          <w:lang w:val="fr-FR"/>
        </w:rPr>
        <w:br/>
      </w:r>
      <w:r w:rsidRPr="00D05C85">
        <w:rPr>
          <w:b/>
          <w:bCs/>
          <w:lang w:val="fr-FR"/>
        </w:rPr>
        <w:t xml:space="preserve">Intensité lumineuse des feux de position arrière </w:t>
      </w:r>
      <w:r w:rsidR="00910B33">
        <w:rPr>
          <w:b/>
          <w:bCs/>
          <w:lang w:val="fr-FR"/>
        </w:rPr>
        <w:t xml:space="preserve">et </w:t>
      </w:r>
      <w:r w:rsidRPr="00D05C85">
        <w:rPr>
          <w:b/>
          <w:bCs/>
          <w:lang w:val="fr-FR"/>
        </w:rPr>
        <w:t>des feux d’encombrement arrière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3"/>
        <w:gridCol w:w="1282"/>
        <w:gridCol w:w="1128"/>
        <w:gridCol w:w="1275"/>
        <w:gridCol w:w="1282"/>
        <w:gridCol w:w="1128"/>
        <w:gridCol w:w="997"/>
      </w:tblGrid>
      <w:tr w:rsidR="00AF2126" w:rsidRPr="00D05C85" w14:paraId="0C7D5B92" w14:textId="77777777" w:rsidTr="00CF1C7C">
        <w:trPr>
          <w:trHeight w:val="406"/>
        </w:trPr>
        <w:tc>
          <w:tcPr>
            <w:tcW w:w="1413" w:type="dxa"/>
            <w:vMerge w:val="restart"/>
            <w:shd w:val="clear" w:color="auto" w:fill="auto"/>
            <w:tcMar>
              <w:top w:w="15" w:type="dxa"/>
              <w:left w:w="15" w:type="dxa"/>
              <w:bottom w:w="0" w:type="dxa"/>
              <w:right w:w="15" w:type="dxa"/>
            </w:tcMar>
            <w:vAlign w:val="bottom"/>
          </w:tcPr>
          <w:p w14:paraId="6B771701" w14:textId="2B9ACF7E"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 xml:space="preserve">Feux de position arrière </w:t>
            </w:r>
            <w:r w:rsidR="00910B33">
              <w:rPr>
                <w:b/>
                <w:bCs/>
                <w:i/>
                <w:iCs/>
                <w:sz w:val="16"/>
                <w:szCs w:val="16"/>
                <w:lang w:val="fr-FR"/>
              </w:rPr>
              <w:t xml:space="preserve">et </w:t>
            </w:r>
            <w:r w:rsidRPr="00D05C85">
              <w:rPr>
                <w:b/>
                <w:bCs/>
                <w:i/>
                <w:iCs/>
                <w:sz w:val="16"/>
                <w:szCs w:val="16"/>
                <w:lang w:val="fr-FR"/>
              </w:rPr>
              <w:t xml:space="preserve">feux d’encombrement arrière </w:t>
            </w:r>
            <w:r w:rsidR="00CF1C7C" w:rsidRPr="00D05C85">
              <w:rPr>
                <w:b/>
                <w:bCs/>
                <w:i/>
                <w:iCs/>
                <w:sz w:val="16"/>
                <w:szCs w:val="16"/>
                <w:lang w:val="fr-FR"/>
              </w:rPr>
              <w:br/>
            </w:r>
            <w:r w:rsidRPr="00D05C85">
              <w:rPr>
                <w:b/>
                <w:bCs/>
                <w:i/>
                <w:iCs/>
                <w:sz w:val="16"/>
                <w:szCs w:val="16"/>
                <w:lang w:val="fr-FR"/>
              </w:rPr>
              <w:t>des catégories</w:t>
            </w:r>
          </w:p>
        </w:tc>
        <w:tc>
          <w:tcPr>
            <w:tcW w:w="1282" w:type="dxa"/>
            <w:vMerge w:val="restart"/>
            <w:shd w:val="clear" w:color="auto" w:fill="auto"/>
            <w:tcMar>
              <w:top w:w="15" w:type="dxa"/>
              <w:left w:w="15" w:type="dxa"/>
              <w:bottom w:w="0" w:type="dxa"/>
              <w:right w:w="15" w:type="dxa"/>
            </w:tcMar>
            <w:vAlign w:val="bottom"/>
          </w:tcPr>
          <w:p w14:paraId="52BA7DF8" w14:textId="76FB64F1"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Intensité lumineuse minimale en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a))</w:t>
            </w:r>
          </w:p>
        </w:tc>
        <w:tc>
          <w:tcPr>
            <w:tcW w:w="2403" w:type="dxa"/>
            <w:gridSpan w:val="2"/>
            <w:shd w:val="clear" w:color="auto" w:fill="auto"/>
            <w:tcMar>
              <w:top w:w="15" w:type="dxa"/>
              <w:left w:w="15" w:type="dxa"/>
              <w:bottom w:w="0" w:type="dxa"/>
              <w:right w:w="15" w:type="dxa"/>
            </w:tcMar>
            <w:vAlign w:val="bottom"/>
          </w:tcPr>
          <w:p w14:paraId="577F6FA1" w14:textId="64B056F1"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Intensité lumineuse maximale (en cd) lorsque le feu est utilisé</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b))</w:t>
            </w:r>
          </w:p>
        </w:tc>
        <w:tc>
          <w:tcPr>
            <w:tcW w:w="1282" w:type="dxa"/>
            <w:vMerge w:val="restart"/>
            <w:shd w:val="clear" w:color="auto" w:fill="auto"/>
            <w:tcMar>
              <w:top w:w="0" w:type="dxa"/>
              <w:left w:w="5" w:type="dxa"/>
              <w:bottom w:w="0" w:type="dxa"/>
              <w:right w:w="5" w:type="dxa"/>
            </w:tcMar>
            <w:vAlign w:val="bottom"/>
          </w:tcPr>
          <w:p w14:paraId="4EEA59D7" w14:textId="50258E96"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 xml:space="preserve">Répartition normalisée </w:t>
            </w:r>
            <w:r w:rsidR="00CF1C7C" w:rsidRPr="00D05C85">
              <w:rPr>
                <w:b/>
                <w:bCs/>
                <w:i/>
                <w:iCs/>
                <w:sz w:val="16"/>
                <w:szCs w:val="16"/>
                <w:lang w:val="fr-FR"/>
              </w:rPr>
              <w:br/>
            </w:r>
            <w:r w:rsidRPr="00D05C85">
              <w:rPr>
                <w:b/>
                <w:bCs/>
                <w:i/>
                <w:iCs/>
                <w:sz w:val="16"/>
                <w:szCs w:val="16"/>
                <w:lang w:val="fr-FR"/>
              </w:rP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2125" w:type="dxa"/>
            <w:gridSpan w:val="2"/>
            <w:shd w:val="clear" w:color="auto" w:fill="auto"/>
            <w:tcMar>
              <w:top w:w="0" w:type="dxa"/>
              <w:left w:w="5" w:type="dxa"/>
              <w:bottom w:w="0" w:type="dxa"/>
              <w:right w:w="5" w:type="dxa"/>
            </w:tcMar>
            <w:vAlign w:val="bottom"/>
          </w:tcPr>
          <w:p w14:paraId="0F856B98" w14:textId="0A0F8496"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Angles de visibilité géométrique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d))</w:t>
            </w:r>
          </w:p>
        </w:tc>
      </w:tr>
      <w:tr w:rsidR="00AF2126" w:rsidRPr="00D05C85" w14:paraId="2A82CE51" w14:textId="77777777" w:rsidTr="00CF1C7C">
        <w:trPr>
          <w:trHeight w:val="688"/>
        </w:trPr>
        <w:tc>
          <w:tcPr>
            <w:tcW w:w="1413" w:type="dxa"/>
            <w:vMerge/>
            <w:shd w:val="clear" w:color="auto" w:fill="auto"/>
            <w:tcMar>
              <w:top w:w="15" w:type="dxa"/>
              <w:left w:w="15" w:type="dxa"/>
              <w:bottom w:w="0" w:type="dxa"/>
              <w:right w:w="15" w:type="dxa"/>
            </w:tcMar>
            <w:vAlign w:val="bottom"/>
          </w:tcPr>
          <w:p w14:paraId="402EB01A" w14:textId="77777777" w:rsidR="00AF2126" w:rsidRPr="00D05C85" w:rsidRDefault="00AF2126" w:rsidP="00E70082">
            <w:pPr>
              <w:pStyle w:val="Normale1"/>
              <w:spacing w:before="80" w:after="80" w:line="200" w:lineRule="exact"/>
              <w:jc w:val="center"/>
              <w:rPr>
                <w:b/>
                <w:bCs/>
                <w:i/>
                <w:iCs/>
                <w:sz w:val="16"/>
                <w:szCs w:val="16"/>
                <w:lang w:val="fr-FR"/>
              </w:rPr>
            </w:pPr>
          </w:p>
        </w:tc>
        <w:tc>
          <w:tcPr>
            <w:tcW w:w="1282" w:type="dxa"/>
            <w:vMerge/>
            <w:shd w:val="clear" w:color="auto" w:fill="auto"/>
            <w:tcMar>
              <w:top w:w="15" w:type="dxa"/>
              <w:left w:w="15" w:type="dxa"/>
              <w:bottom w:w="0" w:type="dxa"/>
              <w:right w:w="15" w:type="dxa"/>
            </w:tcMar>
            <w:vAlign w:val="bottom"/>
          </w:tcPr>
          <w:p w14:paraId="5A26BAE6" w14:textId="77777777" w:rsidR="00AF2126" w:rsidRPr="00D05C85" w:rsidRDefault="00AF2126" w:rsidP="00E70082">
            <w:pPr>
              <w:pStyle w:val="Normale1"/>
              <w:spacing w:before="80" w:after="80" w:line="200" w:lineRule="exact"/>
              <w:jc w:val="center"/>
              <w:rPr>
                <w:b/>
                <w:bCs/>
                <w:i/>
                <w:iCs/>
                <w:sz w:val="16"/>
                <w:szCs w:val="16"/>
                <w:lang w:val="fr-FR"/>
              </w:rPr>
            </w:pPr>
          </w:p>
        </w:tc>
        <w:tc>
          <w:tcPr>
            <w:tcW w:w="1128" w:type="dxa"/>
            <w:shd w:val="clear" w:color="auto" w:fill="auto"/>
            <w:tcMar>
              <w:top w:w="15" w:type="dxa"/>
              <w:left w:w="15" w:type="dxa"/>
              <w:bottom w:w="0" w:type="dxa"/>
              <w:right w:w="15" w:type="dxa"/>
            </w:tcMar>
            <w:vAlign w:val="bottom"/>
          </w:tcPr>
          <w:p w14:paraId="1ADCE126" w14:textId="77777777"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Comme feu simple</w:t>
            </w:r>
          </w:p>
        </w:tc>
        <w:tc>
          <w:tcPr>
            <w:tcW w:w="1275" w:type="dxa"/>
            <w:shd w:val="clear" w:color="auto" w:fill="auto"/>
            <w:tcMar>
              <w:top w:w="15" w:type="dxa"/>
              <w:left w:w="15" w:type="dxa"/>
              <w:bottom w:w="0" w:type="dxa"/>
              <w:right w:w="15" w:type="dxa"/>
            </w:tcMar>
            <w:vAlign w:val="bottom"/>
          </w:tcPr>
          <w:p w14:paraId="26B62F3F" w14:textId="4F324B1E"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 xml:space="preserve">Comme feu portant </w:t>
            </w:r>
            <w:r w:rsidR="00CF1C7C" w:rsidRPr="00D05C85">
              <w:rPr>
                <w:b/>
                <w:bCs/>
                <w:i/>
                <w:iCs/>
                <w:sz w:val="16"/>
                <w:szCs w:val="16"/>
                <w:lang w:val="fr-FR"/>
              </w:rPr>
              <w:br/>
            </w:r>
            <w:r w:rsidRPr="00D05C85">
              <w:rPr>
                <w:b/>
                <w:bCs/>
                <w:i/>
                <w:iCs/>
                <w:sz w:val="16"/>
                <w:szCs w:val="16"/>
                <w:lang w:val="fr-FR"/>
              </w:rPr>
              <w:t xml:space="preserve">la marque </w:t>
            </w:r>
            <w:r w:rsidRPr="00D05C85">
              <w:rPr>
                <w:lang w:val="fr-FR"/>
              </w:rPr>
              <w:t>“</w:t>
            </w:r>
            <w:r w:rsidRPr="00D05C85">
              <w:rPr>
                <w:b/>
                <w:bCs/>
                <w:i/>
                <w:iCs/>
                <w:sz w:val="16"/>
                <w:szCs w:val="16"/>
                <w:lang w:val="fr-FR"/>
              </w:rPr>
              <w:t>D</w:t>
            </w:r>
            <w:r w:rsidRPr="00D05C85">
              <w:rPr>
                <w:lang w:val="fr-FR"/>
              </w:rPr>
              <w:t>”</w:t>
            </w:r>
            <w:r w:rsidRPr="00D05C85">
              <w:rPr>
                <w:b/>
                <w:bCs/>
                <w:i/>
                <w:iCs/>
                <w:sz w:val="16"/>
                <w:szCs w:val="16"/>
                <w:lang w:val="fr-FR"/>
              </w:rPr>
              <w:t xml:space="preserve"> (</w:t>
            </w:r>
            <w:r w:rsidR="005B36F1" w:rsidRPr="00D05C85">
              <w:rPr>
                <w:b/>
                <w:bCs/>
                <w:i/>
                <w:iCs/>
                <w:sz w:val="16"/>
                <w:szCs w:val="16"/>
                <w:lang w:val="fr-FR"/>
              </w:rPr>
              <w:t>par. </w:t>
            </w:r>
            <w:r w:rsidRPr="00D05C85">
              <w:rPr>
                <w:b/>
                <w:bCs/>
                <w:i/>
                <w:iCs/>
                <w:sz w:val="16"/>
                <w:szCs w:val="16"/>
                <w:lang w:val="fr-FR"/>
              </w:rPr>
              <w:t>3.3.2.5.2)</w:t>
            </w:r>
          </w:p>
        </w:tc>
        <w:tc>
          <w:tcPr>
            <w:tcW w:w="1282" w:type="dxa"/>
            <w:vMerge/>
            <w:shd w:val="clear" w:color="auto" w:fill="auto"/>
            <w:tcMar>
              <w:top w:w="0" w:type="dxa"/>
              <w:left w:w="5" w:type="dxa"/>
              <w:bottom w:w="0" w:type="dxa"/>
              <w:right w:w="5" w:type="dxa"/>
            </w:tcMar>
            <w:vAlign w:val="bottom"/>
          </w:tcPr>
          <w:p w14:paraId="363F3F75" w14:textId="77777777" w:rsidR="00AF2126" w:rsidRPr="00D05C85" w:rsidRDefault="00AF2126" w:rsidP="00E70082">
            <w:pPr>
              <w:pStyle w:val="Normale1"/>
              <w:spacing w:before="80" w:after="80" w:line="200" w:lineRule="exact"/>
              <w:jc w:val="center"/>
              <w:rPr>
                <w:b/>
                <w:bCs/>
                <w:i/>
                <w:iCs/>
                <w:sz w:val="16"/>
                <w:szCs w:val="16"/>
                <w:lang w:val="fr-FR"/>
              </w:rPr>
            </w:pPr>
          </w:p>
        </w:tc>
        <w:tc>
          <w:tcPr>
            <w:tcW w:w="1128" w:type="dxa"/>
            <w:shd w:val="clear" w:color="auto" w:fill="auto"/>
            <w:tcMar>
              <w:top w:w="0" w:type="dxa"/>
              <w:left w:w="5" w:type="dxa"/>
              <w:bottom w:w="0" w:type="dxa"/>
              <w:right w:w="5" w:type="dxa"/>
            </w:tcMar>
            <w:vAlign w:val="bottom"/>
          </w:tcPr>
          <w:p w14:paraId="33722E7E" w14:textId="77777777" w:rsidR="00AF2126" w:rsidRPr="00D05C85" w:rsidRDefault="00AF2126" w:rsidP="00E70082">
            <w:pPr>
              <w:pStyle w:val="Normale1"/>
              <w:spacing w:before="80" w:after="80" w:line="200" w:lineRule="exact"/>
              <w:jc w:val="center"/>
              <w:rPr>
                <w:b/>
                <w:bCs/>
                <w:i/>
                <w:iCs/>
                <w:sz w:val="16"/>
                <w:szCs w:val="16"/>
                <w:lang w:val="fr-FR"/>
              </w:rPr>
            </w:pPr>
            <w:r w:rsidRPr="00D05C85">
              <w:rPr>
                <w:b/>
                <w:bCs/>
                <w:i/>
                <w:iCs/>
                <w:sz w:val="16"/>
                <w:szCs w:val="16"/>
                <w:lang w:val="fr-FR"/>
              </w:rPr>
              <w:t>Définition</w:t>
            </w:r>
          </w:p>
        </w:tc>
        <w:tc>
          <w:tcPr>
            <w:tcW w:w="997" w:type="dxa"/>
            <w:shd w:val="clear" w:color="auto" w:fill="auto"/>
            <w:vAlign w:val="bottom"/>
          </w:tcPr>
          <w:p w14:paraId="3E6E5A16" w14:textId="65F40A30" w:rsidR="00AF2126" w:rsidRPr="00D05C85" w:rsidRDefault="00AF2126" w:rsidP="00E70082">
            <w:pPr>
              <w:pStyle w:val="Normale1"/>
              <w:spacing w:before="80" w:after="80" w:line="200" w:lineRule="exact"/>
              <w:jc w:val="center"/>
              <w:rPr>
                <w:b/>
                <w:bCs/>
                <w:i/>
                <w:iCs/>
                <w:sz w:val="16"/>
                <w:szCs w:val="16"/>
                <w:lang w:val="fr-FR"/>
              </w:rPr>
            </w:pPr>
            <w:r w:rsidRPr="00D05C85">
              <w:rPr>
                <w:b/>
                <w:bCs/>
                <w:i/>
                <w:iCs/>
                <w:sz w:val="16"/>
                <w:szCs w:val="16"/>
                <w:lang w:val="fr-FR"/>
              </w:rPr>
              <w:t xml:space="preserve">Intensité lumineuse minimale </w:t>
            </w:r>
            <w:r w:rsidR="00CF1C7C" w:rsidRPr="00D05C85">
              <w:rPr>
                <w:b/>
                <w:bCs/>
                <w:i/>
                <w:iCs/>
                <w:sz w:val="16"/>
                <w:szCs w:val="16"/>
                <w:lang w:val="fr-FR"/>
              </w:rPr>
              <w:br/>
            </w:r>
            <w:r w:rsidRPr="00D05C85">
              <w:rPr>
                <w:b/>
                <w:bCs/>
                <w:i/>
                <w:iCs/>
                <w:sz w:val="16"/>
                <w:szCs w:val="16"/>
                <w:lang w:val="fr-FR"/>
              </w:rPr>
              <w:t>en cd</w:t>
            </w:r>
          </w:p>
        </w:tc>
      </w:tr>
      <w:tr w:rsidR="00AF2126" w:rsidRPr="00D05C85" w14:paraId="5F33BEF1" w14:textId="77777777" w:rsidTr="00CF1C7C">
        <w:trPr>
          <w:trHeight w:val="369"/>
        </w:trPr>
        <w:tc>
          <w:tcPr>
            <w:tcW w:w="1413" w:type="dxa"/>
            <w:shd w:val="clear" w:color="auto" w:fill="auto"/>
            <w:tcMar>
              <w:top w:w="15" w:type="dxa"/>
              <w:left w:w="15" w:type="dxa"/>
              <w:bottom w:w="0" w:type="dxa"/>
              <w:right w:w="15" w:type="dxa"/>
            </w:tcMar>
            <w:vAlign w:val="center"/>
          </w:tcPr>
          <w:p w14:paraId="7731C879"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R1, MR ou RM1 (intensité constante)</w:t>
            </w:r>
          </w:p>
        </w:tc>
        <w:tc>
          <w:tcPr>
            <w:tcW w:w="1282" w:type="dxa"/>
            <w:shd w:val="clear" w:color="auto" w:fill="auto"/>
            <w:tcMar>
              <w:top w:w="15" w:type="dxa"/>
              <w:left w:w="15" w:type="dxa"/>
              <w:bottom w:w="0" w:type="dxa"/>
              <w:right w:w="15" w:type="dxa"/>
            </w:tcMar>
            <w:vAlign w:val="center"/>
          </w:tcPr>
          <w:p w14:paraId="4BE4BBF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4∙10</w:t>
            </w:r>
            <w:r w:rsidRPr="00D05C85">
              <w:rPr>
                <w:sz w:val="18"/>
                <w:szCs w:val="18"/>
                <w:vertAlign w:val="superscript"/>
                <w:lang w:val="fr-FR"/>
              </w:rPr>
              <w:t>0</w:t>
            </w:r>
          </w:p>
        </w:tc>
        <w:tc>
          <w:tcPr>
            <w:tcW w:w="1128" w:type="dxa"/>
            <w:shd w:val="clear" w:color="auto" w:fill="auto"/>
            <w:tcMar>
              <w:top w:w="15" w:type="dxa"/>
              <w:left w:w="15" w:type="dxa"/>
              <w:bottom w:w="0" w:type="dxa"/>
              <w:right w:w="15" w:type="dxa"/>
            </w:tcMar>
            <w:vAlign w:val="center"/>
          </w:tcPr>
          <w:p w14:paraId="210D1129"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1,7∙10</w:t>
            </w:r>
            <w:r w:rsidRPr="00D05C85">
              <w:rPr>
                <w:sz w:val="18"/>
                <w:szCs w:val="18"/>
                <w:vertAlign w:val="superscript"/>
                <w:lang w:val="fr-FR"/>
              </w:rPr>
              <w:t>1</w:t>
            </w:r>
          </w:p>
        </w:tc>
        <w:tc>
          <w:tcPr>
            <w:tcW w:w="1275" w:type="dxa"/>
            <w:shd w:val="clear" w:color="auto" w:fill="auto"/>
            <w:tcMar>
              <w:top w:w="15" w:type="dxa"/>
              <w:left w:w="15" w:type="dxa"/>
              <w:bottom w:w="0" w:type="dxa"/>
              <w:right w:w="15" w:type="dxa"/>
            </w:tcMar>
            <w:vAlign w:val="center"/>
          </w:tcPr>
          <w:p w14:paraId="0D581E7A"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8,5∙10</w:t>
            </w:r>
            <w:r w:rsidRPr="00D05C85">
              <w:rPr>
                <w:sz w:val="18"/>
                <w:szCs w:val="18"/>
                <w:vertAlign w:val="superscript"/>
                <w:lang w:val="fr-FR"/>
              </w:rPr>
              <w:t>0</w:t>
            </w:r>
          </w:p>
        </w:tc>
        <w:tc>
          <w:tcPr>
            <w:tcW w:w="1282" w:type="dxa"/>
            <w:shd w:val="clear" w:color="auto" w:fill="auto"/>
            <w:tcMar>
              <w:top w:w="0" w:type="dxa"/>
              <w:left w:w="5" w:type="dxa"/>
              <w:bottom w:w="0" w:type="dxa"/>
              <w:right w:w="5" w:type="dxa"/>
            </w:tcMar>
            <w:vAlign w:val="center"/>
          </w:tcPr>
          <w:p w14:paraId="0895D3DD"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28" w:type="dxa"/>
            <w:shd w:val="clear" w:color="auto" w:fill="auto"/>
            <w:tcMar>
              <w:top w:w="0" w:type="dxa"/>
              <w:left w:w="5" w:type="dxa"/>
              <w:bottom w:w="0" w:type="dxa"/>
              <w:right w:w="5" w:type="dxa"/>
            </w:tcMar>
            <w:vAlign w:val="center"/>
          </w:tcPr>
          <w:p w14:paraId="76ED78D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0F41826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5∙10</w:t>
            </w:r>
            <w:r w:rsidRPr="00D05C85">
              <w:rPr>
                <w:sz w:val="18"/>
                <w:szCs w:val="18"/>
                <w:vertAlign w:val="superscript"/>
                <w:lang w:val="fr-FR"/>
              </w:rPr>
              <w:t>-2</w:t>
            </w:r>
          </w:p>
        </w:tc>
      </w:tr>
      <w:tr w:rsidR="00AF2126" w:rsidRPr="00D05C85" w14:paraId="66032A9E" w14:textId="77777777" w:rsidTr="00CF1C7C">
        <w:trPr>
          <w:trHeight w:val="220"/>
        </w:trPr>
        <w:tc>
          <w:tcPr>
            <w:tcW w:w="1413" w:type="dxa"/>
            <w:shd w:val="clear" w:color="auto" w:fill="auto"/>
            <w:tcMar>
              <w:top w:w="15" w:type="dxa"/>
              <w:left w:w="15" w:type="dxa"/>
              <w:bottom w:w="0" w:type="dxa"/>
              <w:right w:w="15" w:type="dxa"/>
            </w:tcMar>
            <w:vAlign w:val="center"/>
          </w:tcPr>
          <w:p w14:paraId="5F311F7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R2 ou RM2 (intensité variable)</w:t>
            </w:r>
          </w:p>
        </w:tc>
        <w:tc>
          <w:tcPr>
            <w:tcW w:w="1282" w:type="dxa"/>
            <w:shd w:val="clear" w:color="auto" w:fill="auto"/>
            <w:tcMar>
              <w:top w:w="15" w:type="dxa"/>
              <w:left w:w="15" w:type="dxa"/>
              <w:bottom w:w="0" w:type="dxa"/>
              <w:right w:w="15" w:type="dxa"/>
            </w:tcMar>
            <w:vAlign w:val="center"/>
          </w:tcPr>
          <w:p w14:paraId="7A919C2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4∙10</w:t>
            </w:r>
            <w:r w:rsidRPr="00D05C85">
              <w:rPr>
                <w:sz w:val="18"/>
                <w:szCs w:val="18"/>
                <w:vertAlign w:val="superscript"/>
                <w:lang w:val="fr-FR"/>
              </w:rPr>
              <w:t>0</w:t>
            </w:r>
          </w:p>
        </w:tc>
        <w:tc>
          <w:tcPr>
            <w:tcW w:w="1128" w:type="dxa"/>
            <w:shd w:val="clear" w:color="auto" w:fill="auto"/>
            <w:tcMar>
              <w:top w:w="15" w:type="dxa"/>
              <w:left w:w="15" w:type="dxa"/>
              <w:bottom w:w="0" w:type="dxa"/>
              <w:right w:w="15" w:type="dxa"/>
            </w:tcMar>
            <w:vAlign w:val="center"/>
          </w:tcPr>
          <w:p w14:paraId="3F2088A4"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4,2∙10</w:t>
            </w:r>
            <w:r w:rsidRPr="00D05C85">
              <w:rPr>
                <w:sz w:val="18"/>
                <w:szCs w:val="18"/>
                <w:vertAlign w:val="superscript"/>
                <w:lang w:val="fr-FR"/>
              </w:rPr>
              <w:t>1</w:t>
            </w:r>
          </w:p>
        </w:tc>
        <w:tc>
          <w:tcPr>
            <w:tcW w:w="1275" w:type="dxa"/>
            <w:shd w:val="clear" w:color="auto" w:fill="auto"/>
            <w:tcMar>
              <w:top w:w="15" w:type="dxa"/>
              <w:left w:w="15" w:type="dxa"/>
              <w:bottom w:w="0" w:type="dxa"/>
              <w:right w:w="15" w:type="dxa"/>
            </w:tcMar>
            <w:vAlign w:val="center"/>
          </w:tcPr>
          <w:p w14:paraId="5E26DAC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2,1∙10</w:t>
            </w:r>
            <w:r w:rsidRPr="00D05C85">
              <w:rPr>
                <w:sz w:val="18"/>
                <w:szCs w:val="18"/>
                <w:vertAlign w:val="superscript"/>
                <w:lang w:val="fr-FR"/>
              </w:rPr>
              <w:t>1</w:t>
            </w:r>
          </w:p>
        </w:tc>
        <w:tc>
          <w:tcPr>
            <w:tcW w:w="1282" w:type="dxa"/>
            <w:shd w:val="clear" w:color="auto" w:fill="auto"/>
            <w:tcMar>
              <w:top w:w="0" w:type="dxa"/>
              <w:left w:w="5" w:type="dxa"/>
              <w:bottom w:w="0" w:type="dxa"/>
              <w:right w:w="5" w:type="dxa"/>
            </w:tcMar>
            <w:vAlign w:val="center"/>
          </w:tcPr>
          <w:p w14:paraId="13A5323C"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28" w:type="dxa"/>
            <w:shd w:val="clear" w:color="auto" w:fill="auto"/>
            <w:tcMar>
              <w:top w:w="0" w:type="dxa"/>
              <w:left w:w="5" w:type="dxa"/>
              <w:bottom w:w="0" w:type="dxa"/>
              <w:right w:w="5" w:type="dxa"/>
            </w:tcMar>
            <w:vAlign w:val="center"/>
          </w:tcPr>
          <w:p w14:paraId="4384E50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5C528D4A"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5∙10</w:t>
            </w:r>
            <w:r w:rsidRPr="00D05C85">
              <w:rPr>
                <w:sz w:val="18"/>
                <w:szCs w:val="18"/>
                <w:vertAlign w:val="superscript"/>
                <w:lang w:val="fr-FR"/>
              </w:rPr>
              <w:t>-2</w:t>
            </w:r>
          </w:p>
        </w:tc>
      </w:tr>
    </w:tbl>
    <w:p w14:paraId="2286EE54" w14:textId="77777777" w:rsidR="00AF2126" w:rsidRPr="00D05C85" w:rsidRDefault="00AF2126" w:rsidP="00AF2126">
      <w:pPr>
        <w:pStyle w:val="SingleTxtG"/>
        <w:spacing w:before="240"/>
        <w:ind w:left="2268" w:hanging="1134"/>
        <w:rPr>
          <w:lang w:val="fr-FR"/>
        </w:rPr>
      </w:pPr>
      <w:r w:rsidRPr="00D05C85">
        <w:rPr>
          <w:lang w:val="fr-FR"/>
        </w:rPr>
        <w:t>5.2.2</w:t>
      </w:r>
      <w:r w:rsidRPr="00D05C85">
        <w:rPr>
          <w:lang w:val="fr-FR"/>
        </w:rPr>
        <w:tab/>
        <w:t>Intensité lumineuse minimale sous les angles de visibilité géométrique :</w:t>
      </w:r>
    </w:p>
    <w:p w14:paraId="2D71DAD1" w14:textId="77777777" w:rsidR="00AF2126" w:rsidRPr="00D05C85" w:rsidRDefault="00AF2126" w:rsidP="00AF2126">
      <w:pPr>
        <w:pStyle w:val="SingleTxtG"/>
        <w:ind w:left="2268"/>
        <w:rPr>
          <w:lang w:val="fr-FR"/>
        </w:rPr>
      </w:pPr>
      <w:r w:rsidRPr="00D05C85">
        <w:rPr>
          <w:lang w:val="fr-FR"/>
        </w:rPr>
        <w:tab/>
        <w:t>Voir le tableau 4.</w:t>
      </w:r>
    </w:p>
    <w:p w14:paraId="03E456A7" w14:textId="77777777" w:rsidR="00AF2126" w:rsidRPr="00D05C85" w:rsidRDefault="00AF2126" w:rsidP="00AF2126">
      <w:pPr>
        <w:pStyle w:val="SingleTxtG"/>
        <w:ind w:left="2268" w:hanging="1134"/>
        <w:rPr>
          <w:lang w:val="fr-FR"/>
        </w:rPr>
      </w:pPr>
      <w:r w:rsidRPr="00D05C85">
        <w:rPr>
          <w:lang w:val="fr-FR"/>
        </w:rPr>
        <w:t>5.2.3</w:t>
      </w:r>
      <w:r w:rsidRPr="00D05C85">
        <w:rPr>
          <w:lang w:val="fr-FR"/>
        </w:rPr>
        <w:tab/>
        <w:t>Superficie minimale ou maximale de la surface apparente :</w:t>
      </w:r>
    </w:p>
    <w:p w14:paraId="69DCE629" w14:textId="77777777" w:rsidR="00AF2126" w:rsidRPr="00D05C85" w:rsidRDefault="00AF2126" w:rsidP="00AF2126">
      <w:pPr>
        <w:pStyle w:val="SingleTxtG"/>
        <w:ind w:left="2268"/>
        <w:rPr>
          <w:lang w:val="fr-FR"/>
        </w:rPr>
      </w:pPr>
      <w:r w:rsidRPr="00D05C85">
        <w:rPr>
          <w:lang w:val="fr-FR"/>
        </w:rPr>
        <w:tab/>
        <w:t>Pas de prescriptions.</w:t>
      </w:r>
    </w:p>
    <w:p w14:paraId="5A769426" w14:textId="77777777" w:rsidR="00AF2126" w:rsidRPr="00D05C85" w:rsidRDefault="00AF2126" w:rsidP="00AF2126">
      <w:pPr>
        <w:pStyle w:val="SingleTxtG"/>
        <w:ind w:left="2268" w:hanging="1134"/>
        <w:rPr>
          <w:lang w:val="fr-FR"/>
        </w:rPr>
      </w:pPr>
      <w:r w:rsidRPr="00D05C85">
        <w:rPr>
          <w:lang w:val="fr-FR"/>
        </w:rPr>
        <w:t>5.2.4</w:t>
      </w:r>
      <w:r w:rsidRPr="00D05C85">
        <w:rPr>
          <w:lang w:val="fr-FR"/>
        </w:rPr>
        <w:tab/>
        <w:t>Mesure :</w:t>
      </w:r>
    </w:p>
    <w:p w14:paraId="121E6D2B" w14:textId="21BEC660" w:rsidR="00AF2126" w:rsidRPr="00D05C85" w:rsidRDefault="00AF2126" w:rsidP="00AF2126">
      <w:pPr>
        <w:pStyle w:val="SingleTxtG"/>
        <w:ind w:left="2268"/>
        <w:rPr>
          <w:lang w:val="fr-FR"/>
        </w:rPr>
      </w:pPr>
      <w:r w:rsidRPr="00D05C85">
        <w:rPr>
          <w:lang w:val="fr-FR"/>
        </w:rPr>
        <w:tab/>
        <w:t xml:space="preserve">Pour les feux d’encombrement (RM1 </w:t>
      </w:r>
      <w:r w:rsidR="00910B33">
        <w:rPr>
          <w:lang w:val="fr-FR"/>
        </w:rPr>
        <w:t xml:space="preserve">et </w:t>
      </w:r>
      <w:r w:rsidRPr="00D05C85">
        <w:rPr>
          <w:lang w:val="fr-FR"/>
        </w:rPr>
        <w:t>RM2), la répartition normalisée de la lumière peut, à la requête du demandeur, être considérée de la ligne</w:t>
      </w:r>
      <w:r w:rsidR="005B36F1" w:rsidRPr="00D05C85">
        <w:rPr>
          <w:lang w:val="fr-FR"/>
        </w:rPr>
        <w:t> V</w:t>
      </w:r>
      <w:r w:rsidRPr="00D05C85">
        <w:rPr>
          <w:lang w:val="fr-FR"/>
        </w:rPr>
        <w:t>V jusqu’au bord extérieur seulement.</w:t>
      </w:r>
    </w:p>
    <w:p w14:paraId="344ECBA9" w14:textId="77777777" w:rsidR="00AF2126" w:rsidRPr="00D05C85" w:rsidRDefault="00AF2126" w:rsidP="00AF2126">
      <w:pPr>
        <w:pStyle w:val="SingleTxtG"/>
        <w:ind w:left="2268" w:hanging="1134"/>
        <w:rPr>
          <w:lang w:val="fr-FR"/>
        </w:rPr>
      </w:pPr>
      <w:r w:rsidRPr="00D05C85">
        <w:rPr>
          <w:lang w:val="fr-FR"/>
        </w:rPr>
        <w:t>5.2.5</w:t>
      </w:r>
      <w:r w:rsidRPr="00D05C85">
        <w:rPr>
          <w:lang w:val="fr-FR"/>
        </w:rPr>
        <w:tab/>
        <w:t>Prescriptions supplémentaires :</w:t>
      </w:r>
    </w:p>
    <w:p w14:paraId="4DE7DF58" w14:textId="77777777" w:rsidR="00AF2126" w:rsidRPr="00D05C85" w:rsidRDefault="00AF2126" w:rsidP="00AF2126">
      <w:pPr>
        <w:pStyle w:val="SingleTxtG"/>
        <w:ind w:left="2268"/>
        <w:rPr>
          <w:lang w:val="fr-FR"/>
        </w:rPr>
      </w:pPr>
      <w:r w:rsidRPr="00D05C85">
        <w:rPr>
          <w:lang w:val="fr-FR"/>
        </w:rPr>
        <w:tab/>
        <w:t>Aucune.</w:t>
      </w:r>
    </w:p>
    <w:p w14:paraId="537021B6" w14:textId="77777777" w:rsidR="00AF2126" w:rsidRPr="00D05C85" w:rsidRDefault="00AF2126" w:rsidP="00AF2126">
      <w:pPr>
        <w:pStyle w:val="SingleTxtG"/>
        <w:ind w:left="2268" w:hanging="1134"/>
        <w:rPr>
          <w:lang w:val="fr-FR"/>
        </w:rPr>
      </w:pPr>
      <w:r w:rsidRPr="00D05C85">
        <w:rPr>
          <w:lang w:val="fr-FR"/>
        </w:rPr>
        <w:t>5.2.6</w:t>
      </w:r>
      <w:r w:rsidRPr="00D05C85">
        <w:rPr>
          <w:lang w:val="fr-FR"/>
        </w:rPr>
        <w:tab/>
        <w:t>Dispositions applicables en cas de défaillance :</w:t>
      </w:r>
    </w:p>
    <w:p w14:paraId="0FCA2ECB" w14:textId="77777777" w:rsidR="00AF2126" w:rsidRPr="00D05C85" w:rsidRDefault="00AF2126" w:rsidP="00AF2126">
      <w:pPr>
        <w:pStyle w:val="SingleTxtG"/>
        <w:ind w:left="2268"/>
        <w:rPr>
          <w:lang w:val="fr-FR"/>
        </w:rPr>
      </w:pPr>
      <w:r w:rsidRPr="00D05C85">
        <w:rPr>
          <w:lang w:val="fr-FR"/>
        </w:rPr>
        <w:tab/>
        <w:t>Voir le paragraphe 4.6.</w:t>
      </w:r>
    </w:p>
    <w:p w14:paraId="5A71D5E5" w14:textId="77777777" w:rsidR="00AF2126" w:rsidRPr="00D05C85" w:rsidRDefault="00AF2126" w:rsidP="00AF2126">
      <w:pPr>
        <w:pStyle w:val="SingleTxtG"/>
        <w:ind w:left="2268" w:hanging="1134"/>
        <w:rPr>
          <w:lang w:val="fr-FR"/>
        </w:rPr>
      </w:pPr>
      <w:r w:rsidRPr="00D05C85">
        <w:rPr>
          <w:lang w:val="fr-FR"/>
        </w:rPr>
        <w:t>5.2.7</w:t>
      </w:r>
      <w:r w:rsidRPr="00D05C85">
        <w:rPr>
          <w:lang w:val="fr-FR"/>
        </w:rPr>
        <w:tab/>
        <w:t>Couleur :</w:t>
      </w:r>
    </w:p>
    <w:p w14:paraId="5C279C37" w14:textId="77777777" w:rsidR="00AF2126" w:rsidRPr="00D05C85" w:rsidRDefault="00AF2126" w:rsidP="00AF2126">
      <w:pPr>
        <w:pStyle w:val="SingleTxtG"/>
        <w:ind w:left="2268"/>
        <w:rPr>
          <w:lang w:val="fr-FR"/>
        </w:rPr>
      </w:pPr>
      <w:r w:rsidRPr="00D05C85">
        <w:rPr>
          <w:lang w:val="fr-FR"/>
        </w:rPr>
        <w:tab/>
        <w:t>La couleur de la lumière émise doit être rouge.</w:t>
      </w:r>
    </w:p>
    <w:p w14:paraId="76A0C4A4" w14:textId="77777777" w:rsidR="00AF2126" w:rsidRPr="00D05C85" w:rsidRDefault="00AF2126" w:rsidP="00AF2126">
      <w:pPr>
        <w:pStyle w:val="SingleTxtG"/>
        <w:ind w:left="2268" w:hanging="1134"/>
        <w:rPr>
          <w:lang w:val="fr-FR"/>
        </w:rPr>
      </w:pPr>
      <w:r w:rsidRPr="00D05C85">
        <w:rPr>
          <w:lang w:val="fr-FR"/>
        </w:rPr>
        <w:t>5.3</w:t>
      </w:r>
      <w:r w:rsidRPr="00D05C85">
        <w:rPr>
          <w:lang w:val="fr-FR"/>
        </w:rPr>
        <w:tab/>
        <w:t>Feux de stationnement (77R)</w:t>
      </w:r>
    </w:p>
    <w:p w14:paraId="10A4BF8B" w14:textId="0DE7176F" w:rsidR="00AF2126" w:rsidRPr="00D05C85" w:rsidRDefault="00AF2126" w:rsidP="00AF2126">
      <w:pPr>
        <w:pStyle w:val="SingleTxtG"/>
        <w:ind w:left="2268" w:hanging="1134"/>
        <w:rPr>
          <w:lang w:val="fr-FR"/>
        </w:rPr>
      </w:pPr>
      <w:r w:rsidRPr="00D05C85">
        <w:rPr>
          <w:lang w:val="fr-FR"/>
        </w:rPr>
        <w:t>5.3.1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1B54E3A2" w14:textId="77777777" w:rsidR="00AF2126" w:rsidRPr="00D05C85" w:rsidRDefault="00AF2126" w:rsidP="00AF2126">
      <w:pPr>
        <w:pStyle w:val="SingleTxtG"/>
        <w:ind w:left="2268"/>
        <w:rPr>
          <w:lang w:val="fr-FR"/>
        </w:rPr>
      </w:pPr>
      <w:r w:rsidRPr="00D05C85">
        <w:rPr>
          <w:lang w:val="fr-FR"/>
        </w:rPr>
        <w:tab/>
        <w:t>La lumière émise par chacun des deux échantillons fournis doit satisfaire aux prescriptions du tableau 5.</w:t>
      </w:r>
    </w:p>
    <w:p w14:paraId="22AD70CE" w14:textId="77777777" w:rsidR="00AF2126" w:rsidRPr="00D05C85" w:rsidRDefault="00AF2126" w:rsidP="00AF2126">
      <w:pPr>
        <w:pStyle w:val="SingleTxtG"/>
        <w:ind w:left="2268"/>
        <w:rPr>
          <w:lang w:val="fr-FR"/>
        </w:rPr>
      </w:pPr>
      <w:r w:rsidRPr="00D05C85">
        <w:rPr>
          <w:lang w:val="fr-FR"/>
        </w:rPr>
        <w:lastRenderedPageBreak/>
        <w:t>Toutefois, une intensité lumineuse de 6,0∙10</w:t>
      </w:r>
      <w:r w:rsidRPr="00D05C85">
        <w:rPr>
          <w:vertAlign w:val="superscript"/>
          <w:lang w:val="fr-FR"/>
        </w:rPr>
        <w:t>1</w:t>
      </w:r>
      <w:r w:rsidRPr="00D05C85">
        <w:rPr>
          <w:lang w:val="fr-FR"/>
        </w:rPr>
        <w:t xml:space="preserve"> cd est admise pour les feux de stationnement orientés vers l’arrière incorporés avec des feux-stop au-dessous d’un plan formant un angle de 5° vers le bas avec le plan horizontal.</w:t>
      </w:r>
    </w:p>
    <w:p w14:paraId="72CD5617" w14:textId="77777777" w:rsidR="00AF2126" w:rsidRPr="00D05C85" w:rsidRDefault="00AF2126" w:rsidP="00AF2126">
      <w:pPr>
        <w:pStyle w:val="Titre1"/>
        <w:tabs>
          <w:tab w:val="left" w:pos="1701"/>
          <w:tab w:val="left" w:pos="2268"/>
          <w:tab w:val="left" w:pos="2835"/>
        </w:tabs>
        <w:spacing w:after="120"/>
        <w:rPr>
          <w:rStyle w:val="Carpredefinitoparagrafo1"/>
          <w:b/>
          <w:bCs/>
          <w:lang w:val="fr-FR"/>
        </w:rPr>
      </w:pPr>
      <w:r w:rsidRPr="00D05C85">
        <w:rPr>
          <w:lang w:val="fr-FR"/>
        </w:rPr>
        <w:t>Tableau 5</w:t>
      </w:r>
      <w:r w:rsidRPr="00D05C85">
        <w:rPr>
          <w:lang w:val="fr-FR"/>
        </w:rPr>
        <w:br/>
      </w:r>
      <w:r w:rsidRPr="00D05C85">
        <w:rPr>
          <w:b/>
          <w:bCs/>
          <w:lang w:val="fr-FR"/>
        </w:rPr>
        <w:t>Intensité lumineuse des feux de stationnement</w:t>
      </w:r>
    </w:p>
    <w:tbl>
      <w:tblPr>
        <w:tblStyle w:val="Grilledutableau"/>
        <w:tblW w:w="8505" w:type="dxa"/>
        <w:tblInd w:w="1129" w:type="dxa"/>
        <w:tblLayout w:type="fixed"/>
        <w:tblCellMar>
          <w:left w:w="57" w:type="dxa"/>
          <w:right w:w="57" w:type="dxa"/>
        </w:tblCellMar>
        <w:tblLook w:val="04A0" w:firstRow="1" w:lastRow="0" w:firstColumn="1" w:lastColumn="0" w:noHBand="0" w:noVBand="1"/>
      </w:tblPr>
      <w:tblGrid>
        <w:gridCol w:w="1492"/>
        <w:gridCol w:w="1202"/>
        <w:gridCol w:w="2409"/>
        <w:gridCol w:w="1276"/>
        <w:gridCol w:w="1134"/>
        <w:gridCol w:w="992"/>
      </w:tblGrid>
      <w:tr w:rsidR="00AF2126" w:rsidRPr="00D05C85" w14:paraId="55F75992" w14:textId="77777777" w:rsidTr="00CF1C7C">
        <w:tc>
          <w:tcPr>
            <w:tcW w:w="1492" w:type="dxa"/>
            <w:vMerge w:val="restart"/>
            <w:vAlign w:val="bottom"/>
          </w:tcPr>
          <w:p w14:paraId="4A6CA698" w14:textId="77777777" w:rsidR="00AF2126" w:rsidRPr="00D05C85" w:rsidRDefault="00AF2126" w:rsidP="00E70082">
            <w:pPr>
              <w:spacing w:before="80" w:after="80" w:line="200" w:lineRule="exact"/>
              <w:jc w:val="center"/>
              <w:rPr>
                <w:rStyle w:val="Carpredefinitoparagrafo1"/>
                <w:b/>
                <w:i/>
                <w:iCs/>
                <w:sz w:val="16"/>
                <w:szCs w:val="16"/>
                <w:lang w:val="fr-FR"/>
              </w:rPr>
            </w:pPr>
            <w:r w:rsidRPr="00D05C85">
              <w:rPr>
                <w:b/>
                <w:bCs/>
                <w:i/>
                <w:iCs/>
                <w:sz w:val="16"/>
                <w:szCs w:val="16"/>
                <w:lang w:val="fr-FR"/>
              </w:rPr>
              <w:t>Feux de stationnement</w:t>
            </w:r>
          </w:p>
        </w:tc>
        <w:tc>
          <w:tcPr>
            <w:tcW w:w="1202" w:type="dxa"/>
            <w:vMerge w:val="restart"/>
            <w:vAlign w:val="bottom"/>
          </w:tcPr>
          <w:p w14:paraId="453FE0F9" w14:textId="77A8C026" w:rsidR="00AF2126" w:rsidRPr="00D05C85" w:rsidRDefault="00AF2126" w:rsidP="00E70082">
            <w:pPr>
              <w:spacing w:before="80" w:after="80" w:line="200" w:lineRule="exact"/>
              <w:jc w:val="center"/>
              <w:rPr>
                <w:rStyle w:val="Carpredefinitoparagrafo1"/>
                <w:b/>
                <w:i/>
                <w:iCs/>
                <w:sz w:val="16"/>
                <w:szCs w:val="16"/>
                <w:lang w:val="fr-FR"/>
              </w:rPr>
            </w:pPr>
            <w:r w:rsidRPr="00D05C85">
              <w:rPr>
                <w:b/>
                <w:bCs/>
                <w:i/>
                <w:iCs/>
                <w:sz w:val="16"/>
                <w:szCs w:val="16"/>
                <w:lang w:val="fr-FR"/>
              </w:rPr>
              <w:t>Intensité lumineuse minimale en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a))</w:t>
            </w:r>
          </w:p>
        </w:tc>
        <w:tc>
          <w:tcPr>
            <w:tcW w:w="2409" w:type="dxa"/>
            <w:vMerge w:val="restart"/>
            <w:vAlign w:val="bottom"/>
          </w:tcPr>
          <w:p w14:paraId="3EA67C6F" w14:textId="51E8257E" w:rsidR="00AF2126" w:rsidRPr="00D05C85" w:rsidRDefault="00AF2126" w:rsidP="00E70082">
            <w:pPr>
              <w:spacing w:before="80" w:after="80" w:line="200" w:lineRule="exact"/>
              <w:jc w:val="center"/>
              <w:rPr>
                <w:rStyle w:val="Carpredefinitoparagrafo1"/>
                <w:b/>
                <w:i/>
                <w:iCs/>
                <w:sz w:val="16"/>
                <w:szCs w:val="16"/>
                <w:lang w:val="fr-FR"/>
              </w:rPr>
            </w:pPr>
            <w:r w:rsidRPr="00D05C85">
              <w:rPr>
                <w:b/>
                <w:bCs/>
                <w:i/>
                <w:iCs/>
                <w:sz w:val="16"/>
                <w:szCs w:val="16"/>
                <w:lang w:val="fr-FR"/>
              </w:rPr>
              <w:t xml:space="preserve">Intensité lumineuse </w:t>
            </w:r>
            <w:r w:rsidR="00CF1C7C" w:rsidRPr="00D05C85">
              <w:rPr>
                <w:b/>
                <w:bCs/>
                <w:i/>
                <w:iCs/>
                <w:sz w:val="16"/>
                <w:szCs w:val="16"/>
                <w:lang w:val="fr-FR"/>
              </w:rPr>
              <w:br/>
            </w:r>
            <w:r w:rsidRPr="00D05C85">
              <w:rPr>
                <w:b/>
                <w:bCs/>
                <w:i/>
                <w:iCs/>
                <w:sz w:val="16"/>
                <w:szCs w:val="16"/>
                <w:lang w:val="fr-FR"/>
              </w:rPr>
              <w:t>maximale en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b))</w:t>
            </w:r>
          </w:p>
        </w:tc>
        <w:tc>
          <w:tcPr>
            <w:tcW w:w="1276" w:type="dxa"/>
            <w:vMerge w:val="restart"/>
            <w:vAlign w:val="bottom"/>
          </w:tcPr>
          <w:p w14:paraId="14008F36" w14:textId="2B49FAC1" w:rsidR="00AF2126" w:rsidRPr="00D05C85" w:rsidRDefault="00AF2126" w:rsidP="00E70082">
            <w:pPr>
              <w:spacing w:before="80" w:after="80" w:line="200" w:lineRule="exact"/>
              <w:jc w:val="center"/>
              <w:rPr>
                <w:rStyle w:val="Carpredefinitoparagrafo1"/>
                <w:b/>
                <w:i/>
                <w:iCs/>
                <w:sz w:val="16"/>
                <w:szCs w:val="16"/>
                <w:lang w:val="fr-FR"/>
              </w:rPr>
            </w:pPr>
            <w:r w:rsidRPr="00D05C85">
              <w:rPr>
                <w:b/>
                <w:bCs/>
                <w:i/>
                <w:iCs/>
                <w:sz w:val="16"/>
                <w:szCs w:val="16"/>
                <w:lang w:val="fr-FR"/>
              </w:rPr>
              <w:t xml:space="preserve">Répartition normalisée </w:t>
            </w:r>
            <w:r w:rsidR="00CF1C7C" w:rsidRPr="00D05C85">
              <w:rPr>
                <w:b/>
                <w:bCs/>
                <w:i/>
                <w:iCs/>
                <w:sz w:val="16"/>
                <w:szCs w:val="16"/>
                <w:lang w:val="fr-FR"/>
              </w:rPr>
              <w:br/>
            </w:r>
            <w:r w:rsidRPr="00D05C85">
              <w:rPr>
                <w:b/>
                <w:bCs/>
                <w:i/>
                <w:iCs/>
                <w:sz w:val="16"/>
                <w:szCs w:val="16"/>
                <w:lang w:val="fr-FR"/>
              </w:rP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2126" w:type="dxa"/>
            <w:gridSpan w:val="2"/>
            <w:vAlign w:val="bottom"/>
          </w:tcPr>
          <w:p w14:paraId="7482B8C5" w14:textId="137517E8" w:rsidR="00AF2126" w:rsidRPr="00D05C85" w:rsidRDefault="00AF2126" w:rsidP="00E70082">
            <w:pPr>
              <w:spacing w:before="80" w:after="80" w:line="200" w:lineRule="exact"/>
              <w:jc w:val="center"/>
              <w:rPr>
                <w:rStyle w:val="Carpredefinitoparagrafo1"/>
                <w:b/>
                <w:i/>
                <w:iCs/>
                <w:sz w:val="16"/>
                <w:szCs w:val="16"/>
                <w:lang w:val="fr-FR"/>
              </w:rPr>
            </w:pPr>
            <w:r w:rsidRPr="00D05C85">
              <w:rPr>
                <w:b/>
                <w:bCs/>
                <w:i/>
                <w:iCs/>
                <w:sz w:val="16"/>
                <w:szCs w:val="16"/>
                <w:lang w:val="fr-FR"/>
              </w:rPr>
              <w:t>Angles de visibilité géométrique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d))</w:t>
            </w:r>
          </w:p>
        </w:tc>
      </w:tr>
      <w:tr w:rsidR="00AF2126" w:rsidRPr="00D05C85" w14:paraId="3E7C5D11" w14:textId="77777777" w:rsidTr="00CF1C7C">
        <w:tc>
          <w:tcPr>
            <w:tcW w:w="1492" w:type="dxa"/>
            <w:vMerge/>
            <w:vAlign w:val="bottom"/>
          </w:tcPr>
          <w:p w14:paraId="0D34278F" w14:textId="77777777" w:rsidR="00AF2126" w:rsidRPr="00D05C85" w:rsidRDefault="00AF2126" w:rsidP="00E70082">
            <w:pPr>
              <w:spacing w:before="80" w:after="80" w:line="200" w:lineRule="exact"/>
              <w:jc w:val="center"/>
              <w:rPr>
                <w:rStyle w:val="Carpredefinitoparagrafo1"/>
                <w:b/>
                <w:i/>
                <w:iCs/>
                <w:sz w:val="16"/>
                <w:szCs w:val="16"/>
                <w:lang w:val="fr-FR"/>
              </w:rPr>
            </w:pPr>
          </w:p>
        </w:tc>
        <w:tc>
          <w:tcPr>
            <w:tcW w:w="1202" w:type="dxa"/>
            <w:vMerge/>
            <w:vAlign w:val="bottom"/>
          </w:tcPr>
          <w:p w14:paraId="24DE538C" w14:textId="77777777" w:rsidR="00AF2126" w:rsidRPr="00D05C85" w:rsidRDefault="00AF2126" w:rsidP="00E70082">
            <w:pPr>
              <w:spacing w:before="80" w:after="80" w:line="200" w:lineRule="exact"/>
              <w:jc w:val="center"/>
              <w:rPr>
                <w:rStyle w:val="Carpredefinitoparagrafo1"/>
                <w:b/>
                <w:i/>
                <w:iCs/>
                <w:sz w:val="16"/>
                <w:szCs w:val="16"/>
                <w:lang w:val="fr-FR"/>
              </w:rPr>
            </w:pPr>
          </w:p>
        </w:tc>
        <w:tc>
          <w:tcPr>
            <w:tcW w:w="2409" w:type="dxa"/>
            <w:vMerge/>
            <w:vAlign w:val="bottom"/>
          </w:tcPr>
          <w:p w14:paraId="0037D6FD" w14:textId="77777777" w:rsidR="00AF2126" w:rsidRPr="00D05C85" w:rsidRDefault="00AF2126" w:rsidP="00E70082">
            <w:pPr>
              <w:spacing w:before="80" w:after="80" w:line="200" w:lineRule="exact"/>
              <w:jc w:val="center"/>
              <w:rPr>
                <w:rStyle w:val="Carpredefinitoparagrafo1"/>
                <w:b/>
                <w:i/>
                <w:iCs/>
                <w:sz w:val="16"/>
                <w:szCs w:val="16"/>
                <w:lang w:val="fr-FR"/>
              </w:rPr>
            </w:pPr>
          </w:p>
        </w:tc>
        <w:tc>
          <w:tcPr>
            <w:tcW w:w="1276" w:type="dxa"/>
            <w:vMerge/>
            <w:vAlign w:val="bottom"/>
          </w:tcPr>
          <w:p w14:paraId="793F5311" w14:textId="77777777" w:rsidR="00AF2126" w:rsidRPr="00D05C85" w:rsidRDefault="00AF2126" w:rsidP="00E70082">
            <w:pPr>
              <w:spacing w:before="80" w:after="80" w:line="200" w:lineRule="exact"/>
              <w:jc w:val="center"/>
              <w:rPr>
                <w:rStyle w:val="Carpredefinitoparagrafo1"/>
                <w:b/>
                <w:i/>
                <w:iCs/>
                <w:sz w:val="16"/>
                <w:szCs w:val="16"/>
                <w:lang w:val="fr-FR"/>
              </w:rPr>
            </w:pPr>
          </w:p>
        </w:tc>
        <w:tc>
          <w:tcPr>
            <w:tcW w:w="1134" w:type="dxa"/>
            <w:vAlign w:val="bottom"/>
          </w:tcPr>
          <w:p w14:paraId="0D62A4FF" w14:textId="77777777" w:rsidR="00AF2126" w:rsidRPr="00D05C85" w:rsidRDefault="00AF2126" w:rsidP="00E70082">
            <w:pPr>
              <w:spacing w:before="80" w:after="80" w:line="200" w:lineRule="exact"/>
              <w:jc w:val="center"/>
              <w:rPr>
                <w:rStyle w:val="Carpredefinitoparagrafo1"/>
                <w:b/>
                <w:i/>
                <w:iCs/>
                <w:sz w:val="16"/>
                <w:szCs w:val="16"/>
                <w:lang w:val="fr-FR"/>
              </w:rPr>
            </w:pPr>
            <w:r w:rsidRPr="00D05C85">
              <w:rPr>
                <w:b/>
                <w:bCs/>
                <w:i/>
                <w:iCs/>
                <w:sz w:val="16"/>
                <w:szCs w:val="16"/>
                <w:lang w:val="fr-FR"/>
              </w:rPr>
              <w:t>Définition</w:t>
            </w:r>
          </w:p>
        </w:tc>
        <w:tc>
          <w:tcPr>
            <w:tcW w:w="992" w:type="dxa"/>
            <w:vAlign w:val="bottom"/>
          </w:tcPr>
          <w:p w14:paraId="1C608934" w14:textId="48DD0B17" w:rsidR="00AF2126" w:rsidRPr="00D05C85" w:rsidRDefault="00AF2126" w:rsidP="00E70082">
            <w:pPr>
              <w:spacing w:before="80" w:after="80" w:line="200" w:lineRule="exact"/>
              <w:jc w:val="center"/>
              <w:rPr>
                <w:rStyle w:val="Carpredefinitoparagrafo1"/>
                <w:b/>
                <w:i/>
                <w:iCs/>
                <w:sz w:val="16"/>
                <w:szCs w:val="16"/>
                <w:lang w:val="fr-FR"/>
              </w:rPr>
            </w:pPr>
            <w:r w:rsidRPr="00D05C85">
              <w:rPr>
                <w:b/>
                <w:bCs/>
                <w:i/>
                <w:iCs/>
                <w:sz w:val="16"/>
                <w:szCs w:val="16"/>
                <w:lang w:val="fr-FR"/>
              </w:rPr>
              <w:t xml:space="preserve">Intensité lumineuse minimale </w:t>
            </w:r>
            <w:r w:rsidR="00CF1C7C" w:rsidRPr="00D05C85">
              <w:rPr>
                <w:b/>
                <w:bCs/>
                <w:i/>
                <w:iCs/>
                <w:sz w:val="16"/>
                <w:szCs w:val="16"/>
                <w:lang w:val="fr-FR"/>
              </w:rPr>
              <w:br/>
            </w:r>
            <w:r w:rsidRPr="00D05C85">
              <w:rPr>
                <w:b/>
                <w:bCs/>
                <w:i/>
                <w:iCs/>
                <w:sz w:val="16"/>
                <w:szCs w:val="16"/>
                <w:lang w:val="fr-FR"/>
              </w:rPr>
              <w:t>en cd</w:t>
            </w:r>
          </w:p>
        </w:tc>
      </w:tr>
      <w:tr w:rsidR="00AF2126" w:rsidRPr="00D05C85" w14:paraId="138200B5" w14:textId="77777777" w:rsidTr="00CF1C7C">
        <w:tc>
          <w:tcPr>
            <w:tcW w:w="1492" w:type="dxa"/>
            <w:vAlign w:val="center"/>
          </w:tcPr>
          <w:p w14:paraId="440B3276"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Orientés vers l’avant</w:t>
            </w:r>
          </w:p>
        </w:tc>
        <w:tc>
          <w:tcPr>
            <w:tcW w:w="1202" w:type="dxa"/>
            <w:vAlign w:val="center"/>
          </w:tcPr>
          <w:p w14:paraId="7C9BB82C"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2∙10</w:t>
            </w:r>
            <w:r w:rsidRPr="00D05C85">
              <w:rPr>
                <w:sz w:val="18"/>
                <w:szCs w:val="18"/>
                <w:vertAlign w:val="superscript"/>
                <w:lang w:val="fr-FR"/>
              </w:rPr>
              <w:t>0</w:t>
            </w:r>
          </w:p>
        </w:tc>
        <w:tc>
          <w:tcPr>
            <w:tcW w:w="2409" w:type="dxa"/>
            <w:vAlign w:val="center"/>
          </w:tcPr>
          <w:p w14:paraId="7CF571FB"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6,0∙10</w:t>
            </w:r>
            <w:r w:rsidRPr="00D05C85">
              <w:rPr>
                <w:sz w:val="18"/>
                <w:szCs w:val="18"/>
                <w:vertAlign w:val="superscript"/>
                <w:lang w:val="fr-FR"/>
              </w:rPr>
              <w:t>1</w:t>
            </w:r>
          </w:p>
        </w:tc>
        <w:tc>
          <w:tcPr>
            <w:tcW w:w="1276" w:type="dxa"/>
            <w:vAlign w:val="center"/>
          </w:tcPr>
          <w:p w14:paraId="6F22B014"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Figure A3-I</w:t>
            </w:r>
          </w:p>
        </w:tc>
        <w:tc>
          <w:tcPr>
            <w:tcW w:w="1134" w:type="dxa"/>
            <w:vAlign w:val="center"/>
          </w:tcPr>
          <w:p w14:paraId="20C9DFE3"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Tableau A2-1</w:t>
            </w:r>
          </w:p>
        </w:tc>
        <w:tc>
          <w:tcPr>
            <w:tcW w:w="992" w:type="dxa"/>
            <w:vAlign w:val="center"/>
          </w:tcPr>
          <w:p w14:paraId="7B9EBB3D"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5∙10</w:t>
            </w:r>
            <w:r w:rsidRPr="00D05C85">
              <w:rPr>
                <w:sz w:val="18"/>
                <w:szCs w:val="18"/>
                <w:vertAlign w:val="superscript"/>
                <w:lang w:val="fr-FR"/>
              </w:rPr>
              <w:t>-2</w:t>
            </w:r>
          </w:p>
        </w:tc>
      </w:tr>
      <w:tr w:rsidR="00AF2126" w:rsidRPr="00D05C85" w14:paraId="2C41743B" w14:textId="77777777" w:rsidTr="00CF1C7C">
        <w:tc>
          <w:tcPr>
            <w:tcW w:w="1492" w:type="dxa"/>
            <w:vAlign w:val="center"/>
          </w:tcPr>
          <w:p w14:paraId="7D61E8CE"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Orientés vers l’arrière</w:t>
            </w:r>
          </w:p>
        </w:tc>
        <w:tc>
          <w:tcPr>
            <w:tcW w:w="1202" w:type="dxa"/>
            <w:vAlign w:val="center"/>
          </w:tcPr>
          <w:p w14:paraId="302D2ADC"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2∙10</w:t>
            </w:r>
            <w:r w:rsidRPr="00D05C85">
              <w:rPr>
                <w:sz w:val="18"/>
                <w:szCs w:val="18"/>
                <w:vertAlign w:val="superscript"/>
                <w:lang w:val="fr-FR"/>
              </w:rPr>
              <w:t>0</w:t>
            </w:r>
          </w:p>
        </w:tc>
        <w:tc>
          <w:tcPr>
            <w:tcW w:w="2409" w:type="dxa"/>
            <w:vAlign w:val="center"/>
          </w:tcPr>
          <w:p w14:paraId="4FD215DC"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3,0∙10</w:t>
            </w:r>
            <w:r w:rsidRPr="00D05C85">
              <w:rPr>
                <w:sz w:val="18"/>
                <w:szCs w:val="18"/>
                <w:vertAlign w:val="superscript"/>
                <w:lang w:val="fr-FR"/>
              </w:rPr>
              <w:t>1</w:t>
            </w:r>
          </w:p>
        </w:tc>
        <w:tc>
          <w:tcPr>
            <w:tcW w:w="1276" w:type="dxa"/>
            <w:vAlign w:val="center"/>
          </w:tcPr>
          <w:p w14:paraId="499D6DE4"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Figure A3-I</w:t>
            </w:r>
          </w:p>
        </w:tc>
        <w:tc>
          <w:tcPr>
            <w:tcW w:w="1134" w:type="dxa"/>
            <w:vAlign w:val="center"/>
          </w:tcPr>
          <w:p w14:paraId="378D9CEB"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Tableau A2-1</w:t>
            </w:r>
          </w:p>
        </w:tc>
        <w:tc>
          <w:tcPr>
            <w:tcW w:w="992" w:type="dxa"/>
            <w:vAlign w:val="center"/>
          </w:tcPr>
          <w:p w14:paraId="4EC9BC16" w14:textId="77777777" w:rsidR="00AF2126" w:rsidRPr="00D05C85" w:rsidRDefault="00AF2126" w:rsidP="00E70082">
            <w:pPr>
              <w:spacing w:before="40" w:after="40" w:line="220" w:lineRule="exact"/>
              <w:jc w:val="center"/>
              <w:rPr>
                <w:rStyle w:val="Carpredefinitoparagrafo1"/>
                <w:bCs/>
                <w:sz w:val="18"/>
                <w:szCs w:val="18"/>
                <w:lang w:val="fr-FR"/>
              </w:rPr>
            </w:pPr>
            <w:r w:rsidRPr="00D05C85">
              <w:rPr>
                <w:sz w:val="18"/>
                <w:szCs w:val="18"/>
                <w:lang w:val="fr-FR"/>
              </w:rPr>
              <w:t>5∙10</w:t>
            </w:r>
            <w:r w:rsidRPr="00D05C85">
              <w:rPr>
                <w:sz w:val="18"/>
                <w:szCs w:val="18"/>
                <w:vertAlign w:val="superscript"/>
                <w:lang w:val="fr-FR"/>
              </w:rPr>
              <w:t>-2</w:t>
            </w:r>
          </w:p>
        </w:tc>
      </w:tr>
    </w:tbl>
    <w:p w14:paraId="6614C5E9" w14:textId="77777777" w:rsidR="00AF2126" w:rsidRPr="00D05C85" w:rsidRDefault="00AF2126" w:rsidP="00AF2126">
      <w:pPr>
        <w:pStyle w:val="SingleTxtG"/>
        <w:spacing w:before="240"/>
        <w:ind w:left="2268" w:hanging="1134"/>
        <w:rPr>
          <w:lang w:val="fr-FR"/>
        </w:rPr>
      </w:pPr>
      <w:r w:rsidRPr="00D05C85">
        <w:rPr>
          <w:lang w:val="fr-FR"/>
        </w:rPr>
        <w:t>5.3.2</w:t>
      </w:r>
      <w:r w:rsidRPr="00D05C85">
        <w:rPr>
          <w:lang w:val="fr-FR"/>
        </w:rPr>
        <w:tab/>
        <w:t>Intensité lumineuse minimale sous les angles de visibilité géométrique :</w:t>
      </w:r>
    </w:p>
    <w:p w14:paraId="45F96A9D" w14:textId="77777777" w:rsidR="00AF2126" w:rsidRPr="00D05C85" w:rsidRDefault="00AF2126" w:rsidP="00AF2126">
      <w:pPr>
        <w:pStyle w:val="SingleTxtG"/>
        <w:ind w:left="2268"/>
        <w:rPr>
          <w:lang w:val="fr-FR"/>
        </w:rPr>
      </w:pPr>
      <w:r w:rsidRPr="00D05C85">
        <w:rPr>
          <w:lang w:val="fr-FR"/>
        </w:rPr>
        <w:tab/>
        <w:t>Voir le tableau 5.</w:t>
      </w:r>
    </w:p>
    <w:p w14:paraId="0C7BE341" w14:textId="77777777" w:rsidR="00AF2126" w:rsidRPr="00D05C85" w:rsidRDefault="00AF2126" w:rsidP="00AF2126">
      <w:pPr>
        <w:pStyle w:val="SingleTxtG"/>
        <w:ind w:left="2268" w:hanging="1134"/>
        <w:rPr>
          <w:lang w:val="fr-FR"/>
        </w:rPr>
      </w:pPr>
      <w:r w:rsidRPr="00D05C85">
        <w:rPr>
          <w:lang w:val="fr-FR"/>
        </w:rPr>
        <w:t>5.3.3</w:t>
      </w:r>
      <w:r w:rsidRPr="00D05C85">
        <w:rPr>
          <w:lang w:val="fr-FR"/>
        </w:rPr>
        <w:tab/>
        <w:t>Superficie minimale ou maximale de la surface apparente :</w:t>
      </w:r>
    </w:p>
    <w:p w14:paraId="07C9DC67" w14:textId="77777777" w:rsidR="00AF2126" w:rsidRPr="00D05C85" w:rsidRDefault="00AF2126" w:rsidP="00AF2126">
      <w:pPr>
        <w:pStyle w:val="SingleTxtG"/>
        <w:ind w:left="2268"/>
        <w:rPr>
          <w:lang w:val="fr-FR"/>
        </w:rPr>
      </w:pPr>
      <w:r w:rsidRPr="00D05C85">
        <w:rPr>
          <w:lang w:val="fr-FR"/>
        </w:rPr>
        <w:tab/>
        <w:t>Pas de prescriptions.</w:t>
      </w:r>
    </w:p>
    <w:p w14:paraId="66192033" w14:textId="77777777" w:rsidR="00AF2126" w:rsidRPr="00D05C85" w:rsidRDefault="00AF2126" w:rsidP="00AF2126">
      <w:pPr>
        <w:pStyle w:val="SingleTxtG"/>
        <w:ind w:left="2268" w:hanging="1134"/>
        <w:rPr>
          <w:lang w:val="fr-FR"/>
        </w:rPr>
      </w:pPr>
      <w:r w:rsidRPr="00D05C85">
        <w:rPr>
          <w:lang w:val="fr-FR"/>
        </w:rPr>
        <w:t>5.3.4</w:t>
      </w:r>
      <w:r w:rsidRPr="00D05C85">
        <w:rPr>
          <w:lang w:val="fr-FR"/>
        </w:rPr>
        <w:tab/>
        <w:t>Mesure :</w:t>
      </w:r>
    </w:p>
    <w:p w14:paraId="6CF53AFD" w14:textId="00BAA4AE" w:rsidR="00AF2126" w:rsidRPr="00D05C85" w:rsidRDefault="00AF2126" w:rsidP="00AF2126">
      <w:pPr>
        <w:pStyle w:val="SingleTxtG"/>
        <w:ind w:left="2268"/>
        <w:rPr>
          <w:lang w:val="fr-FR"/>
        </w:rPr>
      </w:pPr>
      <w:r w:rsidRPr="00D05C85">
        <w:rPr>
          <w:lang w:val="fr-FR"/>
        </w:rPr>
        <w:t xml:space="preserve">Pour les feux de stationnement avant </w:t>
      </w:r>
      <w:r w:rsidR="00910B33">
        <w:rPr>
          <w:lang w:val="fr-FR"/>
        </w:rPr>
        <w:t xml:space="preserve">et </w:t>
      </w:r>
      <w:r w:rsidRPr="00D05C85">
        <w:rPr>
          <w:lang w:val="fr-FR"/>
        </w:rPr>
        <w:t>arrière, la répartition normalisée de la lumière peut, à la requête du demandeur, être considérée de la ligne</w:t>
      </w:r>
      <w:r w:rsidR="005B36F1" w:rsidRPr="00D05C85">
        <w:rPr>
          <w:lang w:val="fr-FR"/>
        </w:rPr>
        <w:t> V</w:t>
      </w:r>
      <w:r w:rsidRPr="00D05C85">
        <w:rPr>
          <w:lang w:val="fr-FR"/>
        </w:rPr>
        <w:t>V jusqu’au bord extérieur seulement.</w:t>
      </w:r>
    </w:p>
    <w:p w14:paraId="16E4DC6C" w14:textId="77777777" w:rsidR="00AF2126" w:rsidRPr="00D05C85" w:rsidRDefault="00AF2126" w:rsidP="00AF2126">
      <w:pPr>
        <w:pStyle w:val="SingleTxtG"/>
        <w:ind w:left="2268" w:hanging="1134"/>
        <w:rPr>
          <w:lang w:val="fr-FR"/>
        </w:rPr>
      </w:pPr>
      <w:r w:rsidRPr="00D05C85">
        <w:rPr>
          <w:lang w:val="fr-FR"/>
        </w:rPr>
        <w:t>5.3.5</w:t>
      </w:r>
      <w:r w:rsidRPr="00D05C85">
        <w:rPr>
          <w:lang w:val="fr-FR"/>
        </w:rPr>
        <w:tab/>
        <w:t>Prescriptions supplémentaires :</w:t>
      </w:r>
    </w:p>
    <w:p w14:paraId="64E8CCE9" w14:textId="77777777" w:rsidR="00AF2126" w:rsidRPr="00D05C85" w:rsidRDefault="00AF2126" w:rsidP="00AF2126">
      <w:pPr>
        <w:pStyle w:val="SingleTxtG"/>
        <w:ind w:left="2268"/>
        <w:rPr>
          <w:lang w:val="fr-FR"/>
        </w:rPr>
      </w:pPr>
      <w:r w:rsidRPr="00D05C85">
        <w:rPr>
          <w:lang w:val="fr-FR"/>
        </w:rPr>
        <w:tab/>
        <w:t>Aucune.</w:t>
      </w:r>
    </w:p>
    <w:p w14:paraId="5209F0E4" w14:textId="77777777" w:rsidR="00AF2126" w:rsidRPr="00D05C85" w:rsidRDefault="00AF2126" w:rsidP="00AF2126">
      <w:pPr>
        <w:pStyle w:val="SingleTxtG"/>
        <w:ind w:left="2268" w:hanging="1134"/>
        <w:rPr>
          <w:lang w:val="fr-FR"/>
        </w:rPr>
      </w:pPr>
      <w:r w:rsidRPr="00D05C85">
        <w:rPr>
          <w:lang w:val="fr-FR"/>
        </w:rPr>
        <w:t>5.3.6</w:t>
      </w:r>
      <w:r w:rsidRPr="00D05C85">
        <w:rPr>
          <w:lang w:val="fr-FR"/>
        </w:rPr>
        <w:tab/>
        <w:t>Dispositions applicables en cas de défaillance :</w:t>
      </w:r>
    </w:p>
    <w:p w14:paraId="626B4A65" w14:textId="77777777" w:rsidR="00AF2126" w:rsidRPr="00D05C85" w:rsidRDefault="00AF2126" w:rsidP="00AF2126">
      <w:pPr>
        <w:pStyle w:val="SingleTxtG"/>
        <w:ind w:left="2268"/>
        <w:rPr>
          <w:lang w:val="fr-FR"/>
        </w:rPr>
      </w:pPr>
      <w:r w:rsidRPr="00D05C85">
        <w:rPr>
          <w:lang w:val="fr-FR"/>
        </w:rPr>
        <w:tab/>
        <w:t>Voir le paragraphe 4.6.</w:t>
      </w:r>
    </w:p>
    <w:p w14:paraId="4911F04A" w14:textId="77777777" w:rsidR="00AF2126" w:rsidRPr="00D05C85" w:rsidRDefault="00AF2126" w:rsidP="00AF2126">
      <w:pPr>
        <w:pStyle w:val="SingleTxtG"/>
        <w:ind w:left="2268" w:hanging="1134"/>
        <w:rPr>
          <w:lang w:val="fr-FR"/>
        </w:rPr>
      </w:pPr>
      <w:r w:rsidRPr="00D05C85">
        <w:rPr>
          <w:lang w:val="fr-FR"/>
        </w:rPr>
        <w:t>5.3.7</w:t>
      </w:r>
      <w:r w:rsidRPr="00D05C85">
        <w:rPr>
          <w:lang w:val="fr-FR"/>
        </w:rPr>
        <w:tab/>
        <w:t>Couleur :</w:t>
      </w:r>
    </w:p>
    <w:p w14:paraId="503C1A6D" w14:textId="77777777" w:rsidR="00AF2126" w:rsidRPr="00D05C85" w:rsidRDefault="00AF2126" w:rsidP="00AF2126">
      <w:pPr>
        <w:pStyle w:val="SingleTxtG"/>
        <w:ind w:left="2268"/>
        <w:rPr>
          <w:lang w:val="fr-FR"/>
        </w:rPr>
      </w:pPr>
      <w:r w:rsidRPr="00D05C85">
        <w:rPr>
          <w:lang w:val="fr-FR"/>
        </w:rPr>
        <w:tab/>
        <w:t>La couleur de la lumière émise doit être :</w:t>
      </w:r>
    </w:p>
    <w:p w14:paraId="2CCEB5BE" w14:textId="77777777" w:rsidR="00AF2126" w:rsidRPr="00D05C85" w:rsidRDefault="00AF2126" w:rsidP="00AF2126">
      <w:pPr>
        <w:pStyle w:val="SingleTxtG"/>
        <w:ind w:left="2835" w:hanging="567"/>
        <w:rPr>
          <w:lang w:val="fr-FR"/>
        </w:rPr>
      </w:pPr>
      <w:r w:rsidRPr="00D05C85">
        <w:rPr>
          <w:lang w:val="fr-FR"/>
        </w:rPr>
        <w:t>a)</w:t>
      </w:r>
      <w:r w:rsidRPr="00D05C85">
        <w:rPr>
          <w:lang w:val="fr-FR"/>
        </w:rPr>
        <w:tab/>
        <w:t>Blanche pour les feux de stationnement avant ;</w:t>
      </w:r>
    </w:p>
    <w:p w14:paraId="111F1451" w14:textId="77777777" w:rsidR="00AF2126" w:rsidRPr="00D05C85" w:rsidRDefault="00AF2126" w:rsidP="00AF2126">
      <w:pPr>
        <w:pStyle w:val="SingleTxtG"/>
        <w:ind w:left="2835" w:hanging="567"/>
        <w:rPr>
          <w:lang w:val="fr-FR"/>
        </w:rPr>
      </w:pPr>
      <w:r w:rsidRPr="00D05C85">
        <w:rPr>
          <w:lang w:val="fr-FR"/>
        </w:rPr>
        <w:t>b)</w:t>
      </w:r>
      <w:r w:rsidRPr="00D05C85">
        <w:rPr>
          <w:lang w:val="fr-FR"/>
        </w:rPr>
        <w:tab/>
        <w:t>Rouge pour les feux de stationnement arrière.</w:t>
      </w:r>
    </w:p>
    <w:p w14:paraId="705B162E" w14:textId="77777777" w:rsidR="00AF2126" w:rsidRPr="00D05C85" w:rsidRDefault="00AF2126" w:rsidP="00AF2126">
      <w:pPr>
        <w:pStyle w:val="SingleTxtG"/>
        <w:ind w:left="2268" w:hanging="1134"/>
        <w:rPr>
          <w:lang w:val="fr-FR"/>
        </w:rPr>
      </w:pPr>
      <w:r w:rsidRPr="00D05C85">
        <w:rPr>
          <w:lang w:val="fr-FR"/>
        </w:rPr>
        <w:t>5.4</w:t>
      </w:r>
      <w:r w:rsidRPr="00D05C85">
        <w:rPr>
          <w:lang w:val="fr-FR"/>
        </w:rPr>
        <w:tab/>
        <w:t>Feux de circulation diurne (RL)</w:t>
      </w:r>
    </w:p>
    <w:p w14:paraId="716EC9BC" w14:textId="7425D943" w:rsidR="00AF2126" w:rsidRPr="00D05C85" w:rsidRDefault="00AF2126" w:rsidP="00AF2126">
      <w:pPr>
        <w:pStyle w:val="SingleTxtG"/>
        <w:ind w:left="2268" w:hanging="1134"/>
        <w:rPr>
          <w:lang w:val="fr-FR"/>
        </w:rPr>
      </w:pPr>
      <w:r w:rsidRPr="00D05C85">
        <w:rPr>
          <w:lang w:val="fr-FR"/>
        </w:rPr>
        <w:t>5.4.1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423E2835" w14:textId="77777777" w:rsidR="00AF2126" w:rsidRPr="00D05C85" w:rsidRDefault="00AF2126" w:rsidP="00AF2126">
      <w:pPr>
        <w:pStyle w:val="SingleTxtG"/>
        <w:ind w:left="2268"/>
        <w:rPr>
          <w:lang w:val="fr-FR"/>
        </w:rPr>
      </w:pPr>
      <w:r w:rsidRPr="00D05C85">
        <w:rPr>
          <w:lang w:val="fr-FR"/>
        </w:rPr>
        <w:tab/>
        <w:t>La lumière émise par chacun des deux échantillons fournis doit satisfaire aux prescriptions du tableau 6.</w:t>
      </w:r>
    </w:p>
    <w:p w14:paraId="65995D48" w14:textId="77777777" w:rsidR="00AF2126" w:rsidRPr="00D05C85" w:rsidRDefault="00AF2126" w:rsidP="00AF2126">
      <w:pPr>
        <w:pStyle w:val="Titre1"/>
        <w:tabs>
          <w:tab w:val="left" w:pos="1701"/>
          <w:tab w:val="left" w:pos="2268"/>
          <w:tab w:val="left" w:pos="2835"/>
        </w:tabs>
        <w:spacing w:after="120"/>
        <w:rPr>
          <w:rStyle w:val="Carpredefinitoparagrafo1"/>
          <w:b/>
          <w:bCs/>
          <w:lang w:val="fr-FR"/>
        </w:rPr>
      </w:pPr>
      <w:r w:rsidRPr="00D05C85">
        <w:rPr>
          <w:lang w:val="fr-FR"/>
        </w:rPr>
        <w:t>Tableau 6</w:t>
      </w:r>
      <w:r w:rsidRPr="00D05C85">
        <w:rPr>
          <w:lang w:val="fr-FR"/>
        </w:rPr>
        <w:br/>
      </w:r>
      <w:r w:rsidRPr="00D05C85">
        <w:rPr>
          <w:b/>
          <w:bCs/>
          <w:lang w:val="fr-FR"/>
        </w:rPr>
        <w:t>Intensité lumineuse des feux de circulation diurne</w:t>
      </w:r>
    </w:p>
    <w:tbl>
      <w:tblPr>
        <w:tblW w:w="851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7"/>
        <w:gridCol w:w="1262"/>
        <w:gridCol w:w="1146"/>
        <w:gridCol w:w="1263"/>
        <w:gridCol w:w="1276"/>
        <w:gridCol w:w="1134"/>
        <w:gridCol w:w="1006"/>
      </w:tblGrid>
      <w:tr w:rsidR="00AF2126" w:rsidRPr="00D05C85" w14:paraId="59D09A8A" w14:textId="77777777" w:rsidTr="00CF1C7C">
        <w:tc>
          <w:tcPr>
            <w:tcW w:w="1427" w:type="dxa"/>
            <w:vMerge w:val="restart"/>
            <w:shd w:val="clear" w:color="auto" w:fill="auto"/>
            <w:tcMar>
              <w:top w:w="28" w:type="dxa"/>
              <w:left w:w="28" w:type="dxa"/>
              <w:bottom w:w="28" w:type="dxa"/>
              <w:right w:w="28" w:type="dxa"/>
            </w:tcMar>
            <w:vAlign w:val="bottom"/>
          </w:tcPr>
          <w:p w14:paraId="479C7FCD" w14:textId="77777777"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Feu de circulation diurne</w:t>
            </w:r>
          </w:p>
        </w:tc>
        <w:tc>
          <w:tcPr>
            <w:tcW w:w="1262" w:type="dxa"/>
            <w:vMerge w:val="restart"/>
            <w:shd w:val="clear" w:color="auto" w:fill="auto"/>
            <w:vAlign w:val="bottom"/>
          </w:tcPr>
          <w:p w14:paraId="59DFC3D9" w14:textId="694F2E6C"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Intensité lumineuse minimale en cd (</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a))</w:t>
            </w:r>
          </w:p>
        </w:tc>
        <w:tc>
          <w:tcPr>
            <w:tcW w:w="2409" w:type="dxa"/>
            <w:gridSpan w:val="2"/>
            <w:shd w:val="clear" w:color="auto" w:fill="auto"/>
            <w:tcMar>
              <w:top w:w="28" w:type="dxa"/>
              <w:left w:w="28" w:type="dxa"/>
              <w:bottom w:w="28" w:type="dxa"/>
              <w:right w:w="28" w:type="dxa"/>
            </w:tcMar>
            <w:vAlign w:val="bottom"/>
          </w:tcPr>
          <w:p w14:paraId="786936A4" w14:textId="68F57302"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Intensité lumineuse maximale (en</w:t>
            </w:r>
            <w:r w:rsidR="00CF1C7C" w:rsidRPr="00D05C85">
              <w:rPr>
                <w:b/>
                <w:bCs/>
                <w:i/>
                <w:iCs/>
                <w:sz w:val="16"/>
                <w:szCs w:val="16"/>
                <w:lang w:val="fr-FR"/>
              </w:rPr>
              <w:t> </w:t>
            </w:r>
            <w:r w:rsidRPr="00D05C85">
              <w:rPr>
                <w:b/>
                <w:bCs/>
                <w:i/>
                <w:iCs/>
                <w:sz w:val="16"/>
                <w:szCs w:val="16"/>
                <w:lang w:val="fr-FR"/>
              </w:rPr>
              <w:t>cd) lorsque le feu est utilisé</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b))</w:t>
            </w:r>
          </w:p>
        </w:tc>
        <w:tc>
          <w:tcPr>
            <w:tcW w:w="1276" w:type="dxa"/>
            <w:vMerge w:val="restart"/>
            <w:shd w:val="clear" w:color="auto" w:fill="auto"/>
            <w:tcMar>
              <w:top w:w="28" w:type="dxa"/>
              <w:left w:w="28" w:type="dxa"/>
              <w:bottom w:w="28" w:type="dxa"/>
              <w:right w:w="28" w:type="dxa"/>
            </w:tcMar>
            <w:vAlign w:val="bottom"/>
          </w:tcPr>
          <w:p w14:paraId="77623779" w14:textId="2ABBA666"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 xml:space="preserve">Répartition normalisée </w:t>
            </w:r>
            <w:r w:rsidRPr="00D05C85">
              <w:rPr>
                <w:b/>
                <w:bCs/>
                <w:i/>
                <w:iCs/>
                <w:sz w:val="16"/>
                <w:szCs w:val="16"/>
                <w:lang w:val="fr-FR"/>
              </w:rPr>
              <w:b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2140" w:type="dxa"/>
            <w:gridSpan w:val="2"/>
            <w:shd w:val="clear" w:color="auto" w:fill="auto"/>
            <w:tcMar>
              <w:top w:w="28" w:type="dxa"/>
              <w:left w:w="28" w:type="dxa"/>
              <w:bottom w:w="28" w:type="dxa"/>
              <w:right w:w="28" w:type="dxa"/>
            </w:tcMar>
            <w:vAlign w:val="bottom"/>
          </w:tcPr>
          <w:p w14:paraId="0DF70D94" w14:textId="0EECFA2F"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Angles de visibilité géométrique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d))</w:t>
            </w:r>
          </w:p>
        </w:tc>
      </w:tr>
      <w:tr w:rsidR="00AF2126" w:rsidRPr="00D05C85" w14:paraId="6F61AC9B" w14:textId="77777777" w:rsidTr="00CF1C7C">
        <w:trPr>
          <w:trHeight w:val="860"/>
        </w:trPr>
        <w:tc>
          <w:tcPr>
            <w:tcW w:w="1427" w:type="dxa"/>
            <w:vMerge/>
            <w:shd w:val="clear" w:color="auto" w:fill="auto"/>
            <w:tcMar>
              <w:top w:w="28" w:type="dxa"/>
              <w:left w:w="28" w:type="dxa"/>
              <w:bottom w:w="28" w:type="dxa"/>
              <w:right w:w="28" w:type="dxa"/>
            </w:tcMar>
            <w:vAlign w:val="bottom"/>
          </w:tcPr>
          <w:p w14:paraId="32C58DAE" w14:textId="77777777" w:rsidR="00AF2126" w:rsidRPr="00D05C85" w:rsidRDefault="00AF2126" w:rsidP="00E70082">
            <w:pPr>
              <w:pStyle w:val="Normale1"/>
              <w:spacing w:before="80" w:after="80" w:line="200" w:lineRule="exact"/>
              <w:jc w:val="center"/>
              <w:rPr>
                <w:b/>
                <w:bCs/>
                <w:i/>
                <w:iCs/>
                <w:sz w:val="16"/>
                <w:szCs w:val="16"/>
                <w:lang w:val="fr-FR"/>
              </w:rPr>
            </w:pPr>
          </w:p>
        </w:tc>
        <w:tc>
          <w:tcPr>
            <w:tcW w:w="1262" w:type="dxa"/>
            <w:vMerge/>
            <w:shd w:val="clear" w:color="auto" w:fill="auto"/>
            <w:vAlign w:val="bottom"/>
          </w:tcPr>
          <w:p w14:paraId="5FD9151D" w14:textId="77777777" w:rsidR="00AF2126" w:rsidRPr="00D05C85" w:rsidRDefault="00AF2126" w:rsidP="00E70082">
            <w:pPr>
              <w:pStyle w:val="Normale1"/>
              <w:spacing w:before="80" w:after="80" w:line="200" w:lineRule="exact"/>
              <w:jc w:val="center"/>
              <w:rPr>
                <w:b/>
                <w:bCs/>
                <w:i/>
                <w:iCs/>
                <w:sz w:val="16"/>
                <w:szCs w:val="16"/>
                <w:lang w:val="fr-FR"/>
              </w:rPr>
            </w:pPr>
          </w:p>
        </w:tc>
        <w:tc>
          <w:tcPr>
            <w:tcW w:w="1146" w:type="dxa"/>
            <w:shd w:val="clear" w:color="auto" w:fill="auto"/>
            <w:tcMar>
              <w:top w:w="28" w:type="dxa"/>
              <w:left w:w="28" w:type="dxa"/>
              <w:bottom w:w="28" w:type="dxa"/>
              <w:right w:w="28" w:type="dxa"/>
            </w:tcMar>
            <w:vAlign w:val="bottom"/>
          </w:tcPr>
          <w:p w14:paraId="260BEFA0" w14:textId="77777777"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Comme feu simple</w:t>
            </w:r>
          </w:p>
        </w:tc>
        <w:tc>
          <w:tcPr>
            <w:tcW w:w="1263" w:type="dxa"/>
            <w:shd w:val="clear" w:color="auto" w:fill="auto"/>
            <w:tcMar>
              <w:top w:w="28" w:type="dxa"/>
              <w:left w:w="28" w:type="dxa"/>
              <w:bottom w:w="28" w:type="dxa"/>
              <w:right w:w="28" w:type="dxa"/>
            </w:tcMar>
            <w:vAlign w:val="bottom"/>
          </w:tcPr>
          <w:p w14:paraId="32F48ACB" w14:textId="49FF1464"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 xml:space="preserve">Comme feu portant </w:t>
            </w:r>
            <w:r w:rsidR="00CF1C7C" w:rsidRPr="00D05C85">
              <w:rPr>
                <w:b/>
                <w:bCs/>
                <w:i/>
                <w:iCs/>
                <w:sz w:val="16"/>
                <w:szCs w:val="16"/>
                <w:lang w:val="fr-FR"/>
              </w:rPr>
              <w:br/>
            </w:r>
            <w:r w:rsidRPr="00D05C85">
              <w:rPr>
                <w:b/>
                <w:bCs/>
                <w:i/>
                <w:iCs/>
                <w:sz w:val="16"/>
                <w:szCs w:val="16"/>
                <w:lang w:val="fr-FR"/>
              </w:rPr>
              <w:t xml:space="preserve">la marque </w:t>
            </w:r>
            <w:r w:rsidRPr="00D05C85">
              <w:rPr>
                <w:lang w:val="fr-FR"/>
              </w:rPr>
              <w:t>“</w:t>
            </w:r>
            <w:r w:rsidRPr="00D05C85">
              <w:rPr>
                <w:b/>
                <w:bCs/>
                <w:i/>
                <w:iCs/>
                <w:sz w:val="16"/>
                <w:szCs w:val="16"/>
                <w:lang w:val="fr-FR"/>
              </w:rPr>
              <w:t>D</w:t>
            </w:r>
            <w:r w:rsidRPr="00D05C85">
              <w:rPr>
                <w:lang w:val="fr-FR"/>
              </w:rPr>
              <w:t>”</w:t>
            </w:r>
            <w:r w:rsidRPr="00D05C85">
              <w:rPr>
                <w:b/>
                <w:bCs/>
                <w:i/>
                <w:iCs/>
                <w:sz w:val="16"/>
                <w:szCs w:val="16"/>
                <w:lang w:val="fr-FR"/>
              </w:rPr>
              <w:t xml:space="preserve"> (</w:t>
            </w:r>
            <w:r w:rsidR="005B36F1" w:rsidRPr="00D05C85">
              <w:rPr>
                <w:b/>
                <w:bCs/>
                <w:i/>
                <w:iCs/>
                <w:sz w:val="16"/>
                <w:szCs w:val="16"/>
                <w:lang w:val="fr-FR"/>
              </w:rPr>
              <w:t>par. </w:t>
            </w:r>
            <w:r w:rsidRPr="00D05C85">
              <w:rPr>
                <w:b/>
                <w:bCs/>
                <w:i/>
                <w:iCs/>
                <w:sz w:val="16"/>
                <w:szCs w:val="16"/>
                <w:lang w:val="fr-FR"/>
              </w:rPr>
              <w:t>3.3.2.5.2)</w:t>
            </w:r>
          </w:p>
        </w:tc>
        <w:tc>
          <w:tcPr>
            <w:tcW w:w="1276" w:type="dxa"/>
            <w:vMerge/>
            <w:shd w:val="clear" w:color="auto" w:fill="auto"/>
            <w:tcMar>
              <w:top w:w="28" w:type="dxa"/>
              <w:left w:w="28" w:type="dxa"/>
              <w:bottom w:w="28" w:type="dxa"/>
              <w:right w:w="28" w:type="dxa"/>
            </w:tcMar>
            <w:vAlign w:val="bottom"/>
          </w:tcPr>
          <w:p w14:paraId="6A7D5407" w14:textId="77777777" w:rsidR="00AF2126" w:rsidRPr="00D05C85" w:rsidRDefault="00AF2126" w:rsidP="00E70082">
            <w:pPr>
              <w:pStyle w:val="Normale1"/>
              <w:spacing w:before="80" w:after="80" w:line="200" w:lineRule="exact"/>
              <w:jc w:val="center"/>
              <w:rPr>
                <w:b/>
                <w:bCs/>
                <w:i/>
                <w:iCs/>
                <w:sz w:val="16"/>
                <w:szCs w:val="16"/>
                <w:lang w:val="fr-FR"/>
              </w:rPr>
            </w:pPr>
          </w:p>
        </w:tc>
        <w:tc>
          <w:tcPr>
            <w:tcW w:w="1134" w:type="dxa"/>
            <w:shd w:val="clear" w:color="auto" w:fill="auto"/>
            <w:tcMar>
              <w:top w:w="28" w:type="dxa"/>
              <w:left w:w="28" w:type="dxa"/>
              <w:bottom w:w="28" w:type="dxa"/>
              <w:right w:w="28" w:type="dxa"/>
            </w:tcMar>
            <w:vAlign w:val="bottom"/>
          </w:tcPr>
          <w:p w14:paraId="650D78EB" w14:textId="77777777" w:rsidR="00AF2126" w:rsidRPr="00D05C85" w:rsidRDefault="00AF2126" w:rsidP="00E70082">
            <w:pPr>
              <w:pStyle w:val="Normale1"/>
              <w:spacing w:before="80" w:after="80" w:line="200" w:lineRule="exact"/>
              <w:jc w:val="center"/>
              <w:rPr>
                <w:b/>
                <w:bCs/>
                <w:i/>
                <w:iCs/>
                <w:sz w:val="16"/>
                <w:szCs w:val="16"/>
                <w:lang w:val="fr-FR"/>
              </w:rPr>
            </w:pPr>
            <w:r w:rsidRPr="00D05C85">
              <w:rPr>
                <w:b/>
                <w:bCs/>
                <w:i/>
                <w:iCs/>
                <w:sz w:val="16"/>
                <w:szCs w:val="16"/>
                <w:lang w:val="fr-FR"/>
              </w:rPr>
              <w:t>Définition</w:t>
            </w:r>
          </w:p>
        </w:tc>
        <w:tc>
          <w:tcPr>
            <w:tcW w:w="1006" w:type="dxa"/>
            <w:shd w:val="clear" w:color="auto" w:fill="auto"/>
            <w:vAlign w:val="bottom"/>
          </w:tcPr>
          <w:p w14:paraId="50E4AA2F" w14:textId="77777777" w:rsidR="00AF2126" w:rsidRPr="00D05C85" w:rsidRDefault="00AF2126" w:rsidP="00E70082">
            <w:pPr>
              <w:pStyle w:val="Normale1"/>
              <w:spacing w:before="80" w:after="80" w:line="200" w:lineRule="exact"/>
              <w:jc w:val="center"/>
              <w:rPr>
                <w:rStyle w:val="Carpredefinitoparagrafo1"/>
                <w:b/>
                <w:bCs/>
                <w:i/>
                <w:iCs/>
                <w:sz w:val="16"/>
                <w:szCs w:val="16"/>
                <w:shd w:val="clear" w:color="auto" w:fill="FFFF00"/>
                <w:lang w:val="fr-FR"/>
              </w:rPr>
            </w:pPr>
            <w:r w:rsidRPr="00D05C85">
              <w:rPr>
                <w:b/>
                <w:bCs/>
                <w:i/>
                <w:iCs/>
                <w:sz w:val="16"/>
                <w:szCs w:val="16"/>
                <w:lang w:val="fr-FR"/>
              </w:rPr>
              <w:t xml:space="preserve">Intensité lumineuse minimale </w:t>
            </w:r>
            <w:r w:rsidRPr="00D05C85">
              <w:rPr>
                <w:b/>
                <w:bCs/>
                <w:i/>
                <w:iCs/>
                <w:sz w:val="16"/>
                <w:szCs w:val="16"/>
                <w:lang w:val="fr-FR"/>
              </w:rPr>
              <w:br/>
              <w:t>en cd</w:t>
            </w:r>
          </w:p>
        </w:tc>
      </w:tr>
      <w:tr w:rsidR="00AF2126" w:rsidRPr="00D05C85" w14:paraId="6E61E688" w14:textId="77777777" w:rsidTr="00CF1C7C">
        <w:tc>
          <w:tcPr>
            <w:tcW w:w="1427" w:type="dxa"/>
            <w:shd w:val="clear" w:color="auto" w:fill="auto"/>
            <w:tcMar>
              <w:top w:w="28" w:type="dxa"/>
              <w:left w:w="28" w:type="dxa"/>
              <w:bottom w:w="28" w:type="dxa"/>
              <w:right w:w="28" w:type="dxa"/>
            </w:tcMar>
            <w:vAlign w:val="center"/>
          </w:tcPr>
          <w:p w14:paraId="1127A6D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RL</w:t>
            </w:r>
          </w:p>
        </w:tc>
        <w:tc>
          <w:tcPr>
            <w:tcW w:w="1262" w:type="dxa"/>
            <w:shd w:val="clear" w:color="auto" w:fill="auto"/>
            <w:tcMar>
              <w:top w:w="28" w:type="dxa"/>
              <w:left w:w="28" w:type="dxa"/>
              <w:bottom w:w="28" w:type="dxa"/>
              <w:right w:w="28" w:type="dxa"/>
            </w:tcMar>
            <w:vAlign w:val="center"/>
          </w:tcPr>
          <w:p w14:paraId="3938CC71"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4,00∙10</w:t>
            </w:r>
            <w:r w:rsidRPr="00D05C85">
              <w:rPr>
                <w:sz w:val="18"/>
                <w:szCs w:val="18"/>
                <w:vertAlign w:val="superscript"/>
                <w:lang w:val="fr-FR"/>
              </w:rPr>
              <w:t>2</w:t>
            </w:r>
          </w:p>
        </w:tc>
        <w:tc>
          <w:tcPr>
            <w:tcW w:w="1146" w:type="dxa"/>
            <w:shd w:val="clear" w:color="auto" w:fill="auto"/>
            <w:tcMar>
              <w:top w:w="28" w:type="dxa"/>
              <w:left w:w="28" w:type="dxa"/>
              <w:bottom w:w="28" w:type="dxa"/>
              <w:right w:w="28" w:type="dxa"/>
            </w:tcMar>
            <w:vAlign w:val="center"/>
          </w:tcPr>
          <w:p w14:paraId="5307DD52"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1,20∙10</w:t>
            </w:r>
            <w:r w:rsidRPr="00D05C85">
              <w:rPr>
                <w:sz w:val="18"/>
                <w:szCs w:val="18"/>
                <w:vertAlign w:val="superscript"/>
                <w:lang w:val="fr-FR"/>
              </w:rPr>
              <w:t>3</w:t>
            </w:r>
          </w:p>
        </w:tc>
        <w:tc>
          <w:tcPr>
            <w:tcW w:w="1263" w:type="dxa"/>
            <w:shd w:val="clear" w:color="auto" w:fill="auto"/>
            <w:tcMar>
              <w:top w:w="28" w:type="dxa"/>
              <w:left w:w="28" w:type="dxa"/>
              <w:bottom w:w="28" w:type="dxa"/>
              <w:right w:w="28" w:type="dxa"/>
            </w:tcMar>
            <w:vAlign w:val="center"/>
          </w:tcPr>
          <w:p w14:paraId="6FC27D8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6,00∙10²</w:t>
            </w:r>
          </w:p>
        </w:tc>
        <w:tc>
          <w:tcPr>
            <w:tcW w:w="1276" w:type="dxa"/>
            <w:shd w:val="clear" w:color="auto" w:fill="auto"/>
            <w:tcMar>
              <w:top w:w="28" w:type="dxa"/>
              <w:left w:w="28" w:type="dxa"/>
              <w:bottom w:w="28" w:type="dxa"/>
              <w:right w:w="28" w:type="dxa"/>
            </w:tcMar>
          </w:tcPr>
          <w:p w14:paraId="1357D0E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A3-II</w:t>
            </w:r>
          </w:p>
        </w:tc>
        <w:tc>
          <w:tcPr>
            <w:tcW w:w="1134" w:type="dxa"/>
            <w:shd w:val="clear" w:color="auto" w:fill="auto"/>
            <w:tcMar>
              <w:top w:w="28" w:type="dxa"/>
              <w:left w:w="28" w:type="dxa"/>
              <w:bottom w:w="28" w:type="dxa"/>
              <w:right w:w="28" w:type="dxa"/>
            </w:tcMar>
          </w:tcPr>
          <w:p w14:paraId="2AF72F93" w14:textId="77777777" w:rsidR="00AF2126" w:rsidRPr="00D05C85" w:rsidRDefault="00AF2126" w:rsidP="00CF1C7C">
            <w:pPr>
              <w:spacing w:before="40" w:after="40" w:line="220" w:lineRule="exact"/>
              <w:jc w:val="center"/>
              <w:rPr>
                <w:sz w:val="18"/>
                <w:szCs w:val="18"/>
                <w:lang w:val="fr-FR"/>
              </w:rPr>
            </w:pPr>
            <w:r w:rsidRPr="00D05C85">
              <w:rPr>
                <w:sz w:val="18"/>
                <w:szCs w:val="18"/>
                <w:lang w:val="fr-FR"/>
              </w:rPr>
              <w:t>Tableau A2-1</w:t>
            </w:r>
          </w:p>
        </w:tc>
        <w:tc>
          <w:tcPr>
            <w:tcW w:w="1006" w:type="dxa"/>
            <w:shd w:val="clear" w:color="auto" w:fill="auto"/>
            <w:tcMar>
              <w:top w:w="28" w:type="dxa"/>
              <w:left w:w="28" w:type="dxa"/>
              <w:bottom w:w="28" w:type="dxa"/>
              <w:right w:w="28" w:type="dxa"/>
            </w:tcMar>
            <w:vAlign w:val="center"/>
          </w:tcPr>
          <w:p w14:paraId="67E8F091"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1,0∙10</w:t>
            </w:r>
            <w:r w:rsidRPr="00D05C85">
              <w:rPr>
                <w:sz w:val="18"/>
                <w:szCs w:val="18"/>
                <w:vertAlign w:val="superscript"/>
                <w:lang w:val="fr-FR"/>
              </w:rPr>
              <w:t>0</w:t>
            </w:r>
          </w:p>
        </w:tc>
      </w:tr>
    </w:tbl>
    <w:p w14:paraId="3CD5D2E9" w14:textId="77777777" w:rsidR="00AF2126" w:rsidRPr="00D05C85" w:rsidRDefault="00AF2126" w:rsidP="00AF2126">
      <w:pPr>
        <w:pStyle w:val="SingleTxtG"/>
        <w:keepNext/>
        <w:spacing w:before="240"/>
        <w:ind w:left="2268" w:hanging="1134"/>
        <w:rPr>
          <w:lang w:val="fr-FR"/>
        </w:rPr>
      </w:pPr>
      <w:r w:rsidRPr="00D05C85">
        <w:rPr>
          <w:lang w:val="fr-FR"/>
        </w:rPr>
        <w:lastRenderedPageBreak/>
        <w:t>5.4.2</w:t>
      </w:r>
      <w:r w:rsidRPr="00D05C85">
        <w:rPr>
          <w:lang w:val="fr-FR"/>
        </w:rPr>
        <w:tab/>
        <w:t>Intensité lumineuse minimale sous les angles de visibilité géométrique :</w:t>
      </w:r>
    </w:p>
    <w:p w14:paraId="720916DF" w14:textId="77777777" w:rsidR="00AF2126" w:rsidRPr="00D05C85" w:rsidRDefault="00AF2126" w:rsidP="00AF2126">
      <w:pPr>
        <w:pStyle w:val="SingleTxtG"/>
        <w:ind w:left="2268"/>
        <w:rPr>
          <w:lang w:val="fr-FR"/>
        </w:rPr>
      </w:pPr>
      <w:r w:rsidRPr="00D05C85">
        <w:rPr>
          <w:lang w:val="fr-FR"/>
        </w:rPr>
        <w:tab/>
        <w:t>Voir le tableau 6.</w:t>
      </w:r>
    </w:p>
    <w:p w14:paraId="61BF6E3C" w14:textId="77777777" w:rsidR="00AF2126" w:rsidRPr="00D05C85" w:rsidRDefault="00AF2126" w:rsidP="00AF2126">
      <w:pPr>
        <w:pStyle w:val="SingleTxtG"/>
        <w:ind w:left="2268" w:hanging="1134"/>
        <w:rPr>
          <w:lang w:val="fr-FR"/>
        </w:rPr>
      </w:pPr>
      <w:r w:rsidRPr="00D05C85">
        <w:rPr>
          <w:lang w:val="fr-FR"/>
        </w:rPr>
        <w:t>5.4.3</w:t>
      </w:r>
      <w:r w:rsidRPr="00D05C85">
        <w:rPr>
          <w:lang w:val="fr-FR"/>
        </w:rPr>
        <w:tab/>
        <w:t>Superficie minimale ou maximale de la surface apparente :</w:t>
      </w:r>
    </w:p>
    <w:p w14:paraId="07F4CC24" w14:textId="6626CD85" w:rsidR="00AF2126" w:rsidRPr="00D05C85" w:rsidRDefault="00AF2126" w:rsidP="00AF2126">
      <w:pPr>
        <w:pStyle w:val="SingleTxtG"/>
        <w:ind w:left="2268"/>
        <w:rPr>
          <w:lang w:val="fr-FR"/>
        </w:rPr>
      </w:pPr>
      <w:r w:rsidRPr="00D05C85">
        <w:rPr>
          <w:lang w:val="fr-FR"/>
        </w:rPr>
        <w:tab/>
        <w:t>La superficie de la surface apparente dans la direction de l’axe de référence du feu de circulation diurne doit être comprise entre 25 cm</w:t>
      </w:r>
      <w:r w:rsidRPr="00D05C85">
        <w:rPr>
          <w:vertAlign w:val="superscript"/>
          <w:lang w:val="fr-FR"/>
        </w:rPr>
        <w:t>2</w:t>
      </w:r>
      <w:r w:rsidRPr="00D05C85">
        <w:rPr>
          <w:lang w:val="fr-FR"/>
        </w:rPr>
        <w:t xml:space="preserve"> </w:t>
      </w:r>
      <w:r w:rsidR="00910B33">
        <w:rPr>
          <w:lang w:val="fr-FR"/>
        </w:rPr>
        <w:t xml:space="preserve">et </w:t>
      </w:r>
      <w:r w:rsidRPr="00D05C85">
        <w:rPr>
          <w:lang w:val="fr-FR"/>
        </w:rPr>
        <w:t>200 cm</w:t>
      </w:r>
      <w:r w:rsidRPr="00D05C85">
        <w:rPr>
          <w:vertAlign w:val="superscript"/>
          <w:lang w:val="fr-FR"/>
        </w:rPr>
        <w:t>2</w:t>
      </w:r>
      <w:r w:rsidRPr="00D05C85">
        <w:rPr>
          <w:lang w:val="fr-FR"/>
        </w:rPr>
        <w:t>.</w:t>
      </w:r>
    </w:p>
    <w:p w14:paraId="55483A79" w14:textId="77777777" w:rsidR="00AF2126" w:rsidRPr="00D05C85" w:rsidRDefault="00AF2126" w:rsidP="00AF2126">
      <w:pPr>
        <w:pStyle w:val="SingleTxtG"/>
        <w:ind w:left="2268"/>
        <w:rPr>
          <w:lang w:val="fr-FR"/>
        </w:rPr>
      </w:pPr>
      <w:r w:rsidRPr="00D05C85">
        <w:rPr>
          <w:lang w:val="fr-FR"/>
        </w:rPr>
        <w:tab/>
        <w:t>Lorsqu’un feu de circulation diurne doit être homologué en tant que feu portant la marque “D”, la superficie de la surface apparente de ce feu ne doit pas dépasser 100 cm</w:t>
      </w:r>
      <w:r w:rsidRPr="00D05C85">
        <w:rPr>
          <w:vertAlign w:val="superscript"/>
          <w:lang w:val="fr-FR"/>
        </w:rPr>
        <w:t>2</w:t>
      </w:r>
      <w:r w:rsidRPr="00D05C85">
        <w:rPr>
          <w:lang w:val="fr-FR"/>
        </w:rPr>
        <w:t>.</w:t>
      </w:r>
    </w:p>
    <w:p w14:paraId="4EF8130A" w14:textId="77777777" w:rsidR="00AF2126" w:rsidRPr="00D05C85" w:rsidRDefault="00AF2126" w:rsidP="00AF2126">
      <w:pPr>
        <w:pStyle w:val="SingleTxtG"/>
        <w:ind w:left="2268" w:hanging="1134"/>
        <w:rPr>
          <w:lang w:val="fr-FR"/>
        </w:rPr>
      </w:pPr>
      <w:r w:rsidRPr="00D05C85">
        <w:rPr>
          <w:lang w:val="fr-FR"/>
        </w:rPr>
        <w:t>5.4.4</w:t>
      </w:r>
      <w:r w:rsidRPr="00D05C85">
        <w:rPr>
          <w:lang w:val="fr-FR"/>
        </w:rPr>
        <w:tab/>
        <w:t>Mesure :</w:t>
      </w:r>
    </w:p>
    <w:p w14:paraId="1DFF53BB" w14:textId="77777777" w:rsidR="00AF2126" w:rsidRPr="00D05C85" w:rsidRDefault="00AF2126" w:rsidP="00AF2126">
      <w:pPr>
        <w:pStyle w:val="SingleTxtG"/>
        <w:ind w:left="2268"/>
        <w:rPr>
          <w:lang w:val="fr-FR"/>
        </w:rPr>
      </w:pPr>
      <w:r w:rsidRPr="00D05C85">
        <w:rPr>
          <w:lang w:val="fr-FR"/>
        </w:rPr>
        <w:tab/>
        <w:t>Pas de prescriptions supplémentaires.</w:t>
      </w:r>
    </w:p>
    <w:p w14:paraId="673BF264" w14:textId="77777777" w:rsidR="00AF2126" w:rsidRPr="00D05C85" w:rsidRDefault="00AF2126" w:rsidP="00AF2126">
      <w:pPr>
        <w:pStyle w:val="SingleTxtG"/>
        <w:ind w:left="2268" w:hanging="1134"/>
        <w:rPr>
          <w:lang w:val="fr-FR"/>
        </w:rPr>
      </w:pPr>
      <w:r w:rsidRPr="00D05C85">
        <w:rPr>
          <w:lang w:val="fr-FR"/>
        </w:rPr>
        <w:t>5.4.5</w:t>
      </w:r>
      <w:r w:rsidRPr="00D05C85">
        <w:rPr>
          <w:lang w:val="fr-FR"/>
        </w:rPr>
        <w:tab/>
        <w:t>Prescriptions supplémentaires :</w:t>
      </w:r>
    </w:p>
    <w:p w14:paraId="01CECEC8" w14:textId="77777777" w:rsidR="00AF2126" w:rsidRPr="00D05C85" w:rsidRDefault="00AF2126" w:rsidP="00AF2126">
      <w:pPr>
        <w:pStyle w:val="SingleTxtG"/>
        <w:ind w:left="2268"/>
        <w:rPr>
          <w:lang w:val="fr-FR"/>
        </w:rPr>
      </w:pPr>
      <w:r w:rsidRPr="00D05C85">
        <w:rPr>
          <w:lang w:val="fr-FR"/>
        </w:rPr>
        <w:tab/>
        <w:t>Le feu de circulation diurne doit être soumis à l’essai de résistance à la chaleur décrit à l’annexe 6.</w:t>
      </w:r>
    </w:p>
    <w:p w14:paraId="75DF8A12" w14:textId="77777777" w:rsidR="00AF2126" w:rsidRPr="00D05C85" w:rsidRDefault="00AF2126" w:rsidP="00AF2126">
      <w:pPr>
        <w:pStyle w:val="SingleTxtG"/>
        <w:ind w:left="2268" w:hanging="1134"/>
        <w:rPr>
          <w:lang w:val="fr-FR"/>
        </w:rPr>
      </w:pPr>
      <w:r w:rsidRPr="00D05C85">
        <w:rPr>
          <w:lang w:val="fr-FR"/>
        </w:rPr>
        <w:t>5.4.6</w:t>
      </w:r>
      <w:r w:rsidRPr="00D05C85">
        <w:rPr>
          <w:lang w:val="fr-FR"/>
        </w:rPr>
        <w:tab/>
        <w:t>Dispositions applicables en cas de défaillance :</w:t>
      </w:r>
    </w:p>
    <w:p w14:paraId="1BC0D652" w14:textId="77777777" w:rsidR="00AF2126" w:rsidRPr="00D05C85" w:rsidRDefault="00AF2126" w:rsidP="00AF2126">
      <w:pPr>
        <w:pStyle w:val="SingleTxtG"/>
        <w:ind w:left="2268"/>
        <w:rPr>
          <w:lang w:val="fr-FR"/>
        </w:rPr>
      </w:pPr>
      <w:r w:rsidRPr="00D05C85">
        <w:rPr>
          <w:lang w:val="fr-FR"/>
        </w:rPr>
        <w:tab/>
        <w:t>Voir le paragraphe 4.6.</w:t>
      </w:r>
    </w:p>
    <w:p w14:paraId="4FEAC30F" w14:textId="77777777" w:rsidR="00AF2126" w:rsidRPr="00D05C85" w:rsidRDefault="00AF2126" w:rsidP="00AF2126">
      <w:pPr>
        <w:pStyle w:val="SingleTxtG"/>
        <w:ind w:left="2268" w:hanging="1134"/>
        <w:rPr>
          <w:lang w:val="fr-FR"/>
        </w:rPr>
      </w:pPr>
      <w:r w:rsidRPr="00D05C85">
        <w:rPr>
          <w:lang w:val="fr-FR"/>
        </w:rPr>
        <w:t>5.4.7</w:t>
      </w:r>
      <w:r w:rsidRPr="00D05C85">
        <w:rPr>
          <w:lang w:val="fr-FR"/>
        </w:rPr>
        <w:tab/>
        <w:t>Couleur :</w:t>
      </w:r>
    </w:p>
    <w:p w14:paraId="7C49E3EC" w14:textId="77777777" w:rsidR="00AF2126" w:rsidRPr="00D05C85" w:rsidRDefault="00AF2126" w:rsidP="00AF2126">
      <w:pPr>
        <w:pStyle w:val="SingleTxtG"/>
        <w:ind w:left="2268"/>
        <w:rPr>
          <w:lang w:val="fr-FR"/>
        </w:rPr>
      </w:pPr>
      <w:r w:rsidRPr="00D05C85">
        <w:rPr>
          <w:lang w:val="fr-FR"/>
        </w:rPr>
        <w:tab/>
        <w:t>La couleur de la lumière émise doit être blanche.</w:t>
      </w:r>
      <w:bookmarkStart w:id="14" w:name="_Hlk10540159"/>
      <w:bookmarkEnd w:id="14"/>
    </w:p>
    <w:p w14:paraId="39B9CDE5" w14:textId="20E8A84A" w:rsidR="00AF2126" w:rsidRPr="00D05C85" w:rsidRDefault="00AF2126" w:rsidP="00AF2126">
      <w:pPr>
        <w:pStyle w:val="SingleTxtG"/>
        <w:ind w:left="2268" w:hanging="1134"/>
        <w:rPr>
          <w:lang w:val="fr-FR"/>
        </w:rPr>
      </w:pPr>
      <w:r w:rsidRPr="00D05C85">
        <w:rPr>
          <w:lang w:val="fr-FR"/>
        </w:rPr>
        <w:t>5.5</w:t>
      </w:r>
      <w:r w:rsidRPr="00D05C85">
        <w:rPr>
          <w:lang w:val="fr-FR"/>
        </w:rPr>
        <w:tab/>
        <w:t xml:space="preserve">Feux-stop (S1, S2, S3, S4 </w:t>
      </w:r>
      <w:r w:rsidR="00910B33">
        <w:rPr>
          <w:lang w:val="fr-FR"/>
        </w:rPr>
        <w:t xml:space="preserve">et </w:t>
      </w:r>
      <w:r w:rsidRPr="00D05C85">
        <w:rPr>
          <w:lang w:val="fr-FR"/>
        </w:rPr>
        <w:t>MS)</w:t>
      </w:r>
    </w:p>
    <w:p w14:paraId="281C9918" w14:textId="72A4A915" w:rsidR="00AF2126" w:rsidRPr="00D05C85" w:rsidRDefault="00AF2126" w:rsidP="00AF2126">
      <w:pPr>
        <w:pStyle w:val="SingleTxtG"/>
        <w:ind w:left="2268" w:hanging="1134"/>
        <w:rPr>
          <w:lang w:val="fr-FR"/>
        </w:rPr>
      </w:pPr>
      <w:r w:rsidRPr="00D05C85">
        <w:rPr>
          <w:lang w:val="fr-FR"/>
        </w:rPr>
        <w:t>5.5.1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6C29EB75" w14:textId="77777777" w:rsidR="00AF2126" w:rsidRPr="00D05C85" w:rsidRDefault="00AF2126" w:rsidP="00AF2126">
      <w:pPr>
        <w:pStyle w:val="SingleTxtG"/>
        <w:ind w:left="2268"/>
        <w:rPr>
          <w:lang w:val="fr-FR"/>
        </w:rPr>
      </w:pPr>
      <w:r w:rsidRPr="00D05C85">
        <w:rPr>
          <w:lang w:val="fr-FR"/>
        </w:rPr>
        <w:tab/>
        <w:t>La lumière émise par chacun des deux échantillons fournis doit satisfaire aux prescriptions du tableau 7.</w:t>
      </w:r>
    </w:p>
    <w:p w14:paraId="1F3ADB1F" w14:textId="77777777" w:rsidR="00AF2126" w:rsidRPr="00D05C85" w:rsidRDefault="00AF2126" w:rsidP="00AF2126">
      <w:pPr>
        <w:pStyle w:val="Titre1"/>
        <w:tabs>
          <w:tab w:val="left" w:pos="1701"/>
          <w:tab w:val="left" w:pos="2268"/>
          <w:tab w:val="left" w:pos="2835"/>
        </w:tabs>
        <w:spacing w:after="120"/>
        <w:rPr>
          <w:rStyle w:val="Carpredefinitoparagrafo1"/>
          <w:b/>
          <w:bCs/>
          <w:lang w:val="fr-FR"/>
        </w:rPr>
      </w:pPr>
      <w:r w:rsidRPr="00D05C85">
        <w:rPr>
          <w:lang w:val="fr-FR"/>
        </w:rPr>
        <w:t>Tableau 7</w:t>
      </w:r>
      <w:r w:rsidRPr="00D05C85">
        <w:rPr>
          <w:lang w:val="fr-FR"/>
        </w:rPr>
        <w:br/>
      </w:r>
      <w:r w:rsidRPr="00D05C85">
        <w:rPr>
          <w:b/>
          <w:bCs/>
          <w:lang w:val="fr-FR"/>
        </w:rPr>
        <w:t>Intensité lumineuse des feux-stop</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3"/>
        <w:gridCol w:w="1276"/>
        <w:gridCol w:w="1134"/>
        <w:gridCol w:w="1275"/>
        <w:gridCol w:w="1276"/>
        <w:gridCol w:w="1134"/>
        <w:gridCol w:w="997"/>
      </w:tblGrid>
      <w:tr w:rsidR="00AF2126" w:rsidRPr="00D05C85" w14:paraId="34A7E1E1" w14:textId="77777777" w:rsidTr="00CF1C7C">
        <w:trPr>
          <w:trHeight w:val="339"/>
        </w:trPr>
        <w:tc>
          <w:tcPr>
            <w:tcW w:w="1413" w:type="dxa"/>
            <w:vMerge w:val="restart"/>
            <w:shd w:val="clear" w:color="auto" w:fill="auto"/>
            <w:tcMar>
              <w:top w:w="15" w:type="dxa"/>
              <w:left w:w="15" w:type="dxa"/>
              <w:bottom w:w="0" w:type="dxa"/>
              <w:right w:w="15" w:type="dxa"/>
            </w:tcMar>
            <w:vAlign w:val="bottom"/>
          </w:tcPr>
          <w:p w14:paraId="2FF4F23B" w14:textId="77777777" w:rsidR="00AF2126" w:rsidRPr="00D05C85" w:rsidRDefault="00AF2126" w:rsidP="00E70082">
            <w:pPr>
              <w:spacing w:before="80" w:after="80" w:line="200" w:lineRule="exact"/>
              <w:ind w:left="57" w:right="57"/>
              <w:jc w:val="center"/>
              <w:rPr>
                <w:b/>
                <w:i/>
                <w:iCs/>
                <w:sz w:val="16"/>
                <w:szCs w:val="16"/>
                <w:lang w:val="fr-FR"/>
              </w:rPr>
            </w:pPr>
            <w:r w:rsidRPr="00D05C85">
              <w:rPr>
                <w:b/>
                <w:bCs/>
                <w:i/>
                <w:iCs/>
                <w:sz w:val="16"/>
                <w:szCs w:val="16"/>
                <w:lang w:val="fr-FR"/>
              </w:rPr>
              <w:t>Feux-stop de la catégorie</w:t>
            </w:r>
          </w:p>
        </w:tc>
        <w:tc>
          <w:tcPr>
            <w:tcW w:w="1276" w:type="dxa"/>
            <w:vMerge w:val="restart"/>
            <w:shd w:val="clear" w:color="auto" w:fill="auto"/>
            <w:tcMar>
              <w:top w:w="15" w:type="dxa"/>
              <w:left w:w="15" w:type="dxa"/>
              <w:bottom w:w="0" w:type="dxa"/>
              <w:right w:w="15" w:type="dxa"/>
            </w:tcMar>
            <w:vAlign w:val="bottom"/>
          </w:tcPr>
          <w:p w14:paraId="62FD7D39" w14:textId="6B0AD1DB" w:rsidR="00AF2126" w:rsidRPr="00D05C85" w:rsidRDefault="00AF2126" w:rsidP="00E70082">
            <w:pPr>
              <w:spacing w:before="80" w:after="80" w:line="200" w:lineRule="exact"/>
              <w:ind w:left="57" w:right="57"/>
              <w:jc w:val="center"/>
              <w:rPr>
                <w:b/>
                <w:i/>
                <w:iCs/>
                <w:sz w:val="16"/>
                <w:szCs w:val="16"/>
                <w:lang w:val="fr-FR"/>
              </w:rPr>
            </w:pPr>
            <w:r w:rsidRPr="00D05C85">
              <w:rPr>
                <w:b/>
                <w:bCs/>
                <w:i/>
                <w:iCs/>
                <w:sz w:val="16"/>
                <w:szCs w:val="16"/>
                <w:lang w:val="fr-FR"/>
              </w:rPr>
              <w:t>Intensité lumineuse minimale en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a))</w:t>
            </w:r>
          </w:p>
        </w:tc>
        <w:tc>
          <w:tcPr>
            <w:tcW w:w="2409" w:type="dxa"/>
            <w:gridSpan w:val="2"/>
            <w:shd w:val="clear" w:color="auto" w:fill="auto"/>
            <w:tcMar>
              <w:top w:w="15" w:type="dxa"/>
              <w:left w:w="15" w:type="dxa"/>
              <w:bottom w:w="0" w:type="dxa"/>
              <w:right w:w="15" w:type="dxa"/>
            </w:tcMar>
            <w:vAlign w:val="bottom"/>
          </w:tcPr>
          <w:p w14:paraId="31B9F1F6" w14:textId="6E57A5C5" w:rsidR="00AF2126" w:rsidRPr="00D05C85" w:rsidRDefault="00AF2126" w:rsidP="00E70082">
            <w:pPr>
              <w:spacing w:before="80" w:after="80" w:line="200" w:lineRule="exact"/>
              <w:ind w:left="57" w:right="57"/>
              <w:jc w:val="center"/>
              <w:rPr>
                <w:b/>
                <w:i/>
                <w:iCs/>
                <w:sz w:val="16"/>
                <w:szCs w:val="16"/>
                <w:lang w:val="fr-FR"/>
              </w:rPr>
            </w:pPr>
            <w:r w:rsidRPr="00D05C85">
              <w:rPr>
                <w:b/>
                <w:bCs/>
                <w:i/>
                <w:iCs/>
                <w:sz w:val="16"/>
                <w:szCs w:val="16"/>
                <w:lang w:val="fr-FR"/>
              </w:rPr>
              <w:t xml:space="preserve">Intensité lumineuse maximale </w:t>
            </w:r>
            <w:r w:rsidR="00CF1C7C" w:rsidRPr="00D05C85">
              <w:rPr>
                <w:b/>
                <w:bCs/>
                <w:i/>
                <w:iCs/>
                <w:sz w:val="16"/>
                <w:szCs w:val="16"/>
                <w:lang w:val="fr-FR"/>
              </w:rPr>
              <w:br/>
            </w:r>
            <w:r w:rsidRPr="00D05C85">
              <w:rPr>
                <w:b/>
                <w:bCs/>
                <w:i/>
                <w:iCs/>
                <w:sz w:val="16"/>
                <w:szCs w:val="16"/>
                <w:lang w:val="fr-FR"/>
              </w:rPr>
              <w:t>(en cd) lorsque le feu est utilisé</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b))</w:t>
            </w:r>
          </w:p>
        </w:tc>
        <w:tc>
          <w:tcPr>
            <w:tcW w:w="1276" w:type="dxa"/>
            <w:vMerge w:val="restart"/>
            <w:shd w:val="clear" w:color="auto" w:fill="auto"/>
            <w:tcMar>
              <w:top w:w="0" w:type="dxa"/>
              <w:left w:w="10" w:type="dxa"/>
              <w:bottom w:w="0" w:type="dxa"/>
              <w:right w:w="10" w:type="dxa"/>
            </w:tcMar>
            <w:vAlign w:val="bottom"/>
          </w:tcPr>
          <w:p w14:paraId="458446AE" w14:textId="6D165FB4" w:rsidR="00AF2126" w:rsidRPr="00D05C85" w:rsidRDefault="00AF2126" w:rsidP="00E70082">
            <w:pPr>
              <w:spacing w:before="80" w:after="80" w:line="200" w:lineRule="exact"/>
              <w:ind w:left="57" w:right="57"/>
              <w:jc w:val="center"/>
              <w:rPr>
                <w:b/>
                <w:i/>
                <w:iCs/>
                <w:sz w:val="16"/>
                <w:szCs w:val="16"/>
                <w:lang w:val="fr-FR"/>
              </w:rPr>
            </w:pPr>
            <w:r w:rsidRPr="00D05C85">
              <w:rPr>
                <w:b/>
                <w:bCs/>
                <w:i/>
                <w:iCs/>
                <w:sz w:val="16"/>
                <w:szCs w:val="16"/>
                <w:lang w:val="fr-FR"/>
              </w:rPr>
              <w:t xml:space="preserve">Répartition normalisée </w:t>
            </w:r>
            <w:r w:rsidRPr="00D05C85">
              <w:rPr>
                <w:b/>
                <w:bCs/>
                <w:i/>
                <w:iCs/>
                <w:sz w:val="16"/>
                <w:szCs w:val="16"/>
                <w:lang w:val="fr-FR"/>
              </w:rPr>
              <w:b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2131" w:type="dxa"/>
            <w:gridSpan w:val="2"/>
            <w:shd w:val="clear" w:color="auto" w:fill="auto"/>
            <w:tcMar>
              <w:top w:w="0" w:type="dxa"/>
              <w:left w:w="10" w:type="dxa"/>
              <w:bottom w:w="0" w:type="dxa"/>
              <w:right w:w="10" w:type="dxa"/>
            </w:tcMar>
            <w:vAlign w:val="bottom"/>
          </w:tcPr>
          <w:p w14:paraId="7E9852A8" w14:textId="6F4AB351" w:rsidR="00AF2126" w:rsidRPr="00D05C85" w:rsidRDefault="00AF2126" w:rsidP="00E70082">
            <w:pPr>
              <w:spacing w:before="80" w:after="80" w:line="200" w:lineRule="exact"/>
              <w:ind w:left="57" w:right="57"/>
              <w:jc w:val="center"/>
              <w:rPr>
                <w:b/>
                <w:i/>
                <w:iCs/>
                <w:sz w:val="16"/>
                <w:szCs w:val="16"/>
                <w:lang w:val="fr-FR"/>
              </w:rPr>
            </w:pPr>
            <w:r w:rsidRPr="00D05C85">
              <w:rPr>
                <w:b/>
                <w:bCs/>
                <w:i/>
                <w:iCs/>
                <w:sz w:val="16"/>
                <w:szCs w:val="16"/>
                <w:lang w:val="fr-FR"/>
              </w:rPr>
              <w:t>Angles de</w:t>
            </w:r>
            <w:r w:rsidRPr="00D05C85">
              <w:rPr>
                <w:b/>
                <w:i/>
                <w:iCs/>
                <w:sz w:val="16"/>
                <w:szCs w:val="16"/>
                <w:lang w:val="fr-FR"/>
              </w:rPr>
              <w:t xml:space="preserve"> </w:t>
            </w:r>
            <w:r w:rsidRPr="00D05C85">
              <w:rPr>
                <w:b/>
                <w:bCs/>
                <w:i/>
                <w:iCs/>
                <w:sz w:val="16"/>
                <w:szCs w:val="16"/>
                <w:lang w:val="fr-FR"/>
              </w:rPr>
              <w:t>visibilité géométrique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d))</w:t>
            </w:r>
          </w:p>
        </w:tc>
      </w:tr>
      <w:tr w:rsidR="00AF2126" w:rsidRPr="00D05C85" w14:paraId="611DD083" w14:textId="77777777" w:rsidTr="00CF1C7C">
        <w:trPr>
          <w:trHeight w:val="363"/>
        </w:trPr>
        <w:tc>
          <w:tcPr>
            <w:tcW w:w="1413" w:type="dxa"/>
            <w:vMerge/>
            <w:shd w:val="clear" w:color="auto" w:fill="auto"/>
            <w:tcMar>
              <w:top w:w="15" w:type="dxa"/>
              <w:left w:w="15" w:type="dxa"/>
              <w:bottom w:w="0" w:type="dxa"/>
              <w:right w:w="15" w:type="dxa"/>
            </w:tcMar>
            <w:vAlign w:val="bottom"/>
          </w:tcPr>
          <w:p w14:paraId="27914F7A" w14:textId="77777777" w:rsidR="00AF2126" w:rsidRPr="00D05C85" w:rsidRDefault="00AF2126" w:rsidP="00E70082">
            <w:pPr>
              <w:pStyle w:val="Normale1"/>
              <w:spacing w:before="80" w:after="80" w:line="200" w:lineRule="exact"/>
              <w:jc w:val="center"/>
              <w:rPr>
                <w:b/>
                <w:i/>
                <w:iCs/>
                <w:sz w:val="16"/>
                <w:szCs w:val="16"/>
                <w:lang w:val="fr-FR"/>
              </w:rPr>
            </w:pPr>
          </w:p>
        </w:tc>
        <w:tc>
          <w:tcPr>
            <w:tcW w:w="1276" w:type="dxa"/>
            <w:vMerge/>
            <w:shd w:val="clear" w:color="auto" w:fill="auto"/>
            <w:tcMar>
              <w:top w:w="15" w:type="dxa"/>
              <w:left w:w="15" w:type="dxa"/>
              <w:bottom w:w="0" w:type="dxa"/>
              <w:right w:w="15" w:type="dxa"/>
            </w:tcMar>
            <w:vAlign w:val="bottom"/>
          </w:tcPr>
          <w:p w14:paraId="0CA2D3E4" w14:textId="77777777" w:rsidR="00AF2126" w:rsidRPr="00D05C85" w:rsidRDefault="00AF2126" w:rsidP="00E70082">
            <w:pPr>
              <w:pStyle w:val="Normale1"/>
              <w:spacing w:before="80" w:after="80" w:line="200" w:lineRule="exact"/>
              <w:jc w:val="center"/>
              <w:rPr>
                <w:b/>
                <w:i/>
                <w:iCs/>
                <w:sz w:val="16"/>
                <w:szCs w:val="16"/>
                <w:lang w:val="fr-FR"/>
              </w:rPr>
            </w:pPr>
          </w:p>
        </w:tc>
        <w:tc>
          <w:tcPr>
            <w:tcW w:w="1134" w:type="dxa"/>
            <w:shd w:val="clear" w:color="auto" w:fill="auto"/>
            <w:tcMar>
              <w:top w:w="15" w:type="dxa"/>
              <w:left w:w="15" w:type="dxa"/>
              <w:bottom w:w="0" w:type="dxa"/>
              <w:right w:w="15" w:type="dxa"/>
            </w:tcMar>
            <w:vAlign w:val="bottom"/>
          </w:tcPr>
          <w:p w14:paraId="5DA779C3" w14:textId="77777777" w:rsidR="00AF2126" w:rsidRPr="00D05C85" w:rsidRDefault="00AF2126" w:rsidP="00E70082">
            <w:pPr>
              <w:spacing w:before="80" w:after="80" w:line="200" w:lineRule="exact"/>
              <w:ind w:left="57" w:right="57"/>
              <w:jc w:val="center"/>
              <w:rPr>
                <w:b/>
                <w:i/>
                <w:iCs/>
                <w:sz w:val="16"/>
                <w:szCs w:val="16"/>
                <w:lang w:val="fr-FR"/>
              </w:rPr>
            </w:pPr>
            <w:r w:rsidRPr="00D05C85">
              <w:rPr>
                <w:b/>
                <w:bCs/>
                <w:i/>
                <w:iCs/>
                <w:sz w:val="16"/>
                <w:szCs w:val="16"/>
                <w:lang w:val="fr-FR"/>
              </w:rPr>
              <w:t>Comme feu simple</w:t>
            </w:r>
          </w:p>
        </w:tc>
        <w:tc>
          <w:tcPr>
            <w:tcW w:w="1275" w:type="dxa"/>
            <w:shd w:val="clear" w:color="auto" w:fill="auto"/>
            <w:tcMar>
              <w:top w:w="15" w:type="dxa"/>
              <w:left w:w="15" w:type="dxa"/>
              <w:bottom w:w="0" w:type="dxa"/>
              <w:right w:w="15" w:type="dxa"/>
            </w:tcMar>
            <w:vAlign w:val="bottom"/>
          </w:tcPr>
          <w:p w14:paraId="7CF726EC" w14:textId="59BE2328" w:rsidR="00AF2126" w:rsidRPr="00D05C85" w:rsidRDefault="00AF2126" w:rsidP="00E70082">
            <w:pPr>
              <w:spacing w:before="80" w:after="80" w:line="200" w:lineRule="exact"/>
              <w:ind w:left="57" w:right="57"/>
              <w:jc w:val="center"/>
              <w:rPr>
                <w:b/>
                <w:i/>
                <w:iCs/>
                <w:sz w:val="16"/>
                <w:szCs w:val="16"/>
                <w:lang w:val="fr-FR"/>
              </w:rPr>
            </w:pPr>
            <w:r w:rsidRPr="00D05C85">
              <w:rPr>
                <w:b/>
                <w:bCs/>
                <w:i/>
                <w:iCs/>
                <w:sz w:val="16"/>
                <w:szCs w:val="16"/>
                <w:lang w:val="fr-FR"/>
              </w:rPr>
              <w:t xml:space="preserve">Comme feu portant </w:t>
            </w:r>
            <w:r w:rsidR="00CF1C7C" w:rsidRPr="00D05C85">
              <w:rPr>
                <w:b/>
                <w:bCs/>
                <w:i/>
                <w:iCs/>
                <w:sz w:val="16"/>
                <w:szCs w:val="16"/>
                <w:lang w:val="fr-FR"/>
              </w:rPr>
              <w:br/>
            </w:r>
            <w:r w:rsidRPr="00D05C85">
              <w:rPr>
                <w:b/>
                <w:bCs/>
                <w:i/>
                <w:iCs/>
                <w:sz w:val="16"/>
                <w:szCs w:val="16"/>
                <w:lang w:val="fr-FR"/>
              </w:rPr>
              <w:t xml:space="preserve">la marque </w:t>
            </w:r>
            <w:r w:rsidRPr="00D05C85">
              <w:rPr>
                <w:lang w:val="fr-FR"/>
              </w:rPr>
              <w:t>“</w:t>
            </w:r>
            <w:r w:rsidRPr="00D05C85">
              <w:rPr>
                <w:b/>
                <w:bCs/>
                <w:i/>
                <w:iCs/>
                <w:sz w:val="16"/>
                <w:szCs w:val="16"/>
                <w:lang w:val="fr-FR"/>
              </w:rPr>
              <w:t>D</w:t>
            </w:r>
            <w:r w:rsidRPr="00D05C85">
              <w:rPr>
                <w:lang w:val="fr-FR"/>
              </w:rPr>
              <w:t>”</w:t>
            </w:r>
            <w:r w:rsidRPr="00D05C85">
              <w:rPr>
                <w:b/>
                <w:bCs/>
                <w:i/>
                <w:iCs/>
                <w:sz w:val="16"/>
                <w:szCs w:val="16"/>
                <w:lang w:val="fr-FR"/>
              </w:rPr>
              <w:t xml:space="preserve"> (</w:t>
            </w:r>
            <w:r w:rsidR="005B36F1" w:rsidRPr="00D05C85">
              <w:rPr>
                <w:b/>
                <w:bCs/>
                <w:i/>
                <w:iCs/>
                <w:sz w:val="16"/>
                <w:szCs w:val="16"/>
                <w:lang w:val="fr-FR"/>
              </w:rPr>
              <w:t>par. </w:t>
            </w:r>
            <w:r w:rsidRPr="00D05C85">
              <w:rPr>
                <w:b/>
                <w:bCs/>
                <w:i/>
                <w:iCs/>
                <w:sz w:val="16"/>
                <w:szCs w:val="16"/>
                <w:lang w:val="fr-FR"/>
              </w:rPr>
              <w:t>3.3.2.5.2)</w:t>
            </w:r>
          </w:p>
        </w:tc>
        <w:tc>
          <w:tcPr>
            <w:tcW w:w="1276" w:type="dxa"/>
            <w:vMerge/>
            <w:shd w:val="clear" w:color="auto" w:fill="auto"/>
            <w:tcMar>
              <w:top w:w="0" w:type="dxa"/>
              <w:left w:w="10" w:type="dxa"/>
              <w:bottom w:w="0" w:type="dxa"/>
              <w:right w:w="10" w:type="dxa"/>
            </w:tcMar>
            <w:vAlign w:val="bottom"/>
          </w:tcPr>
          <w:p w14:paraId="309D19F5" w14:textId="77777777" w:rsidR="00AF2126" w:rsidRPr="00D05C85" w:rsidRDefault="00AF2126" w:rsidP="00E70082">
            <w:pPr>
              <w:pStyle w:val="Normale1"/>
              <w:spacing w:before="80" w:after="80" w:line="200" w:lineRule="exact"/>
              <w:jc w:val="center"/>
              <w:rPr>
                <w:b/>
                <w:i/>
                <w:iCs/>
                <w:sz w:val="16"/>
                <w:szCs w:val="16"/>
                <w:lang w:val="fr-FR"/>
              </w:rPr>
            </w:pPr>
          </w:p>
        </w:tc>
        <w:tc>
          <w:tcPr>
            <w:tcW w:w="1134" w:type="dxa"/>
            <w:shd w:val="clear" w:color="auto" w:fill="auto"/>
            <w:tcMar>
              <w:top w:w="0" w:type="dxa"/>
              <w:left w:w="10" w:type="dxa"/>
              <w:bottom w:w="0" w:type="dxa"/>
              <w:right w:w="10" w:type="dxa"/>
            </w:tcMar>
            <w:vAlign w:val="bottom"/>
          </w:tcPr>
          <w:p w14:paraId="15F986FA" w14:textId="77777777" w:rsidR="00AF2126" w:rsidRPr="00D05C85" w:rsidRDefault="00AF2126" w:rsidP="00E70082">
            <w:pPr>
              <w:pStyle w:val="Normale1"/>
              <w:spacing w:before="80" w:after="80" w:line="200" w:lineRule="exact"/>
              <w:jc w:val="center"/>
              <w:rPr>
                <w:b/>
                <w:i/>
                <w:iCs/>
                <w:sz w:val="16"/>
                <w:szCs w:val="16"/>
                <w:lang w:val="fr-FR"/>
              </w:rPr>
            </w:pPr>
            <w:r w:rsidRPr="00D05C85">
              <w:rPr>
                <w:b/>
                <w:bCs/>
                <w:i/>
                <w:iCs/>
                <w:sz w:val="16"/>
                <w:szCs w:val="16"/>
                <w:lang w:val="fr-FR"/>
              </w:rPr>
              <w:t>Définition</w:t>
            </w:r>
          </w:p>
        </w:tc>
        <w:tc>
          <w:tcPr>
            <w:tcW w:w="997" w:type="dxa"/>
            <w:shd w:val="clear" w:color="auto" w:fill="auto"/>
            <w:vAlign w:val="bottom"/>
          </w:tcPr>
          <w:p w14:paraId="20BBD66D" w14:textId="5BF5FB8D" w:rsidR="00AF2126" w:rsidRPr="00D05C85" w:rsidRDefault="00AF2126" w:rsidP="00E70082">
            <w:pPr>
              <w:pStyle w:val="Normale1"/>
              <w:spacing w:before="80" w:after="80" w:line="200" w:lineRule="exact"/>
              <w:jc w:val="center"/>
              <w:rPr>
                <w:b/>
                <w:i/>
                <w:iCs/>
                <w:sz w:val="16"/>
                <w:szCs w:val="16"/>
                <w:lang w:val="fr-FR"/>
              </w:rPr>
            </w:pPr>
            <w:r w:rsidRPr="00D05C85">
              <w:rPr>
                <w:b/>
                <w:bCs/>
                <w:i/>
                <w:iCs/>
                <w:sz w:val="16"/>
                <w:szCs w:val="16"/>
                <w:lang w:val="fr-FR"/>
              </w:rPr>
              <w:t xml:space="preserve">Intensité lumineuse minimale </w:t>
            </w:r>
            <w:r w:rsidR="00CF1C7C" w:rsidRPr="00D05C85">
              <w:rPr>
                <w:b/>
                <w:bCs/>
                <w:i/>
                <w:iCs/>
                <w:sz w:val="16"/>
                <w:szCs w:val="16"/>
                <w:lang w:val="fr-FR"/>
              </w:rPr>
              <w:br/>
            </w:r>
            <w:r w:rsidRPr="00D05C85">
              <w:rPr>
                <w:b/>
                <w:bCs/>
                <w:i/>
                <w:iCs/>
                <w:sz w:val="16"/>
                <w:szCs w:val="16"/>
                <w:lang w:val="fr-FR"/>
              </w:rPr>
              <w:t>en cd</w:t>
            </w:r>
          </w:p>
        </w:tc>
      </w:tr>
      <w:tr w:rsidR="00AF2126" w:rsidRPr="00D05C85" w14:paraId="22111A0D" w14:textId="77777777" w:rsidTr="00CF1C7C">
        <w:trPr>
          <w:trHeight w:val="265"/>
        </w:trPr>
        <w:tc>
          <w:tcPr>
            <w:tcW w:w="1413" w:type="dxa"/>
            <w:shd w:val="clear" w:color="auto" w:fill="auto"/>
            <w:tcMar>
              <w:top w:w="15" w:type="dxa"/>
              <w:left w:w="15" w:type="dxa"/>
              <w:bottom w:w="0" w:type="dxa"/>
              <w:right w:w="15" w:type="dxa"/>
            </w:tcMar>
            <w:vAlign w:val="center"/>
          </w:tcPr>
          <w:p w14:paraId="4FD5254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S1 (intensité constante)</w:t>
            </w:r>
          </w:p>
        </w:tc>
        <w:tc>
          <w:tcPr>
            <w:tcW w:w="1276" w:type="dxa"/>
            <w:shd w:val="clear" w:color="auto" w:fill="auto"/>
            <w:tcMar>
              <w:top w:w="15" w:type="dxa"/>
              <w:left w:w="15" w:type="dxa"/>
              <w:bottom w:w="0" w:type="dxa"/>
              <w:right w:w="15" w:type="dxa"/>
            </w:tcMar>
            <w:vAlign w:val="center"/>
          </w:tcPr>
          <w:p w14:paraId="3F040004"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6,0∙10</w:t>
            </w:r>
            <w:r w:rsidRPr="00D05C85">
              <w:rPr>
                <w:sz w:val="18"/>
                <w:szCs w:val="18"/>
                <w:vertAlign w:val="superscript"/>
                <w:lang w:val="fr-FR"/>
              </w:rPr>
              <w:t>1</w:t>
            </w:r>
          </w:p>
        </w:tc>
        <w:tc>
          <w:tcPr>
            <w:tcW w:w="1134" w:type="dxa"/>
            <w:shd w:val="clear" w:color="auto" w:fill="auto"/>
            <w:tcMar>
              <w:top w:w="15" w:type="dxa"/>
              <w:left w:w="15" w:type="dxa"/>
              <w:bottom w:w="0" w:type="dxa"/>
              <w:right w:w="15" w:type="dxa"/>
            </w:tcMar>
            <w:vAlign w:val="center"/>
          </w:tcPr>
          <w:p w14:paraId="17817086"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2,60∙10</w:t>
            </w:r>
            <w:r w:rsidRPr="00D05C85">
              <w:rPr>
                <w:sz w:val="18"/>
                <w:szCs w:val="18"/>
                <w:vertAlign w:val="superscript"/>
                <w:lang w:val="fr-FR"/>
              </w:rPr>
              <w:t>2</w:t>
            </w:r>
          </w:p>
        </w:tc>
        <w:tc>
          <w:tcPr>
            <w:tcW w:w="1275" w:type="dxa"/>
            <w:shd w:val="clear" w:color="auto" w:fill="auto"/>
            <w:tcMar>
              <w:top w:w="15" w:type="dxa"/>
              <w:left w:w="15" w:type="dxa"/>
              <w:bottom w:w="0" w:type="dxa"/>
              <w:right w:w="15" w:type="dxa"/>
            </w:tcMar>
            <w:vAlign w:val="center"/>
          </w:tcPr>
          <w:p w14:paraId="5BC67AB4"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1,30∙10</w:t>
            </w:r>
            <w:r w:rsidRPr="00D05C85">
              <w:rPr>
                <w:sz w:val="18"/>
                <w:szCs w:val="18"/>
                <w:vertAlign w:val="superscript"/>
                <w:lang w:val="fr-FR"/>
              </w:rPr>
              <w:t>2</w:t>
            </w:r>
          </w:p>
        </w:tc>
        <w:tc>
          <w:tcPr>
            <w:tcW w:w="1276" w:type="dxa"/>
            <w:shd w:val="clear" w:color="auto" w:fill="auto"/>
            <w:tcMar>
              <w:top w:w="0" w:type="dxa"/>
              <w:left w:w="10" w:type="dxa"/>
              <w:bottom w:w="0" w:type="dxa"/>
              <w:right w:w="10" w:type="dxa"/>
            </w:tcMar>
          </w:tcPr>
          <w:p w14:paraId="685E23C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10" w:type="dxa"/>
              <w:bottom w:w="0" w:type="dxa"/>
              <w:right w:w="10" w:type="dxa"/>
            </w:tcMar>
          </w:tcPr>
          <w:p w14:paraId="7E907C8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10" w:type="dxa"/>
              <w:bottom w:w="0" w:type="dxa"/>
              <w:right w:w="10" w:type="dxa"/>
            </w:tcMar>
            <w:vAlign w:val="center"/>
          </w:tcPr>
          <w:p w14:paraId="08077B4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r w:rsidRPr="00D05C85">
              <w:rPr>
                <w:sz w:val="18"/>
                <w:szCs w:val="18"/>
                <w:lang w:val="fr-FR"/>
              </w:rPr>
              <w:t xml:space="preserve"> </w:t>
            </w:r>
          </w:p>
        </w:tc>
      </w:tr>
      <w:tr w:rsidR="00AF2126" w:rsidRPr="00D05C85" w14:paraId="7AFD1640" w14:textId="77777777" w:rsidTr="00CF1C7C">
        <w:trPr>
          <w:trHeight w:val="265"/>
        </w:trPr>
        <w:tc>
          <w:tcPr>
            <w:tcW w:w="1413" w:type="dxa"/>
            <w:shd w:val="clear" w:color="auto" w:fill="auto"/>
            <w:tcMar>
              <w:top w:w="15" w:type="dxa"/>
              <w:left w:w="15" w:type="dxa"/>
              <w:bottom w:w="0" w:type="dxa"/>
              <w:right w:w="15" w:type="dxa"/>
            </w:tcMar>
            <w:vAlign w:val="center"/>
          </w:tcPr>
          <w:p w14:paraId="0521349A"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S2 (intensité variable)</w:t>
            </w:r>
          </w:p>
        </w:tc>
        <w:tc>
          <w:tcPr>
            <w:tcW w:w="1276" w:type="dxa"/>
            <w:shd w:val="clear" w:color="auto" w:fill="auto"/>
            <w:tcMar>
              <w:top w:w="15" w:type="dxa"/>
              <w:left w:w="15" w:type="dxa"/>
              <w:bottom w:w="0" w:type="dxa"/>
              <w:right w:w="15" w:type="dxa"/>
            </w:tcMar>
            <w:vAlign w:val="center"/>
          </w:tcPr>
          <w:p w14:paraId="65EB9D2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6,0∙10</w:t>
            </w:r>
            <w:r w:rsidRPr="00D05C85">
              <w:rPr>
                <w:sz w:val="18"/>
                <w:szCs w:val="18"/>
                <w:vertAlign w:val="superscript"/>
                <w:lang w:val="fr-FR"/>
              </w:rPr>
              <w:t>1</w:t>
            </w:r>
          </w:p>
        </w:tc>
        <w:tc>
          <w:tcPr>
            <w:tcW w:w="1134" w:type="dxa"/>
            <w:shd w:val="clear" w:color="auto" w:fill="auto"/>
            <w:tcMar>
              <w:top w:w="15" w:type="dxa"/>
              <w:left w:w="15" w:type="dxa"/>
              <w:bottom w:w="0" w:type="dxa"/>
              <w:right w:w="15" w:type="dxa"/>
            </w:tcMar>
            <w:vAlign w:val="center"/>
          </w:tcPr>
          <w:p w14:paraId="1AF9F87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7,30∙10</w:t>
            </w:r>
            <w:r w:rsidRPr="00D05C85">
              <w:rPr>
                <w:sz w:val="18"/>
                <w:szCs w:val="18"/>
                <w:vertAlign w:val="superscript"/>
                <w:lang w:val="fr-FR"/>
              </w:rPr>
              <w:t>2</w:t>
            </w:r>
          </w:p>
        </w:tc>
        <w:tc>
          <w:tcPr>
            <w:tcW w:w="1275" w:type="dxa"/>
            <w:shd w:val="clear" w:color="auto" w:fill="auto"/>
            <w:tcMar>
              <w:top w:w="15" w:type="dxa"/>
              <w:left w:w="15" w:type="dxa"/>
              <w:bottom w:w="0" w:type="dxa"/>
              <w:right w:w="15" w:type="dxa"/>
            </w:tcMar>
            <w:vAlign w:val="center"/>
          </w:tcPr>
          <w:p w14:paraId="02BE497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3,65∙10</w:t>
            </w:r>
            <w:r w:rsidRPr="00D05C85">
              <w:rPr>
                <w:sz w:val="18"/>
                <w:szCs w:val="18"/>
                <w:vertAlign w:val="superscript"/>
                <w:lang w:val="fr-FR"/>
              </w:rPr>
              <w:t>2</w:t>
            </w:r>
          </w:p>
        </w:tc>
        <w:tc>
          <w:tcPr>
            <w:tcW w:w="1276" w:type="dxa"/>
            <w:shd w:val="clear" w:color="auto" w:fill="auto"/>
            <w:tcMar>
              <w:top w:w="0" w:type="dxa"/>
              <w:left w:w="10" w:type="dxa"/>
              <w:bottom w:w="0" w:type="dxa"/>
              <w:right w:w="10" w:type="dxa"/>
            </w:tcMar>
          </w:tcPr>
          <w:p w14:paraId="59146E2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10" w:type="dxa"/>
              <w:bottom w:w="0" w:type="dxa"/>
              <w:right w:w="10" w:type="dxa"/>
            </w:tcMar>
          </w:tcPr>
          <w:p w14:paraId="7FD3DDC2"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10" w:type="dxa"/>
              <w:bottom w:w="0" w:type="dxa"/>
              <w:right w:w="10" w:type="dxa"/>
            </w:tcMar>
            <w:vAlign w:val="center"/>
          </w:tcPr>
          <w:p w14:paraId="644660D1" w14:textId="4D49CE21" w:rsidR="00AF2126" w:rsidRPr="00D05C85" w:rsidRDefault="00AF2126" w:rsidP="00CF1C7C">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r w:rsidRPr="00D05C85">
              <w:rPr>
                <w:sz w:val="18"/>
                <w:szCs w:val="18"/>
                <w:lang w:val="fr-FR"/>
              </w:rPr>
              <w:t xml:space="preserve"> (jour)</w:t>
            </w:r>
            <w:r w:rsidR="00CF1C7C" w:rsidRPr="00D05C85">
              <w:rPr>
                <w:sz w:val="18"/>
                <w:szCs w:val="18"/>
                <w:lang w:val="fr-FR"/>
              </w:rPr>
              <w:t xml:space="preserve"> </w:t>
            </w:r>
            <w:r w:rsidR="00CF1C7C" w:rsidRPr="00D05C85">
              <w:rPr>
                <w:sz w:val="18"/>
                <w:szCs w:val="18"/>
                <w:lang w:val="fr-FR"/>
              </w:rPr>
              <w:br/>
            </w:r>
            <w:r w:rsidRPr="00D05C85">
              <w:rPr>
                <w:sz w:val="18"/>
                <w:szCs w:val="18"/>
                <w:lang w:val="fr-FR"/>
              </w:rPr>
              <w:t>7∙10</w:t>
            </w:r>
            <w:r w:rsidRPr="00D05C85">
              <w:rPr>
                <w:sz w:val="18"/>
                <w:szCs w:val="18"/>
                <w:vertAlign w:val="superscript"/>
                <w:lang w:val="fr-FR"/>
              </w:rPr>
              <w:t>-2</w:t>
            </w:r>
            <w:r w:rsidRPr="00D05C85">
              <w:rPr>
                <w:sz w:val="18"/>
                <w:szCs w:val="18"/>
                <w:lang w:val="fr-FR"/>
              </w:rPr>
              <w:t xml:space="preserve"> (nuit)</w:t>
            </w:r>
          </w:p>
        </w:tc>
      </w:tr>
      <w:tr w:rsidR="00AF2126" w:rsidRPr="00D05C85" w14:paraId="653A96A3" w14:textId="77777777" w:rsidTr="00CF1C7C">
        <w:trPr>
          <w:trHeight w:val="265"/>
        </w:trPr>
        <w:tc>
          <w:tcPr>
            <w:tcW w:w="1413" w:type="dxa"/>
            <w:shd w:val="clear" w:color="auto" w:fill="auto"/>
            <w:tcMar>
              <w:top w:w="15" w:type="dxa"/>
              <w:left w:w="15" w:type="dxa"/>
              <w:bottom w:w="0" w:type="dxa"/>
              <w:right w:w="15" w:type="dxa"/>
            </w:tcMar>
            <w:vAlign w:val="center"/>
          </w:tcPr>
          <w:p w14:paraId="5A4B9DC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S3 (intensité constante)</w:t>
            </w:r>
          </w:p>
        </w:tc>
        <w:tc>
          <w:tcPr>
            <w:tcW w:w="1276" w:type="dxa"/>
            <w:shd w:val="clear" w:color="auto" w:fill="auto"/>
            <w:tcMar>
              <w:top w:w="15" w:type="dxa"/>
              <w:left w:w="15" w:type="dxa"/>
              <w:bottom w:w="0" w:type="dxa"/>
              <w:right w:w="15" w:type="dxa"/>
            </w:tcMar>
            <w:vAlign w:val="center"/>
          </w:tcPr>
          <w:p w14:paraId="21F0669C"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2,5∙10</w:t>
            </w:r>
            <w:r w:rsidRPr="00D05C85">
              <w:rPr>
                <w:sz w:val="18"/>
                <w:szCs w:val="18"/>
                <w:vertAlign w:val="superscript"/>
                <w:lang w:val="fr-FR"/>
              </w:rPr>
              <w:t>1</w:t>
            </w:r>
          </w:p>
        </w:tc>
        <w:tc>
          <w:tcPr>
            <w:tcW w:w="1134" w:type="dxa"/>
            <w:shd w:val="clear" w:color="auto" w:fill="auto"/>
            <w:tcMar>
              <w:top w:w="15" w:type="dxa"/>
              <w:left w:w="15" w:type="dxa"/>
              <w:bottom w:w="0" w:type="dxa"/>
              <w:right w:w="15" w:type="dxa"/>
            </w:tcMar>
            <w:vAlign w:val="center"/>
          </w:tcPr>
          <w:p w14:paraId="1E9D328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1,10∙10</w:t>
            </w:r>
            <w:r w:rsidRPr="00D05C85">
              <w:rPr>
                <w:sz w:val="18"/>
                <w:szCs w:val="18"/>
                <w:vertAlign w:val="superscript"/>
                <w:lang w:val="fr-FR"/>
              </w:rPr>
              <w:t>2</w:t>
            </w:r>
          </w:p>
        </w:tc>
        <w:tc>
          <w:tcPr>
            <w:tcW w:w="1275" w:type="dxa"/>
            <w:shd w:val="clear" w:color="auto" w:fill="auto"/>
            <w:tcMar>
              <w:top w:w="15" w:type="dxa"/>
              <w:left w:w="15" w:type="dxa"/>
              <w:bottom w:w="0" w:type="dxa"/>
              <w:right w:w="15" w:type="dxa"/>
            </w:tcMar>
            <w:vAlign w:val="center"/>
          </w:tcPr>
          <w:p w14:paraId="0FA9612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5,5∙10</w:t>
            </w:r>
            <w:r w:rsidRPr="00D05C85">
              <w:rPr>
                <w:sz w:val="18"/>
                <w:szCs w:val="18"/>
                <w:vertAlign w:val="superscript"/>
                <w:lang w:val="fr-FR"/>
              </w:rPr>
              <w:t>1</w:t>
            </w:r>
          </w:p>
        </w:tc>
        <w:tc>
          <w:tcPr>
            <w:tcW w:w="1276" w:type="dxa"/>
            <w:shd w:val="clear" w:color="auto" w:fill="auto"/>
            <w:tcMar>
              <w:top w:w="0" w:type="dxa"/>
              <w:left w:w="10" w:type="dxa"/>
              <w:bottom w:w="0" w:type="dxa"/>
              <w:right w:w="10" w:type="dxa"/>
            </w:tcMar>
          </w:tcPr>
          <w:p w14:paraId="700100C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A3-III</w:t>
            </w:r>
          </w:p>
        </w:tc>
        <w:tc>
          <w:tcPr>
            <w:tcW w:w="1134" w:type="dxa"/>
            <w:shd w:val="clear" w:color="auto" w:fill="auto"/>
            <w:tcMar>
              <w:top w:w="0" w:type="dxa"/>
              <w:left w:w="10" w:type="dxa"/>
              <w:bottom w:w="0" w:type="dxa"/>
              <w:right w:w="10" w:type="dxa"/>
            </w:tcMar>
          </w:tcPr>
          <w:p w14:paraId="718732B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10" w:type="dxa"/>
              <w:bottom w:w="0" w:type="dxa"/>
              <w:right w:w="10" w:type="dxa"/>
            </w:tcMar>
            <w:vAlign w:val="center"/>
          </w:tcPr>
          <w:p w14:paraId="6AB2B79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r w:rsidR="00AF2126" w:rsidRPr="00D05C85" w14:paraId="624B4A2D" w14:textId="77777777" w:rsidTr="00CF1C7C">
        <w:trPr>
          <w:trHeight w:val="265"/>
        </w:trPr>
        <w:tc>
          <w:tcPr>
            <w:tcW w:w="1413" w:type="dxa"/>
            <w:shd w:val="clear" w:color="auto" w:fill="auto"/>
            <w:tcMar>
              <w:top w:w="15" w:type="dxa"/>
              <w:left w:w="15" w:type="dxa"/>
              <w:bottom w:w="0" w:type="dxa"/>
              <w:right w:w="15" w:type="dxa"/>
            </w:tcMar>
            <w:vAlign w:val="center"/>
          </w:tcPr>
          <w:p w14:paraId="13B1E98C"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S4 (intensité variable)</w:t>
            </w:r>
          </w:p>
        </w:tc>
        <w:tc>
          <w:tcPr>
            <w:tcW w:w="1276" w:type="dxa"/>
            <w:shd w:val="clear" w:color="auto" w:fill="auto"/>
            <w:tcMar>
              <w:top w:w="15" w:type="dxa"/>
              <w:left w:w="15" w:type="dxa"/>
              <w:bottom w:w="0" w:type="dxa"/>
              <w:right w:w="15" w:type="dxa"/>
            </w:tcMar>
            <w:vAlign w:val="center"/>
          </w:tcPr>
          <w:p w14:paraId="2B595CC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2,5∙10</w:t>
            </w:r>
            <w:r w:rsidRPr="00D05C85">
              <w:rPr>
                <w:sz w:val="18"/>
                <w:szCs w:val="18"/>
                <w:vertAlign w:val="superscript"/>
                <w:lang w:val="fr-FR"/>
              </w:rPr>
              <w:t>1</w:t>
            </w:r>
          </w:p>
        </w:tc>
        <w:tc>
          <w:tcPr>
            <w:tcW w:w="1134" w:type="dxa"/>
            <w:shd w:val="clear" w:color="auto" w:fill="auto"/>
            <w:tcMar>
              <w:top w:w="15" w:type="dxa"/>
              <w:left w:w="15" w:type="dxa"/>
              <w:bottom w:w="0" w:type="dxa"/>
              <w:right w:w="15" w:type="dxa"/>
            </w:tcMar>
            <w:vAlign w:val="center"/>
          </w:tcPr>
          <w:p w14:paraId="1E490B9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1,60∙10</w:t>
            </w:r>
            <w:r w:rsidRPr="00D05C85">
              <w:rPr>
                <w:sz w:val="18"/>
                <w:szCs w:val="18"/>
                <w:vertAlign w:val="superscript"/>
                <w:lang w:val="fr-FR"/>
              </w:rPr>
              <w:t>2</w:t>
            </w:r>
          </w:p>
        </w:tc>
        <w:tc>
          <w:tcPr>
            <w:tcW w:w="1275" w:type="dxa"/>
            <w:shd w:val="clear" w:color="auto" w:fill="auto"/>
            <w:tcMar>
              <w:top w:w="15" w:type="dxa"/>
              <w:left w:w="15" w:type="dxa"/>
              <w:bottom w:w="0" w:type="dxa"/>
              <w:right w:w="15" w:type="dxa"/>
            </w:tcMar>
            <w:vAlign w:val="center"/>
          </w:tcPr>
          <w:p w14:paraId="734F979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8,0∙10</w:t>
            </w:r>
            <w:r w:rsidRPr="00D05C85">
              <w:rPr>
                <w:sz w:val="18"/>
                <w:szCs w:val="18"/>
                <w:vertAlign w:val="superscript"/>
                <w:lang w:val="fr-FR"/>
              </w:rPr>
              <w:t>1</w:t>
            </w:r>
          </w:p>
        </w:tc>
        <w:tc>
          <w:tcPr>
            <w:tcW w:w="1276" w:type="dxa"/>
            <w:shd w:val="clear" w:color="auto" w:fill="auto"/>
            <w:tcMar>
              <w:top w:w="0" w:type="dxa"/>
              <w:left w:w="10" w:type="dxa"/>
              <w:bottom w:w="0" w:type="dxa"/>
              <w:right w:w="10" w:type="dxa"/>
            </w:tcMar>
          </w:tcPr>
          <w:p w14:paraId="4F7885D4"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A3-III</w:t>
            </w:r>
          </w:p>
        </w:tc>
        <w:tc>
          <w:tcPr>
            <w:tcW w:w="1134" w:type="dxa"/>
            <w:shd w:val="clear" w:color="auto" w:fill="auto"/>
            <w:tcMar>
              <w:top w:w="0" w:type="dxa"/>
              <w:left w:w="10" w:type="dxa"/>
              <w:bottom w:w="0" w:type="dxa"/>
              <w:right w:w="10" w:type="dxa"/>
            </w:tcMar>
          </w:tcPr>
          <w:p w14:paraId="5DB2F28D"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10" w:type="dxa"/>
              <w:bottom w:w="0" w:type="dxa"/>
              <w:right w:w="10" w:type="dxa"/>
            </w:tcMar>
            <w:vAlign w:val="center"/>
          </w:tcPr>
          <w:p w14:paraId="3FB372E3" w14:textId="67D6FF14" w:rsidR="00AF2126" w:rsidRPr="00D05C85" w:rsidRDefault="00AF2126" w:rsidP="00CF1C7C">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r w:rsidRPr="00D05C85">
              <w:rPr>
                <w:sz w:val="18"/>
                <w:szCs w:val="18"/>
                <w:lang w:val="fr-FR"/>
              </w:rPr>
              <w:t xml:space="preserve"> (jour)</w:t>
            </w:r>
            <w:r w:rsidR="00CF1C7C" w:rsidRPr="00D05C85">
              <w:rPr>
                <w:sz w:val="18"/>
                <w:szCs w:val="18"/>
                <w:lang w:val="fr-FR"/>
              </w:rPr>
              <w:br/>
            </w:r>
            <w:r w:rsidRPr="00D05C85">
              <w:rPr>
                <w:sz w:val="18"/>
                <w:szCs w:val="18"/>
                <w:lang w:val="fr-FR"/>
              </w:rPr>
              <w:t>7∙10</w:t>
            </w:r>
            <w:r w:rsidRPr="00D05C85">
              <w:rPr>
                <w:sz w:val="18"/>
                <w:szCs w:val="18"/>
                <w:vertAlign w:val="superscript"/>
                <w:lang w:val="fr-FR"/>
              </w:rPr>
              <w:t>-2</w:t>
            </w:r>
            <w:r w:rsidRPr="00D05C85">
              <w:rPr>
                <w:sz w:val="18"/>
                <w:szCs w:val="18"/>
                <w:lang w:val="fr-FR"/>
              </w:rPr>
              <w:t xml:space="preserve"> (nuit)</w:t>
            </w:r>
          </w:p>
        </w:tc>
      </w:tr>
      <w:tr w:rsidR="00AF2126" w:rsidRPr="00D05C85" w14:paraId="4B62043D" w14:textId="77777777" w:rsidTr="00CF1C7C">
        <w:trPr>
          <w:trHeight w:val="265"/>
        </w:trPr>
        <w:tc>
          <w:tcPr>
            <w:tcW w:w="1413" w:type="dxa"/>
            <w:shd w:val="clear" w:color="auto" w:fill="auto"/>
            <w:tcMar>
              <w:top w:w="15" w:type="dxa"/>
              <w:left w:w="15" w:type="dxa"/>
              <w:bottom w:w="0" w:type="dxa"/>
              <w:right w:w="15" w:type="dxa"/>
            </w:tcMar>
            <w:vAlign w:val="center"/>
          </w:tcPr>
          <w:p w14:paraId="7D6986C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MS (intensité constante)</w:t>
            </w:r>
          </w:p>
        </w:tc>
        <w:tc>
          <w:tcPr>
            <w:tcW w:w="1276" w:type="dxa"/>
            <w:shd w:val="clear" w:color="auto" w:fill="auto"/>
            <w:tcMar>
              <w:top w:w="15" w:type="dxa"/>
              <w:left w:w="15" w:type="dxa"/>
              <w:bottom w:w="0" w:type="dxa"/>
              <w:right w:w="15" w:type="dxa"/>
            </w:tcMar>
            <w:vAlign w:val="center"/>
          </w:tcPr>
          <w:p w14:paraId="54643F62"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4,0∙10</w:t>
            </w:r>
            <w:r w:rsidRPr="00D05C85">
              <w:rPr>
                <w:sz w:val="18"/>
                <w:szCs w:val="18"/>
                <w:vertAlign w:val="superscript"/>
                <w:lang w:val="fr-FR"/>
              </w:rPr>
              <w:t>1</w:t>
            </w:r>
          </w:p>
        </w:tc>
        <w:tc>
          <w:tcPr>
            <w:tcW w:w="1134" w:type="dxa"/>
            <w:shd w:val="clear" w:color="auto" w:fill="auto"/>
            <w:tcMar>
              <w:top w:w="15" w:type="dxa"/>
              <w:left w:w="15" w:type="dxa"/>
              <w:bottom w:w="0" w:type="dxa"/>
              <w:right w:w="15" w:type="dxa"/>
            </w:tcMar>
            <w:vAlign w:val="center"/>
          </w:tcPr>
          <w:p w14:paraId="24E06A5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2,60∙10</w:t>
            </w:r>
            <w:r w:rsidRPr="00D05C85">
              <w:rPr>
                <w:sz w:val="18"/>
                <w:szCs w:val="18"/>
                <w:vertAlign w:val="superscript"/>
                <w:lang w:val="fr-FR"/>
              </w:rPr>
              <w:t>2</w:t>
            </w:r>
          </w:p>
        </w:tc>
        <w:tc>
          <w:tcPr>
            <w:tcW w:w="1275" w:type="dxa"/>
            <w:shd w:val="clear" w:color="auto" w:fill="auto"/>
            <w:tcMar>
              <w:top w:w="15" w:type="dxa"/>
              <w:left w:w="15" w:type="dxa"/>
              <w:bottom w:w="0" w:type="dxa"/>
              <w:right w:w="15" w:type="dxa"/>
            </w:tcMar>
            <w:vAlign w:val="center"/>
          </w:tcPr>
          <w:p w14:paraId="505C805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1,30∙10</w:t>
            </w:r>
            <w:r w:rsidRPr="00D05C85">
              <w:rPr>
                <w:sz w:val="18"/>
                <w:szCs w:val="18"/>
                <w:vertAlign w:val="superscript"/>
                <w:lang w:val="fr-FR"/>
              </w:rPr>
              <w:t>2</w:t>
            </w:r>
          </w:p>
        </w:tc>
        <w:tc>
          <w:tcPr>
            <w:tcW w:w="1276" w:type="dxa"/>
            <w:shd w:val="clear" w:color="auto" w:fill="auto"/>
            <w:tcMar>
              <w:top w:w="0" w:type="dxa"/>
              <w:left w:w="10" w:type="dxa"/>
              <w:bottom w:w="0" w:type="dxa"/>
              <w:right w:w="10" w:type="dxa"/>
            </w:tcMar>
          </w:tcPr>
          <w:p w14:paraId="07B489A9"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10" w:type="dxa"/>
              <w:bottom w:w="0" w:type="dxa"/>
              <w:right w:w="10" w:type="dxa"/>
            </w:tcMar>
          </w:tcPr>
          <w:p w14:paraId="3411DC21"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10" w:type="dxa"/>
              <w:bottom w:w="0" w:type="dxa"/>
              <w:right w:w="10" w:type="dxa"/>
            </w:tcMar>
            <w:vAlign w:val="center"/>
          </w:tcPr>
          <w:p w14:paraId="2C36BF9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bl>
    <w:p w14:paraId="0A496AF6" w14:textId="77777777" w:rsidR="00AF2126" w:rsidRPr="00D05C85" w:rsidRDefault="00AF2126" w:rsidP="00AF2126">
      <w:pPr>
        <w:pStyle w:val="SingleTxtG"/>
        <w:keepNext/>
        <w:spacing w:before="240"/>
        <w:ind w:left="2268" w:hanging="1134"/>
        <w:rPr>
          <w:lang w:val="fr-FR"/>
        </w:rPr>
      </w:pPr>
      <w:r w:rsidRPr="00D05C85">
        <w:rPr>
          <w:lang w:val="fr-FR"/>
        </w:rPr>
        <w:t>5.5.2</w:t>
      </w:r>
      <w:r w:rsidRPr="00D05C85">
        <w:rPr>
          <w:lang w:val="fr-FR"/>
        </w:rPr>
        <w:tab/>
        <w:t>Intensité lumineuse minimale sous les angles de visibilité géométrique :</w:t>
      </w:r>
    </w:p>
    <w:p w14:paraId="3D9907D4" w14:textId="77777777" w:rsidR="00AF2126" w:rsidRPr="00D05C85" w:rsidRDefault="00AF2126" w:rsidP="00AF2126">
      <w:pPr>
        <w:pStyle w:val="SingleTxtG"/>
        <w:ind w:left="2268"/>
        <w:rPr>
          <w:lang w:val="fr-FR"/>
        </w:rPr>
      </w:pPr>
      <w:r w:rsidRPr="00D05C85">
        <w:rPr>
          <w:lang w:val="fr-FR"/>
        </w:rPr>
        <w:tab/>
        <w:t>Voir le tableau 7.</w:t>
      </w:r>
    </w:p>
    <w:p w14:paraId="32CE2D27" w14:textId="77777777" w:rsidR="00AF2126" w:rsidRPr="00D05C85" w:rsidRDefault="00AF2126" w:rsidP="00AF2126">
      <w:pPr>
        <w:pStyle w:val="SingleTxtG"/>
        <w:ind w:left="2268" w:hanging="1134"/>
        <w:rPr>
          <w:lang w:val="fr-FR"/>
        </w:rPr>
      </w:pPr>
      <w:r w:rsidRPr="00D05C85">
        <w:rPr>
          <w:lang w:val="fr-FR"/>
        </w:rPr>
        <w:t>5.5.3</w:t>
      </w:r>
      <w:r w:rsidRPr="00D05C85">
        <w:rPr>
          <w:lang w:val="fr-FR"/>
        </w:rPr>
        <w:tab/>
        <w:t>Superficie minimale ou maximale de la surface apparente :</w:t>
      </w:r>
    </w:p>
    <w:p w14:paraId="2AA7028B" w14:textId="77777777" w:rsidR="00AF2126" w:rsidRPr="00D05C85" w:rsidRDefault="00AF2126" w:rsidP="00AF2126">
      <w:pPr>
        <w:pStyle w:val="SingleTxtG"/>
        <w:ind w:left="2268"/>
        <w:rPr>
          <w:lang w:val="fr-FR"/>
        </w:rPr>
      </w:pPr>
      <w:r w:rsidRPr="00D05C85">
        <w:rPr>
          <w:lang w:val="fr-FR"/>
        </w:rPr>
        <w:tab/>
        <w:t>Pas de prescriptions.</w:t>
      </w:r>
    </w:p>
    <w:p w14:paraId="64194C03" w14:textId="77777777" w:rsidR="00AF2126" w:rsidRPr="00D05C85" w:rsidRDefault="00AF2126" w:rsidP="00AF2126">
      <w:pPr>
        <w:pStyle w:val="SingleTxtG"/>
        <w:keepNext/>
        <w:ind w:left="2268" w:hanging="1134"/>
        <w:rPr>
          <w:lang w:val="fr-FR"/>
        </w:rPr>
      </w:pPr>
      <w:r w:rsidRPr="00D05C85">
        <w:rPr>
          <w:lang w:val="fr-FR"/>
        </w:rPr>
        <w:lastRenderedPageBreak/>
        <w:t>5.5.4</w:t>
      </w:r>
      <w:r w:rsidRPr="00D05C85">
        <w:rPr>
          <w:lang w:val="fr-FR"/>
        </w:rPr>
        <w:tab/>
        <w:t>Mesure :</w:t>
      </w:r>
    </w:p>
    <w:p w14:paraId="3985EDCD" w14:textId="016A958F" w:rsidR="00AF2126" w:rsidRPr="00D05C85" w:rsidRDefault="00AF2126" w:rsidP="00AF2126">
      <w:pPr>
        <w:pStyle w:val="SingleTxtG"/>
        <w:ind w:left="2268" w:hanging="1134"/>
        <w:rPr>
          <w:lang w:val="fr-FR"/>
        </w:rPr>
      </w:pPr>
      <w:r w:rsidRPr="00D05C85">
        <w:rPr>
          <w:lang w:val="fr-FR"/>
        </w:rPr>
        <w:t>5.5.4.1</w:t>
      </w:r>
      <w:r w:rsidRPr="00D05C85">
        <w:rPr>
          <w:lang w:val="fr-FR"/>
        </w:rPr>
        <w:tab/>
        <w:t xml:space="preserve">Dans le cas des feux-stop des catégories S3 ou S4 conçus pour être montés à l’intérieur du véhicule, les caractéristiques colorimétriques doivent être vérifiées pour la ou les plus mauvaises combinaisons de feux </w:t>
      </w:r>
      <w:r w:rsidR="00910B33">
        <w:rPr>
          <w:lang w:val="fr-FR"/>
        </w:rPr>
        <w:t xml:space="preserve">et </w:t>
      </w:r>
      <w:r w:rsidRPr="00D05C85">
        <w:rPr>
          <w:lang w:val="fr-FR"/>
        </w:rPr>
        <w:t>de lunettes arrière ou d’échantillons de vitre.</w:t>
      </w:r>
    </w:p>
    <w:p w14:paraId="62009BBA" w14:textId="08DE3BFA" w:rsidR="00AF2126" w:rsidRPr="00D05C85" w:rsidRDefault="00AF2126" w:rsidP="00AF2126">
      <w:pPr>
        <w:pStyle w:val="SingleTxtG"/>
        <w:ind w:left="2268" w:hanging="1134"/>
        <w:rPr>
          <w:lang w:val="fr-FR"/>
        </w:rPr>
      </w:pPr>
      <w:r w:rsidRPr="00D05C85">
        <w:rPr>
          <w:lang w:val="fr-FR"/>
        </w:rPr>
        <w:t>5.5.4.2</w:t>
      </w:r>
      <w:r w:rsidRPr="00D05C85">
        <w:rPr>
          <w:lang w:val="fr-FR"/>
        </w:rPr>
        <w:tab/>
        <w:t>Pour les pairs de feux-stop (MS), la répartition normalisée de la lumière peut, à la requête du demandeur, être considérée de la ligne</w:t>
      </w:r>
      <w:r w:rsidR="005B36F1" w:rsidRPr="00D05C85">
        <w:rPr>
          <w:lang w:val="fr-FR"/>
        </w:rPr>
        <w:t> V</w:t>
      </w:r>
      <w:r w:rsidRPr="00D05C85">
        <w:rPr>
          <w:lang w:val="fr-FR"/>
        </w:rPr>
        <w:t>V jusqu’au bord extérieur seulement.</w:t>
      </w:r>
    </w:p>
    <w:p w14:paraId="4C6308A2" w14:textId="77777777" w:rsidR="00AF2126" w:rsidRPr="00D05C85" w:rsidRDefault="00AF2126" w:rsidP="00AF2126">
      <w:pPr>
        <w:pStyle w:val="SingleTxtG"/>
        <w:ind w:left="2268" w:hanging="1134"/>
        <w:rPr>
          <w:lang w:val="fr-FR"/>
        </w:rPr>
      </w:pPr>
      <w:r w:rsidRPr="00D05C85">
        <w:rPr>
          <w:lang w:val="fr-FR"/>
        </w:rPr>
        <w:t>5.5.5</w:t>
      </w:r>
      <w:r w:rsidRPr="00D05C85">
        <w:rPr>
          <w:lang w:val="fr-FR"/>
        </w:rPr>
        <w:tab/>
        <w:t>Prescriptions supplémentaires :</w:t>
      </w:r>
    </w:p>
    <w:p w14:paraId="0E4F156F" w14:textId="77777777" w:rsidR="00AF2126" w:rsidRPr="00D05C85" w:rsidRDefault="00AF2126" w:rsidP="00AF2126">
      <w:pPr>
        <w:pStyle w:val="SingleTxtG"/>
        <w:ind w:left="2268"/>
        <w:rPr>
          <w:lang w:val="fr-FR"/>
        </w:rPr>
      </w:pPr>
      <w:r w:rsidRPr="00D05C85">
        <w:rPr>
          <w:lang w:val="fr-FR"/>
        </w:rPr>
        <w:tab/>
        <w:t>Aucune.</w:t>
      </w:r>
    </w:p>
    <w:p w14:paraId="0AF5E9FE" w14:textId="77777777" w:rsidR="00AF2126" w:rsidRPr="00D05C85" w:rsidRDefault="00AF2126" w:rsidP="00AF2126">
      <w:pPr>
        <w:pStyle w:val="SingleTxtG"/>
        <w:ind w:left="2268" w:hanging="1134"/>
        <w:rPr>
          <w:lang w:val="fr-FR"/>
        </w:rPr>
      </w:pPr>
      <w:r w:rsidRPr="00D05C85">
        <w:rPr>
          <w:lang w:val="fr-FR"/>
        </w:rPr>
        <w:t>5.5.6</w:t>
      </w:r>
      <w:r w:rsidRPr="00D05C85">
        <w:rPr>
          <w:lang w:val="fr-FR"/>
        </w:rPr>
        <w:tab/>
        <w:t>Dispositions applicables en cas de défaillance :</w:t>
      </w:r>
    </w:p>
    <w:p w14:paraId="171E5E43" w14:textId="77777777" w:rsidR="00AF2126" w:rsidRPr="00D05C85" w:rsidRDefault="00AF2126" w:rsidP="00AF2126">
      <w:pPr>
        <w:pStyle w:val="SingleTxtG"/>
        <w:ind w:left="2268"/>
        <w:rPr>
          <w:lang w:val="fr-FR"/>
        </w:rPr>
      </w:pPr>
      <w:r w:rsidRPr="00D05C85">
        <w:rPr>
          <w:lang w:val="fr-FR"/>
        </w:rPr>
        <w:tab/>
        <w:t>Voir le paragraphe 4.6.</w:t>
      </w:r>
    </w:p>
    <w:p w14:paraId="0312F188" w14:textId="77777777" w:rsidR="00AF2126" w:rsidRPr="00D05C85" w:rsidRDefault="00AF2126" w:rsidP="00AF2126">
      <w:pPr>
        <w:pStyle w:val="SingleTxtG"/>
        <w:ind w:left="2268" w:hanging="1134"/>
        <w:rPr>
          <w:lang w:val="fr-FR"/>
        </w:rPr>
      </w:pPr>
      <w:r w:rsidRPr="00D05C85">
        <w:rPr>
          <w:lang w:val="fr-FR"/>
        </w:rPr>
        <w:t>5.5.7</w:t>
      </w:r>
      <w:r w:rsidRPr="00D05C85">
        <w:rPr>
          <w:lang w:val="fr-FR"/>
        </w:rPr>
        <w:tab/>
        <w:t>Couleur :</w:t>
      </w:r>
    </w:p>
    <w:p w14:paraId="08C8A2EF" w14:textId="77777777" w:rsidR="00AF2126" w:rsidRPr="00D05C85" w:rsidRDefault="00AF2126" w:rsidP="00AF2126">
      <w:pPr>
        <w:pStyle w:val="SingleTxtG"/>
        <w:ind w:left="2268"/>
        <w:rPr>
          <w:lang w:val="fr-FR"/>
        </w:rPr>
      </w:pPr>
      <w:r w:rsidRPr="00D05C85">
        <w:rPr>
          <w:lang w:val="fr-FR"/>
        </w:rPr>
        <w:t>La couleur de la lumière émise doit être rouge.</w:t>
      </w:r>
    </w:p>
    <w:p w14:paraId="141F6AF8" w14:textId="005DF2A9" w:rsidR="00AF2126" w:rsidRPr="00D05C85" w:rsidRDefault="00AF2126" w:rsidP="00AF2126">
      <w:pPr>
        <w:pStyle w:val="SingleTxtG"/>
        <w:ind w:left="2268" w:hanging="1134"/>
        <w:rPr>
          <w:lang w:val="fr-FR"/>
        </w:rPr>
      </w:pPr>
      <w:r w:rsidRPr="00D05C85">
        <w:rPr>
          <w:lang w:val="fr-FR"/>
        </w:rPr>
        <w:t>5.6</w:t>
      </w:r>
      <w:r w:rsidRPr="00D05C85">
        <w:rPr>
          <w:lang w:val="fr-FR"/>
        </w:rPr>
        <w:tab/>
        <w:t xml:space="preserve">Feux indicateurs de direction (1, 1a, 1b, 2a, 2b, 5, 6, 11, 11a, 11b, 11c </w:t>
      </w:r>
      <w:r w:rsidR="00910B33">
        <w:rPr>
          <w:lang w:val="fr-FR"/>
        </w:rPr>
        <w:t xml:space="preserve">et </w:t>
      </w:r>
      <w:r w:rsidRPr="00D05C85">
        <w:rPr>
          <w:lang w:val="fr-FR"/>
        </w:rPr>
        <w:t>12)</w:t>
      </w:r>
    </w:p>
    <w:p w14:paraId="145762C9" w14:textId="512FA299" w:rsidR="00AF2126" w:rsidRPr="00D05C85" w:rsidRDefault="00AF2126" w:rsidP="00AF2126">
      <w:pPr>
        <w:pStyle w:val="SingleTxtG"/>
        <w:ind w:left="2268" w:hanging="1134"/>
        <w:rPr>
          <w:lang w:val="fr-FR"/>
        </w:rPr>
      </w:pPr>
      <w:r w:rsidRPr="00D05C85">
        <w:rPr>
          <w:lang w:val="fr-FR"/>
        </w:rPr>
        <w:t>5.6.1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7775742C" w14:textId="77777777" w:rsidR="00AF2126" w:rsidRPr="00D05C85" w:rsidRDefault="00AF2126" w:rsidP="00AF2126">
      <w:pPr>
        <w:pStyle w:val="SingleTxtG"/>
        <w:ind w:left="2268"/>
        <w:rPr>
          <w:lang w:val="fr-FR"/>
        </w:rPr>
      </w:pPr>
      <w:r w:rsidRPr="00D05C85">
        <w:rPr>
          <w:lang w:val="fr-FR"/>
        </w:rPr>
        <w:t>La lumière émise par chacun des deux échantillons fournis doit satisfaire aux prescriptions du tableau 8, les intensités lumineuses minimales devant être respectées :</w:t>
      </w:r>
    </w:p>
    <w:p w14:paraId="6FF6B88D" w14:textId="0D8F7EF2" w:rsidR="00AF2126" w:rsidRPr="00D05C85" w:rsidRDefault="00AF2126" w:rsidP="00AF2126">
      <w:pPr>
        <w:pStyle w:val="SingleTxtG"/>
        <w:ind w:left="2835" w:hanging="567"/>
        <w:rPr>
          <w:lang w:val="fr-FR"/>
        </w:rPr>
      </w:pPr>
      <w:r w:rsidRPr="00D05C85">
        <w:rPr>
          <w:lang w:val="fr-FR"/>
        </w:rPr>
        <w:t>a)</w:t>
      </w:r>
      <w:r w:rsidRPr="00D05C85">
        <w:rPr>
          <w:lang w:val="fr-FR"/>
        </w:rPr>
        <w:tab/>
        <w:t xml:space="preserve">Dans le cas des indicateurs de direction des catégories 1, 1a, 1b, 2a, 2b, 11, 11a, 11b, 11c </w:t>
      </w:r>
      <w:r w:rsidR="00910B33">
        <w:rPr>
          <w:lang w:val="fr-FR"/>
        </w:rPr>
        <w:t xml:space="preserve">et </w:t>
      </w:r>
      <w:r w:rsidRPr="00D05C85">
        <w:rPr>
          <w:lang w:val="fr-FR"/>
        </w:rPr>
        <w:t xml:space="preserve">12, dans l’axe de référence ; </w:t>
      </w:r>
    </w:p>
    <w:p w14:paraId="6712E57E" w14:textId="575F4116" w:rsidR="00AF2126" w:rsidRPr="00D05C85" w:rsidRDefault="00AF2126" w:rsidP="00AF2126">
      <w:pPr>
        <w:pStyle w:val="SingleTxtG"/>
        <w:ind w:left="2835" w:hanging="567"/>
        <w:rPr>
          <w:lang w:val="fr-FR"/>
        </w:rPr>
      </w:pPr>
      <w:r w:rsidRPr="00D05C85">
        <w:rPr>
          <w:lang w:val="fr-FR"/>
        </w:rPr>
        <w:t>b)</w:t>
      </w:r>
      <w:r w:rsidRPr="00D05C85">
        <w:rPr>
          <w:lang w:val="fr-FR"/>
        </w:rPr>
        <w:tab/>
        <w:t xml:space="preserve">Dans le cas des indicateurs de direction des catégories 5 </w:t>
      </w:r>
      <w:r w:rsidR="00910B33">
        <w:rPr>
          <w:lang w:val="fr-FR"/>
        </w:rPr>
        <w:t xml:space="preserve">et </w:t>
      </w:r>
      <w:r w:rsidRPr="00D05C85">
        <w:rPr>
          <w:lang w:val="fr-FR"/>
        </w:rPr>
        <w:t>6, dans la direction A indiquée dans l’annexe 2.</w:t>
      </w:r>
    </w:p>
    <w:p w14:paraId="5AFAFEBE" w14:textId="77777777" w:rsidR="00AF2126" w:rsidRPr="00D05C85" w:rsidRDefault="00AF2126" w:rsidP="00AF2126">
      <w:pPr>
        <w:pStyle w:val="Titre1"/>
        <w:tabs>
          <w:tab w:val="left" w:pos="1701"/>
          <w:tab w:val="left" w:pos="2268"/>
          <w:tab w:val="left" w:pos="2835"/>
        </w:tabs>
        <w:spacing w:after="120"/>
        <w:rPr>
          <w:b/>
          <w:bCs/>
          <w:lang w:val="fr-FR"/>
        </w:rPr>
      </w:pPr>
      <w:r w:rsidRPr="00D05C85">
        <w:rPr>
          <w:lang w:val="fr-FR"/>
        </w:rPr>
        <w:t>Tableau 8</w:t>
      </w:r>
      <w:r w:rsidRPr="00D05C85">
        <w:rPr>
          <w:lang w:val="fr-FR"/>
        </w:rPr>
        <w:br/>
      </w:r>
      <w:r w:rsidRPr="00D05C85">
        <w:rPr>
          <w:b/>
          <w:bCs/>
          <w:lang w:val="fr-FR"/>
        </w:rPr>
        <w:t>Intensité lumineuse des feux indicateurs de direction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3"/>
        <w:gridCol w:w="1276"/>
        <w:gridCol w:w="1134"/>
        <w:gridCol w:w="1275"/>
        <w:gridCol w:w="1276"/>
        <w:gridCol w:w="1134"/>
        <w:gridCol w:w="997"/>
      </w:tblGrid>
      <w:tr w:rsidR="00AF2126" w:rsidRPr="00D05C85" w14:paraId="51C258F5" w14:textId="77777777" w:rsidTr="00CF1C7C">
        <w:trPr>
          <w:trHeight w:val="229"/>
        </w:trPr>
        <w:tc>
          <w:tcPr>
            <w:tcW w:w="1413" w:type="dxa"/>
            <w:vMerge w:val="restart"/>
            <w:shd w:val="clear" w:color="auto" w:fill="auto"/>
            <w:tcMar>
              <w:top w:w="15" w:type="dxa"/>
              <w:left w:w="15" w:type="dxa"/>
              <w:bottom w:w="0" w:type="dxa"/>
              <w:right w:w="15" w:type="dxa"/>
            </w:tcMar>
            <w:vAlign w:val="bottom"/>
          </w:tcPr>
          <w:p w14:paraId="6A0BB568" w14:textId="629AC92A" w:rsidR="00AF2126" w:rsidRPr="00D05C85" w:rsidRDefault="00AF2126" w:rsidP="00E70082">
            <w:pPr>
              <w:spacing w:before="80" w:after="80" w:line="200" w:lineRule="exact"/>
              <w:jc w:val="center"/>
              <w:rPr>
                <w:b/>
                <w:i/>
                <w:iCs/>
                <w:sz w:val="16"/>
                <w:szCs w:val="16"/>
                <w:lang w:val="fr-FR"/>
              </w:rPr>
            </w:pPr>
            <w:r w:rsidRPr="00D05C85">
              <w:rPr>
                <w:b/>
                <w:bCs/>
                <w:i/>
                <w:iCs/>
                <w:sz w:val="16"/>
                <w:szCs w:val="16"/>
                <w:lang w:val="fr-FR"/>
              </w:rPr>
              <w:t xml:space="preserve">Feux indicateurs </w:t>
            </w:r>
            <w:r w:rsidR="00BF64F4" w:rsidRPr="00D05C85">
              <w:rPr>
                <w:b/>
                <w:bCs/>
                <w:i/>
                <w:iCs/>
                <w:sz w:val="16"/>
                <w:szCs w:val="16"/>
                <w:lang w:val="fr-FR"/>
              </w:rPr>
              <w:br/>
            </w:r>
            <w:r w:rsidRPr="00D05C85">
              <w:rPr>
                <w:b/>
                <w:bCs/>
                <w:i/>
                <w:iCs/>
                <w:sz w:val="16"/>
                <w:szCs w:val="16"/>
                <w:lang w:val="fr-FR"/>
              </w:rPr>
              <w:t>de direction de la catégorie</w:t>
            </w:r>
          </w:p>
        </w:tc>
        <w:tc>
          <w:tcPr>
            <w:tcW w:w="1276" w:type="dxa"/>
            <w:vMerge w:val="restart"/>
            <w:shd w:val="clear" w:color="auto" w:fill="auto"/>
            <w:tcMar>
              <w:top w:w="15" w:type="dxa"/>
              <w:left w:w="15" w:type="dxa"/>
              <w:bottom w:w="0" w:type="dxa"/>
              <w:right w:w="15" w:type="dxa"/>
            </w:tcMar>
            <w:vAlign w:val="bottom"/>
          </w:tcPr>
          <w:p w14:paraId="5E3B56AF" w14:textId="1E7DEE18" w:rsidR="00AF2126" w:rsidRPr="00D05C85" w:rsidRDefault="00AF2126" w:rsidP="00E70082">
            <w:pPr>
              <w:spacing w:before="80" w:after="80" w:line="200" w:lineRule="exact"/>
              <w:jc w:val="center"/>
              <w:rPr>
                <w:b/>
                <w:i/>
                <w:iCs/>
                <w:sz w:val="16"/>
                <w:szCs w:val="16"/>
                <w:lang w:val="fr-FR"/>
              </w:rPr>
            </w:pPr>
            <w:r w:rsidRPr="00D05C85">
              <w:rPr>
                <w:b/>
                <w:bCs/>
                <w:i/>
                <w:iCs/>
                <w:sz w:val="16"/>
                <w:szCs w:val="16"/>
                <w:lang w:val="fr-FR"/>
              </w:rPr>
              <w:t>Intensité lumineuse minimale en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a))</w:t>
            </w:r>
          </w:p>
        </w:tc>
        <w:tc>
          <w:tcPr>
            <w:tcW w:w="2409" w:type="dxa"/>
            <w:gridSpan w:val="2"/>
            <w:shd w:val="clear" w:color="auto" w:fill="auto"/>
            <w:tcMar>
              <w:top w:w="15" w:type="dxa"/>
              <w:left w:w="15" w:type="dxa"/>
              <w:bottom w:w="0" w:type="dxa"/>
              <w:right w:w="15" w:type="dxa"/>
            </w:tcMar>
            <w:vAlign w:val="bottom"/>
          </w:tcPr>
          <w:p w14:paraId="257953BD" w14:textId="6ED36608" w:rsidR="00AF2126" w:rsidRPr="00D05C85" w:rsidRDefault="00AF2126" w:rsidP="00E70082">
            <w:pPr>
              <w:spacing w:before="80" w:after="80" w:line="200" w:lineRule="exact"/>
              <w:jc w:val="center"/>
              <w:rPr>
                <w:b/>
                <w:i/>
                <w:iCs/>
                <w:sz w:val="16"/>
                <w:szCs w:val="16"/>
                <w:lang w:val="fr-FR"/>
              </w:rPr>
            </w:pPr>
            <w:r w:rsidRPr="00D05C85">
              <w:rPr>
                <w:b/>
                <w:bCs/>
                <w:i/>
                <w:iCs/>
                <w:sz w:val="16"/>
                <w:szCs w:val="16"/>
                <w:lang w:val="fr-FR"/>
              </w:rPr>
              <w:t xml:space="preserve">Intensité lumineuse maximale </w:t>
            </w:r>
            <w:r w:rsidR="00CF1C7C" w:rsidRPr="00D05C85">
              <w:rPr>
                <w:b/>
                <w:bCs/>
                <w:i/>
                <w:iCs/>
                <w:sz w:val="16"/>
                <w:szCs w:val="16"/>
                <w:lang w:val="fr-FR"/>
              </w:rPr>
              <w:br/>
            </w:r>
            <w:r w:rsidRPr="00D05C85">
              <w:rPr>
                <w:b/>
                <w:bCs/>
                <w:i/>
                <w:iCs/>
                <w:sz w:val="16"/>
                <w:szCs w:val="16"/>
                <w:lang w:val="fr-FR"/>
              </w:rPr>
              <w:t>(en cd) lorsque le feu est utilisé (</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b))</w:t>
            </w:r>
          </w:p>
        </w:tc>
        <w:tc>
          <w:tcPr>
            <w:tcW w:w="1276" w:type="dxa"/>
            <w:vMerge w:val="restart"/>
            <w:shd w:val="clear" w:color="auto" w:fill="auto"/>
            <w:tcMar>
              <w:top w:w="0" w:type="dxa"/>
              <w:left w:w="5" w:type="dxa"/>
              <w:bottom w:w="0" w:type="dxa"/>
              <w:right w:w="5" w:type="dxa"/>
            </w:tcMar>
            <w:vAlign w:val="bottom"/>
          </w:tcPr>
          <w:p w14:paraId="3A8E3D2C" w14:textId="7FA52C87" w:rsidR="00AF2126" w:rsidRPr="00D05C85" w:rsidRDefault="00AF2126" w:rsidP="00E70082">
            <w:pPr>
              <w:spacing w:before="80" w:after="80" w:line="200" w:lineRule="exact"/>
              <w:jc w:val="center"/>
              <w:rPr>
                <w:b/>
                <w:i/>
                <w:iCs/>
                <w:sz w:val="16"/>
                <w:szCs w:val="16"/>
                <w:lang w:val="fr-FR"/>
              </w:rPr>
            </w:pPr>
            <w:r w:rsidRPr="00D05C85">
              <w:rPr>
                <w:b/>
                <w:bCs/>
                <w:i/>
                <w:iCs/>
                <w:sz w:val="16"/>
                <w:szCs w:val="16"/>
                <w:lang w:val="fr-FR"/>
              </w:rPr>
              <w:t xml:space="preserve">Répartition normalisée </w:t>
            </w:r>
            <w:r w:rsidRPr="00D05C85">
              <w:rPr>
                <w:b/>
                <w:bCs/>
                <w:i/>
                <w:iCs/>
                <w:sz w:val="16"/>
                <w:szCs w:val="16"/>
                <w:lang w:val="fr-FR"/>
              </w:rPr>
              <w:b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2131" w:type="dxa"/>
            <w:gridSpan w:val="2"/>
            <w:shd w:val="clear" w:color="auto" w:fill="auto"/>
            <w:tcMar>
              <w:top w:w="0" w:type="dxa"/>
              <w:left w:w="5" w:type="dxa"/>
              <w:bottom w:w="0" w:type="dxa"/>
              <w:right w:w="5" w:type="dxa"/>
            </w:tcMar>
            <w:vAlign w:val="bottom"/>
          </w:tcPr>
          <w:p w14:paraId="7DCD8DB5" w14:textId="5321595C" w:rsidR="00AF2126" w:rsidRPr="00D05C85" w:rsidRDefault="00AF2126" w:rsidP="00E70082">
            <w:pPr>
              <w:spacing w:before="80" w:after="80" w:line="200" w:lineRule="exact"/>
              <w:jc w:val="center"/>
              <w:rPr>
                <w:b/>
                <w:i/>
                <w:iCs/>
                <w:sz w:val="16"/>
                <w:szCs w:val="16"/>
                <w:lang w:val="fr-FR"/>
              </w:rPr>
            </w:pPr>
            <w:r w:rsidRPr="00D05C85">
              <w:rPr>
                <w:b/>
                <w:bCs/>
                <w:i/>
                <w:iCs/>
                <w:sz w:val="16"/>
                <w:szCs w:val="16"/>
                <w:lang w:val="fr-FR"/>
              </w:rPr>
              <w:t>Angles de</w:t>
            </w:r>
            <w:r w:rsidRPr="00D05C85">
              <w:rPr>
                <w:b/>
                <w:i/>
                <w:iCs/>
                <w:sz w:val="16"/>
                <w:szCs w:val="16"/>
                <w:lang w:val="fr-FR"/>
              </w:rPr>
              <w:t xml:space="preserve"> </w:t>
            </w:r>
            <w:r w:rsidRPr="00D05C85">
              <w:rPr>
                <w:b/>
                <w:bCs/>
                <w:i/>
                <w:iCs/>
                <w:sz w:val="16"/>
                <w:szCs w:val="16"/>
                <w:lang w:val="fr-FR"/>
              </w:rPr>
              <w:t xml:space="preserve">visibilité </w:t>
            </w:r>
            <w:r w:rsidR="00CF1C7C" w:rsidRPr="00D05C85">
              <w:rPr>
                <w:b/>
                <w:bCs/>
                <w:i/>
                <w:iCs/>
                <w:sz w:val="16"/>
                <w:szCs w:val="16"/>
                <w:lang w:val="fr-FR"/>
              </w:rPr>
              <w:br/>
            </w:r>
            <w:r w:rsidRPr="00D05C85">
              <w:rPr>
                <w:b/>
                <w:bCs/>
                <w:i/>
                <w:iCs/>
                <w:sz w:val="16"/>
                <w:szCs w:val="16"/>
                <w:lang w:val="fr-FR"/>
              </w:rPr>
              <w:t>géométrique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d))</w:t>
            </w:r>
          </w:p>
        </w:tc>
      </w:tr>
      <w:tr w:rsidR="00AF2126" w:rsidRPr="00D05C85" w14:paraId="56CA0995" w14:textId="77777777" w:rsidTr="00CF1C7C">
        <w:trPr>
          <w:trHeight w:val="228"/>
        </w:trPr>
        <w:tc>
          <w:tcPr>
            <w:tcW w:w="1413" w:type="dxa"/>
            <w:vMerge/>
            <w:shd w:val="clear" w:color="auto" w:fill="auto"/>
            <w:tcMar>
              <w:top w:w="15" w:type="dxa"/>
              <w:left w:w="15" w:type="dxa"/>
              <w:bottom w:w="0" w:type="dxa"/>
              <w:right w:w="15" w:type="dxa"/>
            </w:tcMar>
            <w:vAlign w:val="bottom"/>
          </w:tcPr>
          <w:p w14:paraId="27DB80C1" w14:textId="77777777" w:rsidR="00AF2126" w:rsidRPr="00D05C85" w:rsidRDefault="00AF2126" w:rsidP="00E70082">
            <w:pPr>
              <w:pStyle w:val="Normale1"/>
              <w:spacing w:before="80" w:after="80" w:line="200" w:lineRule="exact"/>
              <w:jc w:val="center"/>
              <w:rPr>
                <w:b/>
                <w:i/>
                <w:iCs/>
                <w:sz w:val="16"/>
                <w:szCs w:val="16"/>
                <w:lang w:val="fr-FR"/>
              </w:rPr>
            </w:pPr>
          </w:p>
        </w:tc>
        <w:tc>
          <w:tcPr>
            <w:tcW w:w="1276" w:type="dxa"/>
            <w:vMerge/>
            <w:shd w:val="clear" w:color="auto" w:fill="auto"/>
            <w:tcMar>
              <w:top w:w="15" w:type="dxa"/>
              <w:left w:w="15" w:type="dxa"/>
              <w:bottom w:w="0" w:type="dxa"/>
              <w:right w:w="15" w:type="dxa"/>
            </w:tcMar>
            <w:vAlign w:val="bottom"/>
          </w:tcPr>
          <w:p w14:paraId="2AE7261C" w14:textId="77777777" w:rsidR="00AF2126" w:rsidRPr="00D05C85" w:rsidRDefault="00AF2126" w:rsidP="00E70082">
            <w:pPr>
              <w:pStyle w:val="Normale1"/>
              <w:spacing w:before="80" w:after="80" w:line="200" w:lineRule="exact"/>
              <w:jc w:val="center"/>
              <w:rPr>
                <w:b/>
                <w:i/>
                <w:iCs/>
                <w:sz w:val="16"/>
                <w:szCs w:val="16"/>
                <w:lang w:val="fr-FR"/>
              </w:rPr>
            </w:pPr>
          </w:p>
        </w:tc>
        <w:tc>
          <w:tcPr>
            <w:tcW w:w="1134" w:type="dxa"/>
            <w:shd w:val="clear" w:color="auto" w:fill="auto"/>
            <w:tcMar>
              <w:top w:w="15" w:type="dxa"/>
              <w:left w:w="15" w:type="dxa"/>
              <w:bottom w:w="0" w:type="dxa"/>
              <w:right w:w="15" w:type="dxa"/>
            </w:tcMar>
            <w:vAlign w:val="bottom"/>
          </w:tcPr>
          <w:p w14:paraId="00ADCA48" w14:textId="77777777" w:rsidR="00AF2126" w:rsidRPr="00D05C85" w:rsidRDefault="00AF2126" w:rsidP="00E70082">
            <w:pPr>
              <w:spacing w:before="80" w:after="80" w:line="200" w:lineRule="exact"/>
              <w:jc w:val="center"/>
              <w:rPr>
                <w:b/>
                <w:i/>
                <w:iCs/>
                <w:sz w:val="16"/>
                <w:szCs w:val="16"/>
                <w:lang w:val="fr-FR"/>
              </w:rPr>
            </w:pPr>
            <w:r w:rsidRPr="00D05C85">
              <w:rPr>
                <w:b/>
                <w:bCs/>
                <w:i/>
                <w:iCs/>
                <w:sz w:val="16"/>
                <w:szCs w:val="16"/>
                <w:lang w:val="fr-FR"/>
              </w:rPr>
              <w:t>Comme feu simple</w:t>
            </w:r>
          </w:p>
        </w:tc>
        <w:tc>
          <w:tcPr>
            <w:tcW w:w="1275" w:type="dxa"/>
            <w:shd w:val="clear" w:color="auto" w:fill="auto"/>
            <w:tcMar>
              <w:top w:w="15" w:type="dxa"/>
              <w:left w:w="15" w:type="dxa"/>
              <w:bottom w:w="0" w:type="dxa"/>
              <w:right w:w="15" w:type="dxa"/>
            </w:tcMar>
            <w:vAlign w:val="bottom"/>
          </w:tcPr>
          <w:p w14:paraId="2635D1EC" w14:textId="2C041001" w:rsidR="00AF2126" w:rsidRPr="00D05C85" w:rsidRDefault="00AF2126" w:rsidP="00E70082">
            <w:pPr>
              <w:spacing w:before="80" w:after="80" w:line="200" w:lineRule="exact"/>
              <w:jc w:val="center"/>
              <w:rPr>
                <w:b/>
                <w:i/>
                <w:iCs/>
                <w:sz w:val="16"/>
                <w:szCs w:val="16"/>
                <w:lang w:val="fr-FR"/>
              </w:rPr>
            </w:pPr>
            <w:r w:rsidRPr="00D05C85">
              <w:rPr>
                <w:b/>
                <w:bCs/>
                <w:i/>
                <w:iCs/>
                <w:sz w:val="16"/>
                <w:szCs w:val="16"/>
                <w:lang w:val="fr-FR"/>
              </w:rPr>
              <w:t xml:space="preserve">Comme feu portant </w:t>
            </w:r>
            <w:r w:rsidR="00BF64F4" w:rsidRPr="00D05C85">
              <w:rPr>
                <w:b/>
                <w:bCs/>
                <w:i/>
                <w:iCs/>
                <w:sz w:val="16"/>
                <w:szCs w:val="16"/>
                <w:lang w:val="fr-FR"/>
              </w:rPr>
              <w:br/>
            </w:r>
            <w:r w:rsidRPr="00D05C85">
              <w:rPr>
                <w:b/>
                <w:bCs/>
                <w:i/>
                <w:iCs/>
                <w:sz w:val="16"/>
                <w:szCs w:val="16"/>
                <w:lang w:val="fr-FR"/>
              </w:rPr>
              <w:t xml:space="preserve">la marque </w:t>
            </w:r>
            <w:r w:rsidRPr="00D05C85">
              <w:rPr>
                <w:lang w:val="fr-FR"/>
              </w:rPr>
              <w:t>“</w:t>
            </w:r>
            <w:r w:rsidRPr="00D05C85">
              <w:rPr>
                <w:b/>
                <w:bCs/>
                <w:i/>
                <w:iCs/>
                <w:sz w:val="16"/>
                <w:szCs w:val="16"/>
                <w:lang w:val="fr-FR"/>
              </w:rPr>
              <w:t>D</w:t>
            </w:r>
            <w:r w:rsidRPr="00D05C85">
              <w:rPr>
                <w:lang w:val="fr-FR"/>
              </w:rPr>
              <w:t>”</w:t>
            </w:r>
            <w:r w:rsidRPr="00D05C85">
              <w:rPr>
                <w:b/>
                <w:bCs/>
                <w:i/>
                <w:iCs/>
                <w:sz w:val="16"/>
                <w:szCs w:val="16"/>
                <w:lang w:val="fr-FR"/>
              </w:rPr>
              <w:t xml:space="preserve"> (</w:t>
            </w:r>
            <w:r w:rsidR="005B36F1" w:rsidRPr="00D05C85">
              <w:rPr>
                <w:b/>
                <w:bCs/>
                <w:i/>
                <w:iCs/>
                <w:sz w:val="16"/>
                <w:szCs w:val="16"/>
                <w:lang w:val="fr-FR"/>
              </w:rPr>
              <w:t>par. </w:t>
            </w:r>
            <w:r w:rsidRPr="00D05C85">
              <w:rPr>
                <w:b/>
                <w:bCs/>
                <w:i/>
                <w:iCs/>
                <w:sz w:val="16"/>
                <w:szCs w:val="16"/>
                <w:lang w:val="fr-FR"/>
              </w:rPr>
              <w:t>3.3.2.5.2)</w:t>
            </w:r>
          </w:p>
        </w:tc>
        <w:tc>
          <w:tcPr>
            <w:tcW w:w="1276" w:type="dxa"/>
            <w:vMerge/>
            <w:shd w:val="clear" w:color="auto" w:fill="auto"/>
            <w:tcMar>
              <w:top w:w="0" w:type="dxa"/>
              <w:left w:w="5" w:type="dxa"/>
              <w:bottom w:w="0" w:type="dxa"/>
              <w:right w:w="5" w:type="dxa"/>
            </w:tcMar>
            <w:vAlign w:val="bottom"/>
          </w:tcPr>
          <w:p w14:paraId="79C31330" w14:textId="77777777" w:rsidR="00AF2126" w:rsidRPr="00D05C85" w:rsidRDefault="00AF2126" w:rsidP="00E70082">
            <w:pPr>
              <w:pStyle w:val="Normale1"/>
              <w:spacing w:before="80" w:after="80" w:line="200" w:lineRule="exact"/>
              <w:jc w:val="center"/>
              <w:rPr>
                <w:b/>
                <w:i/>
                <w:iCs/>
                <w:sz w:val="16"/>
                <w:szCs w:val="16"/>
                <w:lang w:val="fr-FR"/>
              </w:rPr>
            </w:pPr>
          </w:p>
        </w:tc>
        <w:tc>
          <w:tcPr>
            <w:tcW w:w="1134" w:type="dxa"/>
            <w:shd w:val="clear" w:color="auto" w:fill="auto"/>
            <w:tcMar>
              <w:top w:w="0" w:type="dxa"/>
              <w:left w:w="5" w:type="dxa"/>
              <w:bottom w:w="0" w:type="dxa"/>
              <w:right w:w="5" w:type="dxa"/>
            </w:tcMar>
            <w:vAlign w:val="bottom"/>
          </w:tcPr>
          <w:p w14:paraId="4BC41694" w14:textId="77777777" w:rsidR="00AF2126" w:rsidRPr="00D05C85" w:rsidRDefault="00AF2126" w:rsidP="00E70082">
            <w:pPr>
              <w:pStyle w:val="Normale1"/>
              <w:spacing w:before="80" w:after="80" w:line="200" w:lineRule="exact"/>
              <w:jc w:val="center"/>
              <w:rPr>
                <w:b/>
                <w:i/>
                <w:iCs/>
                <w:sz w:val="16"/>
                <w:szCs w:val="16"/>
                <w:lang w:val="fr-FR"/>
              </w:rPr>
            </w:pPr>
            <w:r w:rsidRPr="00D05C85">
              <w:rPr>
                <w:b/>
                <w:bCs/>
                <w:i/>
                <w:iCs/>
                <w:sz w:val="16"/>
                <w:szCs w:val="16"/>
                <w:lang w:val="fr-FR"/>
              </w:rPr>
              <w:t>Définition</w:t>
            </w:r>
          </w:p>
        </w:tc>
        <w:tc>
          <w:tcPr>
            <w:tcW w:w="997" w:type="dxa"/>
            <w:shd w:val="clear" w:color="auto" w:fill="auto"/>
            <w:vAlign w:val="bottom"/>
          </w:tcPr>
          <w:p w14:paraId="3CA310D8" w14:textId="32E6C2DE" w:rsidR="00AF2126" w:rsidRPr="00D05C85" w:rsidRDefault="00AF2126" w:rsidP="00E70082">
            <w:pPr>
              <w:pStyle w:val="Normale1"/>
              <w:spacing w:before="80" w:after="80" w:line="200" w:lineRule="exact"/>
              <w:jc w:val="center"/>
              <w:rPr>
                <w:b/>
                <w:i/>
                <w:iCs/>
                <w:sz w:val="16"/>
                <w:szCs w:val="16"/>
                <w:lang w:val="fr-FR"/>
              </w:rPr>
            </w:pPr>
            <w:r w:rsidRPr="00D05C85">
              <w:rPr>
                <w:b/>
                <w:bCs/>
                <w:i/>
                <w:iCs/>
                <w:sz w:val="16"/>
                <w:szCs w:val="16"/>
                <w:lang w:val="fr-FR"/>
              </w:rPr>
              <w:t xml:space="preserve">Intensité lumineuse minimale </w:t>
            </w:r>
            <w:r w:rsidR="00BF64F4" w:rsidRPr="00D05C85">
              <w:rPr>
                <w:b/>
                <w:bCs/>
                <w:i/>
                <w:iCs/>
                <w:sz w:val="16"/>
                <w:szCs w:val="16"/>
                <w:lang w:val="fr-FR"/>
              </w:rPr>
              <w:br/>
            </w:r>
            <w:r w:rsidRPr="00D05C85">
              <w:rPr>
                <w:b/>
                <w:bCs/>
                <w:i/>
                <w:iCs/>
                <w:sz w:val="16"/>
                <w:szCs w:val="16"/>
                <w:lang w:val="fr-FR"/>
              </w:rPr>
              <w:t>en cd</w:t>
            </w:r>
          </w:p>
        </w:tc>
      </w:tr>
      <w:tr w:rsidR="00AF2126" w:rsidRPr="00D05C85" w14:paraId="0CBEE8AD" w14:textId="77777777" w:rsidTr="00CF1C7C">
        <w:trPr>
          <w:trHeight w:val="142"/>
        </w:trPr>
        <w:tc>
          <w:tcPr>
            <w:tcW w:w="1413" w:type="dxa"/>
            <w:shd w:val="clear" w:color="auto" w:fill="auto"/>
            <w:tcMar>
              <w:top w:w="0" w:type="dxa"/>
              <w:left w:w="5" w:type="dxa"/>
              <w:bottom w:w="0" w:type="dxa"/>
              <w:right w:w="5" w:type="dxa"/>
            </w:tcMar>
            <w:vAlign w:val="center"/>
          </w:tcPr>
          <w:p w14:paraId="1FDE6E2D"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w:t>
            </w:r>
          </w:p>
        </w:tc>
        <w:tc>
          <w:tcPr>
            <w:tcW w:w="1276" w:type="dxa"/>
            <w:shd w:val="clear" w:color="auto" w:fill="auto"/>
            <w:tcMar>
              <w:top w:w="0" w:type="dxa"/>
              <w:left w:w="5" w:type="dxa"/>
              <w:bottom w:w="0" w:type="dxa"/>
              <w:right w:w="5" w:type="dxa"/>
            </w:tcMar>
            <w:vAlign w:val="bottom"/>
          </w:tcPr>
          <w:p w14:paraId="33356E0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1,75∙10</w:t>
            </w:r>
            <w:r w:rsidRPr="00D05C85">
              <w:rPr>
                <w:sz w:val="18"/>
                <w:szCs w:val="18"/>
                <w:vertAlign w:val="superscript"/>
                <w:lang w:val="fr-FR"/>
              </w:rPr>
              <w:t>2</w:t>
            </w:r>
          </w:p>
        </w:tc>
        <w:tc>
          <w:tcPr>
            <w:tcW w:w="1134" w:type="dxa"/>
            <w:shd w:val="clear" w:color="auto" w:fill="auto"/>
            <w:tcMar>
              <w:top w:w="0" w:type="dxa"/>
              <w:left w:w="5" w:type="dxa"/>
              <w:bottom w:w="0" w:type="dxa"/>
              <w:right w:w="5" w:type="dxa"/>
            </w:tcMar>
            <w:vAlign w:val="bottom"/>
          </w:tcPr>
          <w:p w14:paraId="23CB709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1,20∙10</w:t>
            </w:r>
            <w:r w:rsidRPr="00D05C85">
              <w:rPr>
                <w:sz w:val="18"/>
                <w:szCs w:val="18"/>
                <w:vertAlign w:val="superscript"/>
                <w:lang w:val="fr-FR"/>
              </w:rPr>
              <w:t>3</w:t>
            </w:r>
          </w:p>
        </w:tc>
        <w:tc>
          <w:tcPr>
            <w:tcW w:w="1275" w:type="dxa"/>
            <w:shd w:val="clear" w:color="auto" w:fill="auto"/>
            <w:tcMar>
              <w:top w:w="0" w:type="dxa"/>
              <w:left w:w="5" w:type="dxa"/>
              <w:bottom w:w="0" w:type="dxa"/>
              <w:right w:w="5" w:type="dxa"/>
            </w:tcMar>
            <w:vAlign w:val="bottom"/>
          </w:tcPr>
          <w:p w14:paraId="4EAB2D7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17FC1B8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3DB9CA96"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1B9DB89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r w:rsidR="00AF2126" w:rsidRPr="00D05C85" w14:paraId="048BCA72" w14:textId="77777777" w:rsidTr="00CF1C7C">
        <w:trPr>
          <w:trHeight w:val="142"/>
        </w:trPr>
        <w:tc>
          <w:tcPr>
            <w:tcW w:w="1413" w:type="dxa"/>
            <w:shd w:val="clear" w:color="auto" w:fill="auto"/>
            <w:tcMar>
              <w:top w:w="0" w:type="dxa"/>
              <w:left w:w="5" w:type="dxa"/>
              <w:bottom w:w="0" w:type="dxa"/>
              <w:right w:w="5" w:type="dxa"/>
            </w:tcMar>
            <w:vAlign w:val="center"/>
          </w:tcPr>
          <w:p w14:paraId="12F0DF56"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1a</w:t>
            </w:r>
          </w:p>
        </w:tc>
        <w:tc>
          <w:tcPr>
            <w:tcW w:w="1276" w:type="dxa"/>
            <w:shd w:val="clear" w:color="auto" w:fill="auto"/>
            <w:tcMar>
              <w:top w:w="0" w:type="dxa"/>
              <w:left w:w="5" w:type="dxa"/>
              <w:bottom w:w="0" w:type="dxa"/>
              <w:right w:w="5" w:type="dxa"/>
            </w:tcMar>
            <w:vAlign w:val="bottom"/>
          </w:tcPr>
          <w:p w14:paraId="3DB4995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2,50∙10</w:t>
            </w:r>
            <w:r w:rsidRPr="00D05C85">
              <w:rPr>
                <w:sz w:val="18"/>
                <w:szCs w:val="18"/>
                <w:vertAlign w:val="superscript"/>
                <w:lang w:val="fr-FR"/>
              </w:rPr>
              <w:t>2</w:t>
            </w:r>
          </w:p>
        </w:tc>
        <w:tc>
          <w:tcPr>
            <w:tcW w:w="1134" w:type="dxa"/>
            <w:shd w:val="clear" w:color="auto" w:fill="auto"/>
            <w:tcMar>
              <w:top w:w="0" w:type="dxa"/>
              <w:left w:w="5" w:type="dxa"/>
              <w:bottom w:w="0" w:type="dxa"/>
              <w:right w:w="5" w:type="dxa"/>
            </w:tcMar>
            <w:vAlign w:val="bottom"/>
          </w:tcPr>
          <w:p w14:paraId="546B9A29"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1,20∙10</w:t>
            </w:r>
            <w:r w:rsidRPr="00D05C85">
              <w:rPr>
                <w:sz w:val="18"/>
                <w:szCs w:val="18"/>
                <w:vertAlign w:val="superscript"/>
                <w:lang w:val="fr-FR"/>
              </w:rPr>
              <w:t>3</w:t>
            </w:r>
          </w:p>
        </w:tc>
        <w:tc>
          <w:tcPr>
            <w:tcW w:w="1275" w:type="dxa"/>
            <w:shd w:val="clear" w:color="auto" w:fill="auto"/>
            <w:tcMar>
              <w:top w:w="0" w:type="dxa"/>
              <w:left w:w="5" w:type="dxa"/>
              <w:bottom w:w="0" w:type="dxa"/>
              <w:right w:w="5" w:type="dxa"/>
            </w:tcMar>
            <w:vAlign w:val="bottom"/>
          </w:tcPr>
          <w:p w14:paraId="3F0604E4"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64F66B2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5C7AA112"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678215D0"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r w:rsidR="00AF2126" w:rsidRPr="00D05C85" w14:paraId="2A853E1C" w14:textId="77777777" w:rsidTr="00CF1C7C">
        <w:trPr>
          <w:trHeight w:val="142"/>
        </w:trPr>
        <w:tc>
          <w:tcPr>
            <w:tcW w:w="1413" w:type="dxa"/>
            <w:shd w:val="clear" w:color="auto" w:fill="auto"/>
            <w:tcMar>
              <w:top w:w="0" w:type="dxa"/>
              <w:left w:w="5" w:type="dxa"/>
              <w:bottom w:w="0" w:type="dxa"/>
              <w:right w:w="5" w:type="dxa"/>
            </w:tcMar>
            <w:vAlign w:val="center"/>
          </w:tcPr>
          <w:p w14:paraId="01E230E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1b</w:t>
            </w:r>
          </w:p>
        </w:tc>
        <w:tc>
          <w:tcPr>
            <w:tcW w:w="1276" w:type="dxa"/>
            <w:shd w:val="clear" w:color="auto" w:fill="auto"/>
            <w:tcMar>
              <w:top w:w="0" w:type="dxa"/>
              <w:left w:w="5" w:type="dxa"/>
              <w:bottom w:w="0" w:type="dxa"/>
              <w:right w:w="5" w:type="dxa"/>
            </w:tcMar>
            <w:vAlign w:val="bottom"/>
          </w:tcPr>
          <w:p w14:paraId="5D7A342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4,00∙10</w:t>
            </w:r>
            <w:r w:rsidRPr="00D05C85">
              <w:rPr>
                <w:sz w:val="18"/>
                <w:szCs w:val="18"/>
                <w:vertAlign w:val="superscript"/>
                <w:lang w:val="fr-FR"/>
              </w:rPr>
              <w:t>2</w:t>
            </w:r>
          </w:p>
        </w:tc>
        <w:tc>
          <w:tcPr>
            <w:tcW w:w="1134" w:type="dxa"/>
            <w:shd w:val="clear" w:color="auto" w:fill="auto"/>
            <w:tcMar>
              <w:top w:w="0" w:type="dxa"/>
              <w:left w:w="5" w:type="dxa"/>
              <w:bottom w:w="0" w:type="dxa"/>
              <w:right w:w="5" w:type="dxa"/>
            </w:tcMar>
            <w:vAlign w:val="bottom"/>
          </w:tcPr>
          <w:p w14:paraId="342FA52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1,20∙10</w:t>
            </w:r>
            <w:r w:rsidRPr="00D05C85">
              <w:rPr>
                <w:sz w:val="18"/>
                <w:szCs w:val="18"/>
                <w:vertAlign w:val="superscript"/>
                <w:lang w:val="fr-FR"/>
              </w:rPr>
              <w:t>3</w:t>
            </w:r>
          </w:p>
        </w:tc>
        <w:tc>
          <w:tcPr>
            <w:tcW w:w="1275" w:type="dxa"/>
            <w:shd w:val="clear" w:color="auto" w:fill="auto"/>
            <w:tcMar>
              <w:top w:w="0" w:type="dxa"/>
              <w:left w:w="5" w:type="dxa"/>
              <w:bottom w:w="0" w:type="dxa"/>
              <w:right w:w="5" w:type="dxa"/>
            </w:tcMar>
            <w:vAlign w:val="bottom"/>
          </w:tcPr>
          <w:p w14:paraId="22DF594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6D70D4A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1C9AFF09"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0136B332"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7∙10</w:t>
            </w:r>
            <w:r w:rsidRPr="00D05C85">
              <w:rPr>
                <w:sz w:val="18"/>
                <w:szCs w:val="18"/>
                <w:vertAlign w:val="superscript"/>
                <w:lang w:val="fr-FR"/>
              </w:rPr>
              <w:t>-1</w:t>
            </w:r>
          </w:p>
        </w:tc>
      </w:tr>
      <w:tr w:rsidR="00AF2126" w:rsidRPr="00D05C85" w14:paraId="3BDD6110" w14:textId="77777777" w:rsidTr="00CF1C7C">
        <w:trPr>
          <w:trHeight w:val="142"/>
        </w:trPr>
        <w:tc>
          <w:tcPr>
            <w:tcW w:w="1413" w:type="dxa"/>
            <w:shd w:val="clear" w:color="auto" w:fill="auto"/>
            <w:tcMar>
              <w:top w:w="0" w:type="dxa"/>
              <w:left w:w="5" w:type="dxa"/>
              <w:bottom w:w="0" w:type="dxa"/>
              <w:right w:w="5" w:type="dxa"/>
            </w:tcMar>
            <w:vAlign w:val="center"/>
          </w:tcPr>
          <w:p w14:paraId="54AC93C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2a (intensité constante)</w:t>
            </w:r>
          </w:p>
        </w:tc>
        <w:tc>
          <w:tcPr>
            <w:tcW w:w="1276" w:type="dxa"/>
            <w:shd w:val="clear" w:color="auto" w:fill="auto"/>
            <w:tcMar>
              <w:top w:w="0" w:type="dxa"/>
              <w:left w:w="5" w:type="dxa"/>
              <w:bottom w:w="0" w:type="dxa"/>
              <w:right w:w="5" w:type="dxa"/>
            </w:tcMar>
            <w:vAlign w:val="bottom"/>
          </w:tcPr>
          <w:p w14:paraId="7BAF572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5,0∙10</w:t>
            </w:r>
            <w:r w:rsidRPr="00D05C85">
              <w:rPr>
                <w:sz w:val="18"/>
                <w:szCs w:val="18"/>
                <w:vertAlign w:val="superscript"/>
                <w:lang w:val="fr-FR"/>
              </w:rPr>
              <w:t>1</w:t>
            </w:r>
          </w:p>
        </w:tc>
        <w:tc>
          <w:tcPr>
            <w:tcW w:w="1134" w:type="dxa"/>
            <w:shd w:val="clear" w:color="auto" w:fill="auto"/>
            <w:tcMar>
              <w:top w:w="0" w:type="dxa"/>
              <w:left w:w="5" w:type="dxa"/>
              <w:bottom w:w="0" w:type="dxa"/>
              <w:right w:w="5" w:type="dxa"/>
            </w:tcMar>
            <w:vAlign w:val="bottom"/>
          </w:tcPr>
          <w:p w14:paraId="10AF91B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5,00∙10</w:t>
            </w:r>
            <w:r w:rsidRPr="00D05C85">
              <w:rPr>
                <w:sz w:val="18"/>
                <w:szCs w:val="18"/>
                <w:vertAlign w:val="superscript"/>
                <w:lang w:val="fr-FR"/>
              </w:rPr>
              <w:t>2</w:t>
            </w:r>
          </w:p>
        </w:tc>
        <w:tc>
          <w:tcPr>
            <w:tcW w:w="1275" w:type="dxa"/>
            <w:shd w:val="clear" w:color="auto" w:fill="auto"/>
            <w:tcMar>
              <w:top w:w="0" w:type="dxa"/>
              <w:left w:w="5" w:type="dxa"/>
              <w:bottom w:w="0" w:type="dxa"/>
              <w:right w:w="5" w:type="dxa"/>
            </w:tcMar>
            <w:vAlign w:val="bottom"/>
          </w:tcPr>
          <w:p w14:paraId="3A7600C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2,50∙10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5C09CB2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7EC4969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56D170B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r w:rsidR="00AF2126" w:rsidRPr="00D05C85" w14:paraId="355C5DDA" w14:textId="77777777" w:rsidTr="00CF1C7C">
        <w:trPr>
          <w:trHeight w:val="142"/>
        </w:trPr>
        <w:tc>
          <w:tcPr>
            <w:tcW w:w="1413" w:type="dxa"/>
            <w:shd w:val="clear" w:color="auto" w:fill="auto"/>
            <w:tcMar>
              <w:top w:w="0" w:type="dxa"/>
              <w:left w:w="5" w:type="dxa"/>
              <w:bottom w:w="0" w:type="dxa"/>
              <w:right w:w="5" w:type="dxa"/>
            </w:tcMar>
            <w:vAlign w:val="center"/>
          </w:tcPr>
          <w:p w14:paraId="36E17B14"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2b (intensité variable)</w:t>
            </w:r>
          </w:p>
        </w:tc>
        <w:tc>
          <w:tcPr>
            <w:tcW w:w="1276" w:type="dxa"/>
            <w:shd w:val="clear" w:color="auto" w:fill="auto"/>
            <w:tcMar>
              <w:top w:w="0" w:type="dxa"/>
              <w:left w:w="5" w:type="dxa"/>
              <w:bottom w:w="0" w:type="dxa"/>
              <w:right w:w="5" w:type="dxa"/>
            </w:tcMar>
            <w:vAlign w:val="bottom"/>
          </w:tcPr>
          <w:p w14:paraId="033B870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5,0∙10</w:t>
            </w:r>
            <w:r w:rsidRPr="00D05C85">
              <w:rPr>
                <w:sz w:val="18"/>
                <w:szCs w:val="18"/>
                <w:vertAlign w:val="superscript"/>
                <w:lang w:val="fr-FR"/>
              </w:rPr>
              <w:t>1</w:t>
            </w:r>
          </w:p>
        </w:tc>
        <w:tc>
          <w:tcPr>
            <w:tcW w:w="1134" w:type="dxa"/>
            <w:shd w:val="clear" w:color="auto" w:fill="auto"/>
            <w:tcMar>
              <w:top w:w="0" w:type="dxa"/>
              <w:left w:w="5" w:type="dxa"/>
              <w:bottom w:w="0" w:type="dxa"/>
              <w:right w:w="5" w:type="dxa"/>
            </w:tcMar>
            <w:vAlign w:val="bottom"/>
          </w:tcPr>
          <w:p w14:paraId="1DB9074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1,00∙10</w:t>
            </w:r>
            <w:r w:rsidRPr="00D05C85">
              <w:rPr>
                <w:sz w:val="18"/>
                <w:szCs w:val="18"/>
                <w:vertAlign w:val="superscript"/>
                <w:lang w:val="fr-FR"/>
              </w:rPr>
              <w:t>3</w:t>
            </w:r>
          </w:p>
        </w:tc>
        <w:tc>
          <w:tcPr>
            <w:tcW w:w="1275" w:type="dxa"/>
            <w:shd w:val="clear" w:color="auto" w:fill="auto"/>
            <w:tcMar>
              <w:top w:w="0" w:type="dxa"/>
              <w:left w:w="5" w:type="dxa"/>
              <w:bottom w:w="0" w:type="dxa"/>
              <w:right w:w="5" w:type="dxa"/>
            </w:tcMar>
            <w:vAlign w:val="bottom"/>
          </w:tcPr>
          <w:p w14:paraId="5E598E9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5,00∙10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2CC0B04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7737FAD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4EA1EF0B" w14:textId="5E1F0904" w:rsidR="00AF2126" w:rsidRPr="00D05C85" w:rsidRDefault="00AF2126" w:rsidP="00BF64F4">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r w:rsidRPr="00D05C85">
              <w:rPr>
                <w:sz w:val="18"/>
                <w:szCs w:val="18"/>
                <w:lang w:val="fr-FR"/>
              </w:rPr>
              <w:t xml:space="preserve"> (jour)</w:t>
            </w:r>
            <w:r w:rsidR="00BF64F4" w:rsidRPr="00D05C85">
              <w:rPr>
                <w:sz w:val="18"/>
                <w:szCs w:val="18"/>
                <w:lang w:val="fr-FR"/>
              </w:rPr>
              <w:br/>
            </w:r>
            <w:r w:rsidRPr="00D05C85">
              <w:rPr>
                <w:sz w:val="18"/>
                <w:szCs w:val="18"/>
                <w:lang w:val="fr-FR"/>
              </w:rPr>
              <w:t>7∙10</w:t>
            </w:r>
            <w:r w:rsidRPr="00D05C85">
              <w:rPr>
                <w:sz w:val="18"/>
                <w:szCs w:val="18"/>
                <w:vertAlign w:val="superscript"/>
                <w:lang w:val="fr-FR"/>
              </w:rPr>
              <w:t>-2</w:t>
            </w:r>
            <w:r w:rsidRPr="00D05C85">
              <w:rPr>
                <w:sz w:val="18"/>
                <w:szCs w:val="18"/>
                <w:lang w:val="fr-FR"/>
              </w:rPr>
              <w:t xml:space="preserve"> (nuit)</w:t>
            </w:r>
          </w:p>
        </w:tc>
      </w:tr>
      <w:tr w:rsidR="00AF2126" w:rsidRPr="00D05C85" w14:paraId="0503CB30" w14:textId="77777777" w:rsidTr="00CF1C7C">
        <w:trPr>
          <w:trHeight w:val="142"/>
        </w:trPr>
        <w:tc>
          <w:tcPr>
            <w:tcW w:w="1413" w:type="dxa"/>
            <w:shd w:val="clear" w:color="auto" w:fill="auto"/>
            <w:tcMar>
              <w:top w:w="0" w:type="dxa"/>
              <w:left w:w="5" w:type="dxa"/>
              <w:bottom w:w="0" w:type="dxa"/>
              <w:right w:w="5" w:type="dxa"/>
            </w:tcMar>
            <w:vAlign w:val="center"/>
          </w:tcPr>
          <w:p w14:paraId="33893A6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w:t>
            </w:r>
          </w:p>
        </w:tc>
        <w:tc>
          <w:tcPr>
            <w:tcW w:w="1276" w:type="dxa"/>
            <w:shd w:val="clear" w:color="auto" w:fill="auto"/>
            <w:tcMar>
              <w:top w:w="0" w:type="dxa"/>
              <w:left w:w="5" w:type="dxa"/>
              <w:bottom w:w="0" w:type="dxa"/>
              <w:right w:w="5" w:type="dxa"/>
            </w:tcMar>
            <w:vAlign w:val="bottom"/>
          </w:tcPr>
          <w:p w14:paraId="329262D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6∙10</w:t>
            </w:r>
            <w:r w:rsidRPr="00D05C85">
              <w:rPr>
                <w:sz w:val="18"/>
                <w:szCs w:val="18"/>
                <w:vertAlign w:val="superscript"/>
                <w:lang w:val="fr-FR"/>
              </w:rPr>
              <w:t>-1</w:t>
            </w:r>
          </w:p>
        </w:tc>
        <w:tc>
          <w:tcPr>
            <w:tcW w:w="1134" w:type="dxa"/>
            <w:shd w:val="clear" w:color="auto" w:fill="auto"/>
            <w:tcMar>
              <w:top w:w="0" w:type="dxa"/>
              <w:left w:w="5" w:type="dxa"/>
              <w:bottom w:w="0" w:type="dxa"/>
              <w:right w:w="5" w:type="dxa"/>
            </w:tcMar>
            <w:vAlign w:val="bottom"/>
          </w:tcPr>
          <w:p w14:paraId="34E61796"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2,80∙10</w:t>
            </w:r>
            <w:r w:rsidRPr="00D05C85">
              <w:rPr>
                <w:sz w:val="18"/>
                <w:szCs w:val="18"/>
                <w:vertAlign w:val="superscript"/>
                <w:lang w:val="fr-FR"/>
              </w:rPr>
              <w:t>2</w:t>
            </w:r>
          </w:p>
        </w:tc>
        <w:tc>
          <w:tcPr>
            <w:tcW w:w="1275" w:type="dxa"/>
            <w:shd w:val="clear" w:color="auto" w:fill="auto"/>
            <w:tcMar>
              <w:top w:w="0" w:type="dxa"/>
              <w:left w:w="5" w:type="dxa"/>
              <w:bottom w:w="0" w:type="dxa"/>
              <w:right w:w="5" w:type="dxa"/>
            </w:tcMar>
            <w:vAlign w:val="bottom"/>
          </w:tcPr>
          <w:p w14:paraId="7A23B4A6"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1,40∙10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46D6385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A2-2</w:t>
            </w:r>
          </w:p>
        </w:tc>
        <w:tc>
          <w:tcPr>
            <w:tcW w:w="1134" w:type="dxa"/>
            <w:shd w:val="clear" w:color="auto" w:fill="auto"/>
            <w:tcMar>
              <w:top w:w="0" w:type="dxa"/>
              <w:left w:w="5" w:type="dxa"/>
              <w:bottom w:w="0" w:type="dxa"/>
              <w:right w:w="5" w:type="dxa"/>
            </w:tcMar>
          </w:tcPr>
          <w:p w14:paraId="233D55ED"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A2-2</w:t>
            </w:r>
          </w:p>
        </w:tc>
        <w:tc>
          <w:tcPr>
            <w:tcW w:w="997" w:type="dxa"/>
            <w:shd w:val="clear" w:color="auto" w:fill="auto"/>
            <w:tcMar>
              <w:top w:w="0" w:type="dxa"/>
              <w:left w:w="5" w:type="dxa"/>
              <w:bottom w:w="0" w:type="dxa"/>
              <w:right w:w="5" w:type="dxa"/>
            </w:tcMar>
            <w:vAlign w:val="center"/>
          </w:tcPr>
          <w:p w14:paraId="03162E8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6∙10</w:t>
            </w:r>
            <w:r w:rsidRPr="00D05C85">
              <w:rPr>
                <w:sz w:val="18"/>
                <w:szCs w:val="18"/>
                <w:vertAlign w:val="superscript"/>
                <w:lang w:val="fr-FR"/>
              </w:rPr>
              <w:t>-1</w:t>
            </w:r>
          </w:p>
        </w:tc>
      </w:tr>
      <w:tr w:rsidR="00AF2126" w:rsidRPr="00D05C85" w14:paraId="70C7A7DE" w14:textId="77777777" w:rsidTr="00CF1C7C">
        <w:trPr>
          <w:trHeight w:val="142"/>
        </w:trPr>
        <w:tc>
          <w:tcPr>
            <w:tcW w:w="1413" w:type="dxa"/>
            <w:shd w:val="clear" w:color="auto" w:fill="auto"/>
            <w:tcMar>
              <w:top w:w="0" w:type="dxa"/>
              <w:left w:w="5" w:type="dxa"/>
              <w:bottom w:w="0" w:type="dxa"/>
              <w:right w:w="5" w:type="dxa"/>
            </w:tcMar>
            <w:vAlign w:val="center"/>
          </w:tcPr>
          <w:p w14:paraId="7D969141"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w:t>
            </w:r>
          </w:p>
        </w:tc>
        <w:tc>
          <w:tcPr>
            <w:tcW w:w="1276" w:type="dxa"/>
            <w:shd w:val="clear" w:color="auto" w:fill="auto"/>
            <w:tcMar>
              <w:top w:w="0" w:type="dxa"/>
              <w:left w:w="5" w:type="dxa"/>
              <w:bottom w:w="0" w:type="dxa"/>
              <w:right w:w="5" w:type="dxa"/>
            </w:tcMar>
            <w:vAlign w:val="bottom"/>
          </w:tcPr>
          <w:p w14:paraId="144F70E1"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5,0∙10</w:t>
            </w:r>
            <w:r w:rsidRPr="00D05C85">
              <w:rPr>
                <w:sz w:val="18"/>
                <w:szCs w:val="18"/>
                <w:vertAlign w:val="superscript"/>
                <w:lang w:val="fr-FR"/>
              </w:rPr>
              <w:t>1</w:t>
            </w:r>
          </w:p>
        </w:tc>
        <w:tc>
          <w:tcPr>
            <w:tcW w:w="1134" w:type="dxa"/>
            <w:shd w:val="clear" w:color="auto" w:fill="auto"/>
            <w:tcMar>
              <w:top w:w="0" w:type="dxa"/>
              <w:left w:w="5" w:type="dxa"/>
              <w:bottom w:w="0" w:type="dxa"/>
              <w:right w:w="5" w:type="dxa"/>
            </w:tcMar>
            <w:vAlign w:val="bottom"/>
          </w:tcPr>
          <w:p w14:paraId="46AA1F4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2,80∙10</w:t>
            </w:r>
            <w:r w:rsidRPr="00D05C85">
              <w:rPr>
                <w:sz w:val="18"/>
                <w:szCs w:val="18"/>
                <w:vertAlign w:val="superscript"/>
                <w:lang w:val="fr-FR"/>
              </w:rPr>
              <w:t>2</w:t>
            </w:r>
          </w:p>
        </w:tc>
        <w:tc>
          <w:tcPr>
            <w:tcW w:w="1275" w:type="dxa"/>
            <w:shd w:val="clear" w:color="auto" w:fill="auto"/>
            <w:tcMar>
              <w:top w:w="0" w:type="dxa"/>
              <w:left w:w="5" w:type="dxa"/>
              <w:bottom w:w="0" w:type="dxa"/>
              <w:right w:w="5" w:type="dxa"/>
            </w:tcMar>
            <w:vAlign w:val="bottom"/>
          </w:tcPr>
          <w:p w14:paraId="077E17AC"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1,40∙10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0B5EDC2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A3-IV</w:t>
            </w:r>
          </w:p>
        </w:tc>
        <w:tc>
          <w:tcPr>
            <w:tcW w:w="1134" w:type="dxa"/>
            <w:shd w:val="clear" w:color="auto" w:fill="auto"/>
            <w:tcMar>
              <w:top w:w="0" w:type="dxa"/>
              <w:left w:w="5" w:type="dxa"/>
              <w:bottom w:w="0" w:type="dxa"/>
              <w:right w:w="5" w:type="dxa"/>
            </w:tcMar>
          </w:tcPr>
          <w:p w14:paraId="5130A69F" w14:textId="77777777" w:rsidR="00AF2126" w:rsidRPr="00D05C85" w:rsidRDefault="00AF2126" w:rsidP="00E70082">
            <w:pPr>
              <w:spacing w:before="40" w:after="40" w:line="220" w:lineRule="exact"/>
              <w:ind w:left="57" w:right="57"/>
              <w:jc w:val="center"/>
              <w:rPr>
                <w:sz w:val="18"/>
                <w:szCs w:val="18"/>
                <w:lang w:val="fr-FR"/>
              </w:rPr>
            </w:pPr>
            <w:proofErr w:type="spellStart"/>
            <w:r w:rsidRPr="00D05C85">
              <w:rPr>
                <w:sz w:val="18"/>
                <w:szCs w:val="18"/>
                <w:lang w:val="fr-FR"/>
              </w:rPr>
              <w:t>s.o</w:t>
            </w:r>
            <w:proofErr w:type="spellEnd"/>
            <w:r w:rsidRPr="00D05C85">
              <w:rPr>
                <w:sz w:val="18"/>
                <w:szCs w:val="18"/>
                <w:lang w:val="fr-FR"/>
              </w:rPr>
              <w:t>.</w:t>
            </w:r>
          </w:p>
        </w:tc>
        <w:tc>
          <w:tcPr>
            <w:tcW w:w="997" w:type="dxa"/>
            <w:shd w:val="clear" w:color="auto" w:fill="auto"/>
            <w:tcMar>
              <w:top w:w="0" w:type="dxa"/>
              <w:left w:w="5" w:type="dxa"/>
              <w:bottom w:w="0" w:type="dxa"/>
              <w:right w:w="5" w:type="dxa"/>
            </w:tcMar>
            <w:vAlign w:val="center"/>
          </w:tcPr>
          <w:p w14:paraId="52751586" w14:textId="77777777" w:rsidR="00AF2126" w:rsidRPr="00D05C85" w:rsidRDefault="00AF2126" w:rsidP="00E70082">
            <w:pPr>
              <w:spacing w:before="40" w:after="40" w:line="220" w:lineRule="exact"/>
              <w:ind w:left="57" w:right="57"/>
              <w:jc w:val="center"/>
              <w:rPr>
                <w:sz w:val="18"/>
                <w:szCs w:val="18"/>
                <w:lang w:val="fr-FR"/>
              </w:rPr>
            </w:pPr>
            <w:proofErr w:type="spellStart"/>
            <w:r w:rsidRPr="00D05C85">
              <w:rPr>
                <w:sz w:val="18"/>
                <w:szCs w:val="18"/>
                <w:lang w:val="fr-FR"/>
              </w:rPr>
              <w:t>s.o</w:t>
            </w:r>
            <w:proofErr w:type="spellEnd"/>
            <w:r w:rsidRPr="00D05C85">
              <w:rPr>
                <w:sz w:val="18"/>
                <w:szCs w:val="18"/>
                <w:lang w:val="fr-FR"/>
              </w:rPr>
              <w:t>.</w:t>
            </w:r>
          </w:p>
        </w:tc>
      </w:tr>
      <w:tr w:rsidR="00AF2126" w:rsidRPr="00D05C85" w14:paraId="279EF7AB" w14:textId="77777777" w:rsidTr="00CF1C7C">
        <w:trPr>
          <w:trHeight w:val="142"/>
        </w:trPr>
        <w:tc>
          <w:tcPr>
            <w:tcW w:w="1413" w:type="dxa"/>
            <w:shd w:val="clear" w:color="auto" w:fill="auto"/>
            <w:tcMar>
              <w:top w:w="0" w:type="dxa"/>
              <w:left w:w="5" w:type="dxa"/>
              <w:bottom w:w="0" w:type="dxa"/>
              <w:right w:w="5" w:type="dxa"/>
            </w:tcMar>
            <w:vAlign w:val="center"/>
          </w:tcPr>
          <w:p w14:paraId="367FE8F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11</w:t>
            </w:r>
          </w:p>
        </w:tc>
        <w:tc>
          <w:tcPr>
            <w:tcW w:w="1276" w:type="dxa"/>
            <w:shd w:val="clear" w:color="auto" w:fill="auto"/>
            <w:tcMar>
              <w:top w:w="0" w:type="dxa"/>
              <w:left w:w="5" w:type="dxa"/>
              <w:bottom w:w="0" w:type="dxa"/>
              <w:right w:w="5" w:type="dxa"/>
            </w:tcMar>
            <w:vAlign w:val="center"/>
          </w:tcPr>
          <w:p w14:paraId="6418DBD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9,0∙10</w:t>
            </w:r>
            <w:r w:rsidRPr="00D05C85">
              <w:rPr>
                <w:sz w:val="18"/>
                <w:szCs w:val="18"/>
                <w:vertAlign w:val="superscript"/>
                <w:lang w:val="fr-FR"/>
              </w:rPr>
              <w:t>1</w:t>
            </w:r>
          </w:p>
        </w:tc>
        <w:tc>
          <w:tcPr>
            <w:tcW w:w="1134" w:type="dxa"/>
            <w:shd w:val="clear" w:color="auto" w:fill="auto"/>
            <w:tcMar>
              <w:top w:w="0" w:type="dxa"/>
              <w:left w:w="5" w:type="dxa"/>
              <w:bottom w:w="0" w:type="dxa"/>
              <w:right w:w="5" w:type="dxa"/>
            </w:tcMar>
            <w:vAlign w:val="center"/>
          </w:tcPr>
          <w:p w14:paraId="28B6A2F8"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1,20∙10</w:t>
            </w:r>
            <w:r w:rsidRPr="00D05C85">
              <w:rPr>
                <w:sz w:val="18"/>
                <w:szCs w:val="18"/>
                <w:vertAlign w:val="superscript"/>
                <w:lang w:val="fr-FR"/>
              </w:rPr>
              <w:t>3</w:t>
            </w:r>
          </w:p>
        </w:tc>
        <w:tc>
          <w:tcPr>
            <w:tcW w:w="1275" w:type="dxa"/>
            <w:shd w:val="clear" w:color="auto" w:fill="auto"/>
            <w:tcMar>
              <w:top w:w="0" w:type="dxa"/>
              <w:left w:w="5" w:type="dxa"/>
              <w:bottom w:w="0" w:type="dxa"/>
              <w:right w:w="5" w:type="dxa"/>
            </w:tcMar>
            <w:vAlign w:val="center"/>
          </w:tcPr>
          <w:p w14:paraId="0196D219"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1206BFE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27FDE5C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5265D4B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r w:rsidR="00AF2126" w:rsidRPr="00D05C85" w14:paraId="196A1184" w14:textId="77777777" w:rsidTr="00CF1C7C">
        <w:trPr>
          <w:trHeight w:val="142"/>
        </w:trPr>
        <w:tc>
          <w:tcPr>
            <w:tcW w:w="1413" w:type="dxa"/>
            <w:shd w:val="clear" w:color="auto" w:fill="auto"/>
            <w:tcMar>
              <w:top w:w="0" w:type="dxa"/>
              <w:left w:w="5" w:type="dxa"/>
              <w:bottom w:w="0" w:type="dxa"/>
              <w:right w:w="5" w:type="dxa"/>
            </w:tcMar>
            <w:vAlign w:val="center"/>
          </w:tcPr>
          <w:p w14:paraId="1890224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11a</w:t>
            </w:r>
          </w:p>
        </w:tc>
        <w:tc>
          <w:tcPr>
            <w:tcW w:w="1276" w:type="dxa"/>
            <w:shd w:val="clear" w:color="auto" w:fill="auto"/>
            <w:tcMar>
              <w:top w:w="0" w:type="dxa"/>
              <w:left w:w="5" w:type="dxa"/>
              <w:bottom w:w="0" w:type="dxa"/>
              <w:right w:w="5" w:type="dxa"/>
            </w:tcMar>
            <w:vAlign w:val="center"/>
          </w:tcPr>
          <w:p w14:paraId="6C80D33D"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1,75∙10</w:t>
            </w:r>
            <w:r w:rsidRPr="00D05C85">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2534C140"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1,20∙10</w:t>
            </w:r>
            <w:r w:rsidRPr="00D05C85">
              <w:rPr>
                <w:sz w:val="18"/>
                <w:szCs w:val="18"/>
                <w:vertAlign w:val="superscript"/>
                <w:lang w:val="fr-FR"/>
              </w:rPr>
              <w:t>2</w:t>
            </w:r>
          </w:p>
        </w:tc>
        <w:tc>
          <w:tcPr>
            <w:tcW w:w="1275" w:type="dxa"/>
            <w:shd w:val="clear" w:color="auto" w:fill="auto"/>
            <w:tcMar>
              <w:top w:w="0" w:type="dxa"/>
              <w:left w:w="5" w:type="dxa"/>
              <w:bottom w:w="0" w:type="dxa"/>
              <w:right w:w="5" w:type="dxa"/>
            </w:tcMar>
            <w:vAlign w:val="center"/>
          </w:tcPr>
          <w:p w14:paraId="73E671EA"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6AAD0AA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0B7E9132"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1194ED8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r w:rsidR="00AF2126" w:rsidRPr="00D05C85" w14:paraId="17E85D5D" w14:textId="77777777" w:rsidTr="00CF1C7C">
        <w:trPr>
          <w:trHeight w:val="142"/>
        </w:trPr>
        <w:tc>
          <w:tcPr>
            <w:tcW w:w="1413" w:type="dxa"/>
            <w:shd w:val="clear" w:color="auto" w:fill="auto"/>
            <w:tcMar>
              <w:top w:w="0" w:type="dxa"/>
              <w:left w:w="5" w:type="dxa"/>
              <w:bottom w:w="0" w:type="dxa"/>
              <w:right w:w="5" w:type="dxa"/>
            </w:tcMar>
            <w:vAlign w:val="center"/>
          </w:tcPr>
          <w:p w14:paraId="152EBFE2"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11b</w:t>
            </w:r>
          </w:p>
        </w:tc>
        <w:tc>
          <w:tcPr>
            <w:tcW w:w="1276" w:type="dxa"/>
            <w:shd w:val="clear" w:color="auto" w:fill="auto"/>
            <w:tcMar>
              <w:top w:w="0" w:type="dxa"/>
              <w:left w:w="5" w:type="dxa"/>
              <w:bottom w:w="0" w:type="dxa"/>
              <w:right w:w="5" w:type="dxa"/>
            </w:tcMar>
            <w:vAlign w:val="center"/>
          </w:tcPr>
          <w:p w14:paraId="3D840D2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2,50∙10</w:t>
            </w:r>
            <w:r w:rsidRPr="00D05C85">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0DF97906"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1,20∙10</w:t>
            </w:r>
            <w:r w:rsidRPr="00D05C85">
              <w:rPr>
                <w:sz w:val="18"/>
                <w:szCs w:val="18"/>
                <w:vertAlign w:val="superscript"/>
                <w:lang w:val="fr-FR"/>
              </w:rPr>
              <w:t>2</w:t>
            </w:r>
          </w:p>
        </w:tc>
        <w:tc>
          <w:tcPr>
            <w:tcW w:w="1275" w:type="dxa"/>
            <w:shd w:val="clear" w:color="auto" w:fill="auto"/>
            <w:tcMar>
              <w:top w:w="0" w:type="dxa"/>
              <w:left w:w="5" w:type="dxa"/>
              <w:bottom w:w="0" w:type="dxa"/>
              <w:right w:w="5" w:type="dxa"/>
            </w:tcMar>
            <w:vAlign w:val="center"/>
          </w:tcPr>
          <w:p w14:paraId="36A4853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609764F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2B0A788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4BBFCB5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r w:rsidR="00AF2126" w:rsidRPr="00D05C85" w14:paraId="497A5C78" w14:textId="77777777" w:rsidTr="00CF1C7C">
        <w:trPr>
          <w:trHeight w:val="142"/>
        </w:trPr>
        <w:tc>
          <w:tcPr>
            <w:tcW w:w="1413" w:type="dxa"/>
            <w:shd w:val="clear" w:color="auto" w:fill="auto"/>
            <w:tcMar>
              <w:top w:w="0" w:type="dxa"/>
              <w:left w:w="5" w:type="dxa"/>
              <w:bottom w:w="0" w:type="dxa"/>
              <w:right w:w="5" w:type="dxa"/>
            </w:tcMar>
            <w:vAlign w:val="center"/>
          </w:tcPr>
          <w:p w14:paraId="4852785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11c</w:t>
            </w:r>
          </w:p>
        </w:tc>
        <w:tc>
          <w:tcPr>
            <w:tcW w:w="1276" w:type="dxa"/>
            <w:shd w:val="clear" w:color="auto" w:fill="auto"/>
            <w:tcMar>
              <w:top w:w="0" w:type="dxa"/>
              <w:left w:w="5" w:type="dxa"/>
              <w:bottom w:w="0" w:type="dxa"/>
              <w:right w:w="5" w:type="dxa"/>
            </w:tcMar>
            <w:vAlign w:val="center"/>
          </w:tcPr>
          <w:p w14:paraId="1EDEE331"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4,00∙10</w:t>
            </w:r>
            <w:r w:rsidRPr="00D05C85">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67BE9CE0"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1,20∙10</w:t>
            </w:r>
            <w:r w:rsidRPr="00D05C85">
              <w:rPr>
                <w:sz w:val="18"/>
                <w:szCs w:val="18"/>
                <w:vertAlign w:val="superscript"/>
                <w:lang w:val="fr-FR"/>
              </w:rPr>
              <w:t>2</w:t>
            </w:r>
          </w:p>
        </w:tc>
        <w:tc>
          <w:tcPr>
            <w:tcW w:w="1275" w:type="dxa"/>
            <w:shd w:val="clear" w:color="auto" w:fill="auto"/>
            <w:tcMar>
              <w:top w:w="0" w:type="dxa"/>
              <w:left w:w="5" w:type="dxa"/>
              <w:bottom w:w="0" w:type="dxa"/>
              <w:right w:w="5" w:type="dxa"/>
            </w:tcMar>
            <w:vAlign w:val="center"/>
          </w:tcPr>
          <w:p w14:paraId="1695218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6,00∙10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723518CD"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7A0576F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3EB1E3B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r w:rsidR="00AF2126" w:rsidRPr="00D05C85" w14:paraId="0602E27E" w14:textId="77777777" w:rsidTr="00CF1C7C">
        <w:trPr>
          <w:trHeight w:val="142"/>
        </w:trPr>
        <w:tc>
          <w:tcPr>
            <w:tcW w:w="1413" w:type="dxa"/>
            <w:shd w:val="clear" w:color="auto" w:fill="auto"/>
            <w:tcMar>
              <w:top w:w="0" w:type="dxa"/>
              <w:left w:w="5" w:type="dxa"/>
              <w:bottom w:w="0" w:type="dxa"/>
              <w:right w:w="5" w:type="dxa"/>
            </w:tcMar>
            <w:vAlign w:val="center"/>
          </w:tcPr>
          <w:p w14:paraId="763A31C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12</w:t>
            </w:r>
          </w:p>
        </w:tc>
        <w:tc>
          <w:tcPr>
            <w:tcW w:w="1276" w:type="dxa"/>
            <w:shd w:val="clear" w:color="auto" w:fill="auto"/>
            <w:tcMar>
              <w:top w:w="0" w:type="dxa"/>
              <w:left w:w="5" w:type="dxa"/>
              <w:bottom w:w="0" w:type="dxa"/>
              <w:right w:w="5" w:type="dxa"/>
            </w:tcMar>
            <w:vAlign w:val="center"/>
          </w:tcPr>
          <w:p w14:paraId="31944C0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5,0∙10</w:t>
            </w:r>
            <w:r w:rsidRPr="00D05C85">
              <w:rPr>
                <w:sz w:val="18"/>
                <w:szCs w:val="18"/>
                <w:vertAlign w:val="superscript"/>
                <w:lang w:val="fr-FR"/>
              </w:rPr>
              <w:t>1</w:t>
            </w:r>
          </w:p>
        </w:tc>
        <w:tc>
          <w:tcPr>
            <w:tcW w:w="1134" w:type="dxa"/>
            <w:shd w:val="clear" w:color="auto" w:fill="auto"/>
            <w:tcMar>
              <w:top w:w="0" w:type="dxa"/>
              <w:left w:w="5" w:type="dxa"/>
              <w:bottom w:w="0" w:type="dxa"/>
              <w:right w:w="5" w:type="dxa"/>
            </w:tcMar>
            <w:vAlign w:val="center"/>
          </w:tcPr>
          <w:p w14:paraId="21356CF4"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5,00∙10</w:t>
            </w:r>
            <w:r w:rsidRPr="00D05C85">
              <w:rPr>
                <w:sz w:val="18"/>
                <w:szCs w:val="18"/>
                <w:vertAlign w:val="superscript"/>
                <w:lang w:val="fr-FR"/>
              </w:rPr>
              <w:t>2</w:t>
            </w:r>
          </w:p>
        </w:tc>
        <w:tc>
          <w:tcPr>
            <w:tcW w:w="1275" w:type="dxa"/>
            <w:shd w:val="clear" w:color="auto" w:fill="auto"/>
            <w:tcMar>
              <w:top w:w="0" w:type="dxa"/>
              <w:left w:w="5" w:type="dxa"/>
              <w:bottom w:w="0" w:type="dxa"/>
              <w:right w:w="5" w:type="dxa"/>
            </w:tcMar>
            <w:vAlign w:val="center"/>
          </w:tcPr>
          <w:p w14:paraId="19A1A04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2,50∙10</w:t>
            </w:r>
            <w:r w:rsidRPr="00D05C85">
              <w:rPr>
                <w:sz w:val="18"/>
                <w:szCs w:val="18"/>
                <w:vertAlign w:val="superscript"/>
                <w:lang w:val="fr-FR"/>
              </w:rPr>
              <w:t>2</w:t>
            </w:r>
          </w:p>
        </w:tc>
        <w:tc>
          <w:tcPr>
            <w:tcW w:w="1276" w:type="dxa"/>
            <w:shd w:val="clear" w:color="auto" w:fill="auto"/>
            <w:tcMar>
              <w:top w:w="0" w:type="dxa"/>
              <w:left w:w="5" w:type="dxa"/>
              <w:bottom w:w="0" w:type="dxa"/>
              <w:right w:w="5" w:type="dxa"/>
            </w:tcMar>
          </w:tcPr>
          <w:p w14:paraId="688DF916"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Figure A3-I</w:t>
            </w:r>
          </w:p>
        </w:tc>
        <w:tc>
          <w:tcPr>
            <w:tcW w:w="1134" w:type="dxa"/>
            <w:shd w:val="clear" w:color="auto" w:fill="auto"/>
            <w:tcMar>
              <w:top w:w="0" w:type="dxa"/>
              <w:left w:w="5" w:type="dxa"/>
              <w:bottom w:w="0" w:type="dxa"/>
              <w:right w:w="5" w:type="dxa"/>
            </w:tcMar>
          </w:tcPr>
          <w:p w14:paraId="2999BD86"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Tableau A2-1</w:t>
            </w:r>
          </w:p>
        </w:tc>
        <w:tc>
          <w:tcPr>
            <w:tcW w:w="997" w:type="dxa"/>
            <w:shd w:val="clear" w:color="auto" w:fill="auto"/>
            <w:tcMar>
              <w:top w:w="0" w:type="dxa"/>
              <w:left w:w="5" w:type="dxa"/>
              <w:bottom w:w="0" w:type="dxa"/>
              <w:right w:w="5" w:type="dxa"/>
            </w:tcMar>
            <w:vAlign w:val="center"/>
          </w:tcPr>
          <w:p w14:paraId="0A08932D"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3∙10</w:t>
            </w:r>
            <w:r w:rsidRPr="00D05C85">
              <w:rPr>
                <w:sz w:val="18"/>
                <w:szCs w:val="18"/>
                <w:vertAlign w:val="superscript"/>
                <w:lang w:val="fr-FR"/>
              </w:rPr>
              <w:t>-1</w:t>
            </w:r>
          </w:p>
        </w:tc>
      </w:tr>
    </w:tbl>
    <w:p w14:paraId="37B7B7A4" w14:textId="77777777" w:rsidR="00AF2126" w:rsidRPr="00D05C85" w:rsidRDefault="00AF2126" w:rsidP="00AF2126">
      <w:pPr>
        <w:pStyle w:val="SingleTxtG"/>
        <w:keepNext/>
        <w:spacing w:before="240"/>
        <w:ind w:left="2268" w:hanging="1134"/>
        <w:rPr>
          <w:lang w:val="fr-FR"/>
        </w:rPr>
      </w:pPr>
      <w:r w:rsidRPr="00D05C85">
        <w:rPr>
          <w:lang w:val="fr-FR"/>
        </w:rPr>
        <w:lastRenderedPageBreak/>
        <w:t>5.6.2</w:t>
      </w:r>
      <w:r w:rsidRPr="00D05C85">
        <w:rPr>
          <w:lang w:val="fr-FR"/>
        </w:rPr>
        <w:tab/>
        <w:t>Intensité lumineuse minimale sous les angles de visibilité géométrique :</w:t>
      </w:r>
    </w:p>
    <w:p w14:paraId="1E0CED71" w14:textId="77777777" w:rsidR="00AF2126" w:rsidRPr="00D05C85" w:rsidRDefault="00AF2126" w:rsidP="00AF2126">
      <w:pPr>
        <w:pStyle w:val="SingleTxtG"/>
        <w:ind w:left="2268"/>
        <w:rPr>
          <w:lang w:val="fr-FR"/>
        </w:rPr>
      </w:pPr>
      <w:r w:rsidRPr="00D05C85">
        <w:rPr>
          <w:lang w:val="fr-FR"/>
        </w:rPr>
        <w:tab/>
        <w:t>Voir le tableau 8.</w:t>
      </w:r>
    </w:p>
    <w:p w14:paraId="70FDB9E0" w14:textId="77777777" w:rsidR="00AF2126" w:rsidRPr="00D05C85" w:rsidRDefault="00AF2126" w:rsidP="00AF2126">
      <w:pPr>
        <w:pStyle w:val="SingleTxtG"/>
        <w:ind w:left="2268" w:hanging="1134"/>
        <w:rPr>
          <w:lang w:val="fr-FR"/>
        </w:rPr>
      </w:pPr>
      <w:r w:rsidRPr="00D05C85">
        <w:rPr>
          <w:lang w:val="fr-FR"/>
        </w:rPr>
        <w:t>5.6.3</w:t>
      </w:r>
      <w:r w:rsidRPr="00D05C85">
        <w:rPr>
          <w:lang w:val="fr-FR"/>
        </w:rPr>
        <w:tab/>
        <w:t>Superficie minimale ou maximale de la surface apparente :</w:t>
      </w:r>
    </w:p>
    <w:p w14:paraId="50D0BE8F" w14:textId="77777777" w:rsidR="00AF2126" w:rsidRPr="00D05C85" w:rsidRDefault="00AF2126" w:rsidP="00AF2126">
      <w:pPr>
        <w:pStyle w:val="SingleTxtG"/>
        <w:ind w:left="2268"/>
        <w:rPr>
          <w:lang w:val="fr-FR"/>
        </w:rPr>
      </w:pPr>
      <w:r w:rsidRPr="00D05C85">
        <w:rPr>
          <w:lang w:val="fr-FR"/>
        </w:rPr>
        <w:tab/>
        <w:t>Pas de prescriptions.</w:t>
      </w:r>
    </w:p>
    <w:p w14:paraId="732B5B46" w14:textId="77777777" w:rsidR="00AF2126" w:rsidRPr="00D05C85" w:rsidRDefault="00AF2126" w:rsidP="00AF2126">
      <w:pPr>
        <w:pStyle w:val="SingleTxtG"/>
        <w:ind w:left="2268" w:hanging="1134"/>
        <w:rPr>
          <w:lang w:val="fr-FR"/>
        </w:rPr>
      </w:pPr>
      <w:r w:rsidRPr="00D05C85">
        <w:rPr>
          <w:lang w:val="fr-FR"/>
        </w:rPr>
        <w:t>5.6.4</w:t>
      </w:r>
      <w:r w:rsidRPr="00D05C85">
        <w:rPr>
          <w:lang w:val="fr-FR"/>
        </w:rPr>
        <w:tab/>
        <w:t>Mesure :</w:t>
      </w:r>
    </w:p>
    <w:p w14:paraId="615978C6" w14:textId="77777777" w:rsidR="00AF2126" w:rsidRPr="00D05C85" w:rsidRDefault="00AF2126" w:rsidP="00AF2126">
      <w:pPr>
        <w:pStyle w:val="SingleTxtG"/>
        <w:ind w:left="2268"/>
        <w:rPr>
          <w:lang w:val="fr-FR"/>
        </w:rPr>
      </w:pPr>
      <w:r w:rsidRPr="00D05C85">
        <w:rPr>
          <w:lang w:val="fr-FR"/>
        </w:rPr>
        <w:tab/>
        <w:t>De façon générale, les intensités sont mesurées avec la source lumineuse allumée en permanence.</w:t>
      </w:r>
    </w:p>
    <w:p w14:paraId="407B36F2" w14:textId="77777777" w:rsidR="00AF2126" w:rsidRPr="00D05C85" w:rsidRDefault="00AF2126" w:rsidP="00AF2126">
      <w:pPr>
        <w:pStyle w:val="SingleTxtG"/>
        <w:ind w:left="2268"/>
        <w:rPr>
          <w:lang w:val="fr-FR"/>
        </w:rPr>
      </w:pPr>
      <w:r w:rsidRPr="00D05C85">
        <w:rPr>
          <w:lang w:val="fr-FR"/>
        </w:rPr>
        <w:tab/>
        <w:t>Cependant, suivant la façon dont le feu est construit, par exemple lorsqu’il est équipé de diodes électroluminescentes (DEL) ou si des précautions doivent être prises pour éviter un échauffement excessif, l’intensité peut être mesurée lorsque les feux fonctionnent en mode clignotant.</w:t>
      </w:r>
    </w:p>
    <w:p w14:paraId="51F7B4C9" w14:textId="436B9EBD" w:rsidR="00AF2126" w:rsidRPr="00D05C85" w:rsidRDefault="00AF2126" w:rsidP="00AF2126">
      <w:pPr>
        <w:pStyle w:val="SingleTxtG"/>
        <w:ind w:left="2835" w:hanging="567"/>
        <w:rPr>
          <w:lang w:val="fr-FR"/>
        </w:rPr>
      </w:pPr>
      <w:r w:rsidRPr="00D05C85">
        <w:rPr>
          <w:lang w:val="fr-FR"/>
        </w:rPr>
        <w:t>a)</w:t>
      </w:r>
      <w:r w:rsidRPr="00D05C85">
        <w:rPr>
          <w:lang w:val="fr-FR"/>
        </w:rPr>
        <w:tab/>
        <w:t xml:space="preserve">Pour ce faire, le dispositif doit être réglé sur une fréquence de f = 1,5 ± 0,5 Hz, avec une période supérieure à 0,3 s, mesurée à 95 % de l’intensité lumineuse maximale. Dans tous les autres cas, la tension prescrite au paragraphe 4.8 doit monter </w:t>
      </w:r>
      <w:r w:rsidR="00910B33">
        <w:rPr>
          <w:lang w:val="fr-FR"/>
        </w:rPr>
        <w:t xml:space="preserve">et </w:t>
      </w:r>
      <w:r w:rsidRPr="00D05C85">
        <w:rPr>
          <w:lang w:val="fr-FR"/>
        </w:rPr>
        <w:t>descendre en moins de 0,01 s ; aucun dépassement n’est autorisé ;</w:t>
      </w:r>
    </w:p>
    <w:p w14:paraId="26DF58D0" w14:textId="77777777" w:rsidR="00AF2126" w:rsidRPr="00D05C85" w:rsidRDefault="00AF2126" w:rsidP="00AF2126">
      <w:pPr>
        <w:pStyle w:val="SingleTxtG"/>
        <w:ind w:left="2835" w:hanging="567"/>
        <w:rPr>
          <w:lang w:val="fr-FR"/>
        </w:rPr>
      </w:pPr>
      <w:r w:rsidRPr="00D05C85">
        <w:rPr>
          <w:lang w:val="fr-FR"/>
        </w:rPr>
        <w:t>b)</w:t>
      </w:r>
      <w:r w:rsidRPr="00D05C85">
        <w:rPr>
          <w:lang w:val="fr-FR"/>
        </w:rPr>
        <w:tab/>
        <w:t>Si les mesures sont faites en mode clignotant, l’intensité lumineuse relevée correspond à l’intensité maximale.</w:t>
      </w:r>
    </w:p>
    <w:p w14:paraId="615EFC93" w14:textId="77777777" w:rsidR="00AF2126" w:rsidRPr="00D05C85" w:rsidRDefault="00AF2126" w:rsidP="00AF2126">
      <w:pPr>
        <w:pStyle w:val="SingleTxtG"/>
        <w:ind w:left="2268" w:hanging="1134"/>
        <w:rPr>
          <w:lang w:val="fr-FR"/>
        </w:rPr>
      </w:pPr>
      <w:r w:rsidRPr="00D05C85">
        <w:rPr>
          <w:lang w:val="fr-FR"/>
        </w:rPr>
        <w:t>5.6.5</w:t>
      </w:r>
      <w:r w:rsidRPr="00D05C85">
        <w:rPr>
          <w:lang w:val="fr-FR"/>
        </w:rPr>
        <w:tab/>
        <w:t>Prescriptions supplémentaires :</w:t>
      </w:r>
    </w:p>
    <w:p w14:paraId="140C8B84" w14:textId="77777777" w:rsidR="00AF2126" w:rsidRPr="00D05C85" w:rsidRDefault="00AF2126" w:rsidP="00AF2126">
      <w:pPr>
        <w:pStyle w:val="SingleTxtG"/>
        <w:ind w:left="2268"/>
        <w:rPr>
          <w:lang w:val="fr-FR"/>
        </w:rPr>
      </w:pPr>
      <w:r w:rsidRPr="00D05C85">
        <w:rPr>
          <w:lang w:val="fr-FR"/>
        </w:rPr>
        <w:t>Le clignotement des feux indicateurs de direction des catégories 1, 1a, 1b, 2a, 2b, 11, 11a, 11b, 11c ou 12 peut être produit par activation séquentielle de leurs sources lumineuses si les conditions suivantes sont remplies :</w:t>
      </w:r>
    </w:p>
    <w:p w14:paraId="405100F3" w14:textId="77777777" w:rsidR="00AF2126" w:rsidRPr="00D05C85" w:rsidRDefault="00AF2126" w:rsidP="00AF2126">
      <w:pPr>
        <w:pStyle w:val="SingleTxtG"/>
        <w:ind w:left="2835" w:hanging="567"/>
        <w:rPr>
          <w:lang w:val="fr-FR"/>
        </w:rPr>
      </w:pPr>
      <w:r w:rsidRPr="00D05C85">
        <w:rPr>
          <w:lang w:val="fr-FR"/>
        </w:rPr>
        <w:t>a)</w:t>
      </w:r>
      <w:r w:rsidRPr="00D05C85">
        <w:rPr>
          <w:lang w:val="fr-FR"/>
        </w:rPr>
        <w:tab/>
        <w:t>Chaque source lumineuse, après activation, doit rester allumée jusqu’à la fin du cycle “marche” ;</w:t>
      </w:r>
    </w:p>
    <w:p w14:paraId="7E9E3461" w14:textId="77777777" w:rsidR="00AF2126" w:rsidRPr="00D05C85" w:rsidRDefault="00AF2126" w:rsidP="00AF2126">
      <w:pPr>
        <w:pStyle w:val="SingleTxtG"/>
        <w:ind w:left="2835" w:hanging="567"/>
        <w:rPr>
          <w:lang w:val="fr-FR"/>
        </w:rPr>
      </w:pPr>
      <w:r w:rsidRPr="00D05C85">
        <w:rPr>
          <w:lang w:val="fr-FR"/>
        </w:rPr>
        <w:t>b)</w:t>
      </w:r>
      <w:r w:rsidRPr="00D05C85">
        <w:rPr>
          <w:lang w:val="fr-FR"/>
        </w:rPr>
        <w:tab/>
        <w:t>La séquence d’activation des sources lumineuses doit produire un signal progressif allant du bord intérieur vers le bord extérieur de la surface de sortie de la lumière ;</w:t>
      </w:r>
    </w:p>
    <w:p w14:paraId="164C5FBB" w14:textId="5997179F" w:rsidR="00AF2126" w:rsidRPr="00D05C85" w:rsidRDefault="00AF2126" w:rsidP="00AF2126">
      <w:pPr>
        <w:pStyle w:val="SingleTxtG"/>
        <w:ind w:left="2835" w:hanging="567"/>
        <w:rPr>
          <w:lang w:val="fr-FR"/>
        </w:rPr>
      </w:pPr>
      <w:r w:rsidRPr="00D05C85">
        <w:rPr>
          <w:lang w:val="fr-FR"/>
        </w:rPr>
        <w:t>c)</w:t>
      </w:r>
      <w:r w:rsidRPr="00D05C85">
        <w:rPr>
          <w:lang w:val="fr-FR"/>
        </w:rPr>
        <w:tab/>
        <w:t xml:space="preserve">Le signal produit doit être continu </w:t>
      </w:r>
      <w:r w:rsidR="00910B33">
        <w:rPr>
          <w:lang w:val="fr-FR"/>
        </w:rPr>
        <w:t xml:space="preserve">et </w:t>
      </w:r>
      <w:r w:rsidRPr="00D05C85">
        <w:rPr>
          <w:lang w:val="fr-FR"/>
        </w:rPr>
        <w:t>sans oscillations verticales (c’est</w:t>
      </w:r>
      <w:r w:rsidRPr="00D05C85">
        <w:rPr>
          <w:lang w:val="fr-FR"/>
        </w:rPr>
        <w:noBreakHyphen/>
        <w:t>à-dire pas plus d’un changement de direction le long de l’axe vertical). La distance entre deux parties adjacentes ou tangentes mais distinctes de la surface de sortie de la lumière de l’indicateur de direction séquentiel ne doit pas dépasser 50 mm lorsqu’elle est mesurée perpendiculairement à l’axe de référence, au lieu des valeurs définies au paragraphe 5.7.2 du Règlement ONU n</w:t>
      </w:r>
      <w:r w:rsidRPr="00D05C85">
        <w:rPr>
          <w:vertAlign w:val="superscript"/>
          <w:lang w:val="fr-FR"/>
        </w:rPr>
        <w:t>o</w:t>
      </w:r>
      <w:r w:rsidRPr="00D05C85">
        <w:rPr>
          <w:lang w:val="fr-FR"/>
        </w:rPr>
        <w:t xml:space="preserve"> 48, au paragraphe 5.7.2 du Règlement ONU n</w:t>
      </w:r>
      <w:r w:rsidRPr="00D05C85">
        <w:rPr>
          <w:vertAlign w:val="superscript"/>
          <w:lang w:val="fr-FR"/>
        </w:rPr>
        <w:t>o</w:t>
      </w:r>
      <w:r w:rsidRPr="00D05C85">
        <w:rPr>
          <w:lang w:val="fr-FR"/>
        </w:rPr>
        <w:t xml:space="preserve"> 86 ou au paragraphe 5.6.2 du Règlement ONU n</w:t>
      </w:r>
      <w:r w:rsidRPr="00D05C85">
        <w:rPr>
          <w:vertAlign w:val="superscript"/>
          <w:lang w:val="fr-FR"/>
        </w:rPr>
        <w:t>o</w:t>
      </w:r>
      <w:r w:rsidRPr="00D05C85">
        <w:rPr>
          <w:lang w:val="fr-FR"/>
        </w:rPr>
        <w:t> 53. Ces interruptions du signal ne doivent pas créer de chevauchement dans l’axe vertical entre les différentes parties, de l’intérieur vers l’extérieur du véhicule, ni être utilisées pour toute autre fonction d’éclairage ou de signalisation ;</w:t>
      </w:r>
    </w:p>
    <w:p w14:paraId="0B015165" w14:textId="77777777" w:rsidR="00AF2126" w:rsidRPr="00D05C85" w:rsidRDefault="00AF2126" w:rsidP="00AF2126">
      <w:pPr>
        <w:pStyle w:val="SingleTxtG"/>
        <w:ind w:left="2835" w:hanging="567"/>
        <w:rPr>
          <w:lang w:val="fr-FR"/>
        </w:rPr>
      </w:pPr>
      <w:r w:rsidRPr="00D05C85">
        <w:rPr>
          <w:lang w:val="fr-FR"/>
        </w:rPr>
        <w:t>d)</w:t>
      </w:r>
      <w:r w:rsidRPr="00D05C85">
        <w:rPr>
          <w:lang w:val="fr-FR"/>
        </w:rPr>
        <w:tab/>
        <w:t>La variation doit prendre fin au plus tard 200 ms après le début du cycle “marche” ;</w:t>
      </w:r>
    </w:p>
    <w:p w14:paraId="4C9C359B" w14:textId="307F6750" w:rsidR="00AF2126" w:rsidRPr="00D05C85" w:rsidRDefault="00AF2126" w:rsidP="00AF2126">
      <w:pPr>
        <w:pStyle w:val="SingleTxtG"/>
        <w:ind w:left="2835" w:hanging="567"/>
        <w:rPr>
          <w:lang w:val="fr-FR"/>
        </w:rPr>
      </w:pPr>
      <w:r w:rsidRPr="00D05C85">
        <w:rPr>
          <w:lang w:val="fr-FR"/>
        </w:rPr>
        <w:t>e)</w:t>
      </w:r>
      <w:r w:rsidRPr="00D05C85">
        <w:rPr>
          <w:lang w:val="fr-FR"/>
        </w:rPr>
        <w:tab/>
        <w:t xml:space="preserve">La projection orthogonale de la surface de sortie de la lumière du feu indicateur de direction dans la direction de l’axe de référence doit être circonscrite à un rectangle inscrit dans un plan perpendiculaire à l’axe de référence </w:t>
      </w:r>
      <w:r w:rsidR="00910B33">
        <w:rPr>
          <w:lang w:val="fr-FR"/>
        </w:rPr>
        <w:t xml:space="preserve">et </w:t>
      </w:r>
      <w:r w:rsidRPr="00D05C85">
        <w:rPr>
          <w:lang w:val="fr-FR"/>
        </w:rPr>
        <w:t xml:space="preserve">dont les côtés les plus longs sont parallèles au plan H, le rapport entre le côté horizontal </w:t>
      </w:r>
      <w:r w:rsidR="00910B33">
        <w:rPr>
          <w:lang w:val="fr-FR"/>
        </w:rPr>
        <w:t xml:space="preserve">et </w:t>
      </w:r>
      <w:r w:rsidRPr="00D05C85">
        <w:rPr>
          <w:lang w:val="fr-FR"/>
        </w:rPr>
        <w:t>le côté vertical ne devant pas être inférieur à 1,7.</w:t>
      </w:r>
    </w:p>
    <w:p w14:paraId="1FC151B4" w14:textId="77777777" w:rsidR="00AF2126" w:rsidRPr="00D05C85" w:rsidRDefault="00AF2126" w:rsidP="00AF2126">
      <w:pPr>
        <w:pStyle w:val="SingleTxtG"/>
        <w:ind w:left="2268"/>
        <w:rPr>
          <w:lang w:val="fr-FR"/>
        </w:rPr>
      </w:pPr>
      <w:r w:rsidRPr="00D05C85">
        <w:rPr>
          <w:lang w:val="fr-FR"/>
        </w:rPr>
        <w:tab/>
        <w:t>Il faut vérifier si les conditions susmentionnées sont remplies en mode clignotant.</w:t>
      </w:r>
    </w:p>
    <w:p w14:paraId="56682A6D" w14:textId="77777777" w:rsidR="00AF2126" w:rsidRPr="00D05C85" w:rsidRDefault="00AF2126" w:rsidP="00AF2126">
      <w:pPr>
        <w:pStyle w:val="SingleTxtG"/>
        <w:keepNext/>
        <w:ind w:left="2268" w:hanging="1134"/>
        <w:rPr>
          <w:lang w:val="fr-FR"/>
        </w:rPr>
      </w:pPr>
      <w:r w:rsidRPr="00D05C85">
        <w:rPr>
          <w:lang w:val="fr-FR"/>
        </w:rPr>
        <w:lastRenderedPageBreak/>
        <w:t>5.6.6</w:t>
      </w:r>
      <w:r w:rsidRPr="00D05C85">
        <w:rPr>
          <w:lang w:val="fr-FR"/>
        </w:rPr>
        <w:tab/>
        <w:t>Dispositions applicables en cas de défaillance :</w:t>
      </w:r>
    </w:p>
    <w:p w14:paraId="75306EBD" w14:textId="77777777" w:rsidR="00AF2126" w:rsidRPr="00D05C85" w:rsidRDefault="00AF2126" w:rsidP="00AF2126">
      <w:pPr>
        <w:pStyle w:val="SingleTxtG"/>
        <w:ind w:left="2268"/>
        <w:rPr>
          <w:lang w:val="fr-FR"/>
        </w:rPr>
      </w:pPr>
      <w:r w:rsidRPr="00D05C85">
        <w:rPr>
          <w:lang w:val="fr-FR"/>
        </w:rPr>
        <w:tab/>
        <w:t>Voir le paragraphe 4.6.</w:t>
      </w:r>
    </w:p>
    <w:p w14:paraId="5E152C03" w14:textId="77777777" w:rsidR="00AF2126" w:rsidRPr="00D05C85" w:rsidRDefault="00AF2126" w:rsidP="00AF2126">
      <w:pPr>
        <w:pStyle w:val="SingleTxtG"/>
        <w:ind w:left="2268" w:hanging="1134"/>
        <w:rPr>
          <w:lang w:val="fr-FR"/>
        </w:rPr>
      </w:pPr>
      <w:r w:rsidRPr="00D05C85">
        <w:rPr>
          <w:lang w:val="fr-FR"/>
        </w:rPr>
        <w:t>5.6.7</w:t>
      </w:r>
      <w:r w:rsidRPr="00D05C85">
        <w:rPr>
          <w:lang w:val="fr-FR"/>
        </w:rPr>
        <w:tab/>
        <w:t>Couleur :</w:t>
      </w:r>
    </w:p>
    <w:p w14:paraId="6D4669E5" w14:textId="77777777" w:rsidR="00AF2126" w:rsidRPr="00D05C85" w:rsidRDefault="00AF2126" w:rsidP="00AF2126">
      <w:pPr>
        <w:pStyle w:val="SingleTxtG"/>
        <w:ind w:left="2268"/>
        <w:rPr>
          <w:lang w:val="fr-FR"/>
        </w:rPr>
      </w:pPr>
      <w:r w:rsidRPr="00D05C85">
        <w:rPr>
          <w:lang w:val="fr-FR"/>
        </w:rPr>
        <w:tab/>
        <w:t>La couleur de la lumière émise doit être jaune-auto.</w:t>
      </w:r>
    </w:p>
    <w:p w14:paraId="41596B3B" w14:textId="1AF2DBCC" w:rsidR="00AF2126" w:rsidRPr="00D05C85" w:rsidRDefault="00AF2126" w:rsidP="00AF2126">
      <w:pPr>
        <w:pStyle w:val="SingleTxtG"/>
        <w:ind w:left="2268" w:hanging="1134"/>
        <w:rPr>
          <w:lang w:val="fr-FR"/>
        </w:rPr>
      </w:pPr>
      <w:r w:rsidRPr="00D05C85">
        <w:rPr>
          <w:lang w:val="fr-FR"/>
        </w:rPr>
        <w:t>5.7</w:t>
      </w:r>
      <w:r w:rsidRPr="00D05C85">
        <w:rPr>
          <w:lang w:val="fr-FR"/>
        </w:rPr>
        <w:tab/>
        <w:t xml:space="preserve">Feux de position latéraux (SM1 </w:t>
      </w:r>
      <w:r w:rsidR="00910B33">
        <w:rPr>
          <w:lang w:val="fr-FR"/>
        </w:rPr>
        <w:t xml:space="preserve">et </w:t>
      </w:r>
      <w:r w:rsidRPr="00D05C85">
        <w:rPr>
          <w:lang w:val="fr-FR"/>
        </w:rPr>
        <w:t>SM2)</w:t>
      </w:r>
    </w:p>
    <w:p w14:paraId="1E7385C9" w14:textId="4098A31A" w:rsidR="00AF2126" w:rsidRPr="00D05C85" w:rsidRDefault="00AF2126" w:rsidP="00AF2126">
      <w:pPr>
        <w:pStyle w:val="SingleTxtG"/>
        <w:ind w:left="2268" w:hanging="1134"/>
        <w:rPr>
          <w:lang w:val="fr-FR"/>
        </w:rPr>
      </w:pPr>
      <w:r w:rsidRPr="00D05C85">
        <w:rPr>
          <w:lang w:val="fr-FR"/>
        </w:rPr>
        <w:t>5.7.1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50E03135" w14:textId="77777777" w:rsidR="00AF2126" w:rsidRPr="00D05C85" w:rsidRDefault="00AF2126" w:rsidP="00AF2126">
      <w:pPr>
        <w:pStyle w:val="SingleTxtG"/>
        <w:ind w:left="2268"/>
        <w:rPr>
          <w:lang w:val="fr-FR"/>
        </w:rPr>
      </w:pPr>
      <w:r w:rsidRPr="00D05C85">
        <w:rPr>
          <w:lang w:val="fr-FR"/>
        </w:rPr>
        <w:tab/>
        <w:t>La lumière émise par chacun des deux échantillons fournis doit satisfaire aux prescriptions du tableau 9.</w:t>
      </w:r>
    </w:p>
    <w:p w14:paraId="43CC9924" w14:textId="7BC5A1B2" w:rsidR="00AF2126" w:rsidRPr="00D05C85" w:rsidRDefault="00AF2126" w:rsidP="00AF2126">
      <w:pPr>
        <w:pStyle w:val="SingleTxtG"/>
        <w:ind w:left="2268"/>
        <w:rPr>
          <w:rStyle w:val="Carpredefinitoparagrafo1"/>
          <w:bCs/>
          <w:lang w:val="fr-FR"/>
        </w:rPr>
      </w:pPr>
      <w:r w:rsidRPr="00D05C85">
        <w:rPr>
          <w:lang w:val="fr-FR"/>
        </w:rPr>
        <w:tab/>
      </w:r>
      <w:r w:rsidRPr="00D05C85">
        <w:rPr>
          <w:lang w:val="fr-FR"/>
        </w:rPr>
        <w:tab/>
        <w:t xml:space="preserve">En outre, pour le feu de position latéral à lumière rouge, dans le champ angulaire compris entre 60° </w:t>
      </w:r>
      <w:r w:rsidR="00910B33">
        <w:rPr>
          <w:lang w:val="fr-FR"/>
        </w:rPr>
        <w:t xml:space="preserve">et </w:t>
      </w:r>
      <w:r w:rsidRPr="00D05C85">
        <w:rPr>
          <w:lang w:val="fr-FR"/>
        </w:rPr>
        <w:t xml:space="preserve">90° dans la direction horizontale </w:t>
      </w:r>
      <w:r w:rsidR="00910B33">
        <w:rPr>
          <w:lang w:val="fr-FR"/>
        </w:rPr>
        <w:t xml:space="preserve">et </w:t>
      </w:r>
      <w:r w:rsidRPr="00D05C85">
        <w:rPr>
          <w:lang w:val="fr-FR"/>
        </w:rPr>
        <w:t>±20° dans la direction verticale, l’intensité maximale vers l’avant du véhicule est limitée à 2,5∙10</w:t>
      </w:r>
      <w:r w:rsidRPr="00D05C85">
        <w:rPr>
          <w:vertAlign w:val="superscript"/>
          <w:lang w:val="fr-FR"/>
        </w:rPr>
        <w:t>-1</w:t>
      </w:r>
      <w:r w:rsidRPr="00D05C85">
        <w:rPr>
          <w:lang w:val="fr-FR"/>
        </w:rPr>
        <w:t xml:space="preserve"> cd.</w:t>
      </w:r>
    </w:p>
    <w:p w14:paraId="1B1BE095" w14:textId="77777777" w:rsidR="00AF2126" w:rsidRPr="00D05C85" w:rsidRDefault="00AF2126" w:rsidP="00AF2126">
      <w:pPr>
        <w:pStyle w:val="Titre1"/>
        <w:tabs>
          <w:tab w:val="left" w:pos="1701"/>
          <w:tab w:val="left" w:pos="2268"/>
          <w:tab w:val="left" w:pos="2835"/>
        </w:tabs>
        <w:spacing w:after="120"/>
        <w:rPr>
          <w:rStyle w:val="Carpredefinitoparagrafo1"/>
          <w:bCs/>
          <w:lang w:val="fr-FR"/>
        </w:rPr>
      </w:pPr>
      <w:r w:rsidRPr="00D05C85">
        <w:rPr>
          <w:lang w:val="fr-FR"/>
        </w:rPr>
        <w:t>Tableau 9</w:t>
      </w:r>
      <w:r w:rsidRPr="00D05C85">
        <w:rPr>
          <w:lang w:val="fr-FR"/>
        </w:rPr>
        <w:br/>
      </w:r>
      <w:r w:rsidRPr="00D05C85">
        <w:rPr>
          <w:b/>
          <w:bCs/>
          <w:lang w:val="fr-FR"/>
        </w:rPr>
        <w:t>Intensité lumineuse des feux de position latéraux</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276"/>
        <w:gridCol w:w="1134"/>
        <w:gridCol w:w="1275"/>
        <w:gridCol w:w="1276"/>
        <w:gridCol w:w="1134"/>
        <w:gridCol w:w="997"/>
      </w:tblGrid>
      <w:tr w:rsidR="00AF2126" w:rsidRPr="00D05C85" w14:paraId="4F773CB0" w14:textId="77777777" w:rsidTr="00BF64F4">
        <w:trPr>
          <w:trHeight w:val="600"/>
        </w:trPr>
        <w:tc>
          <w:tcPr>
            <w:tcW w:w="1413" w:type="dxa"/>
            <w:vMerge w:val="restart"/>
            <w:shd w:val="clear" w:color="auto" w:fill="auto"/>
            <w:tcMar>
              <w:top w:w="0" w:type="dxa"/>
              <w:left w:w="108" w:type="dxa"/>
              <w:bottom w:w="0" w:type="dxa"/>
              <w:right w:w="108" w:type="dxa"/>
            </w:tcMar>
            <w:vAlign w:val="bottom"/>
          </w:tcPr>
          <w:p w14:paraId="17837A31" w14:textId="793AFD4A" w:rsidR="00AF2126" w:rsidRPr="00D05C85" w:rsidRDefault="00AF2126" w:rsidP="00E70082">
            <w:pPr>
              <w:spacing w:before="80" w:after="80" w:line="200" w:lineRule="exact"/>
              <w:ind w:right="57"/>
              <w:jc w:val="center"/>
              <w:rPr>
                <w:b/>
                <w:bCs/>
                <w:i/>
                <w:iCs/>
                <w:sz w:val="16"/>
                <w:szCs w:val="16"/>
                <w:lang w:val="fr-FR"/>
              </w:rPr>
            </w:pPr>
            <w:r w:rsidRPr="00D05C85">
              <w:rPr>
                <w:b/>
                <w:bCs/>
                <w:i/>
                <w:iCs/>
                <w:sz w:val="16"/>
                <w:szCs w:val="16"/>
                <w:lang w:val="fr-FR"/>
              </w:rPr>
              <w:t xml:space="preserve">Feux de position latéraux </w:t>
            </w:r>
            <w:r w:rsidR="00BF64F4" w:rsidRPr="00D05C85">
              <w:rPr>
                <w:b/>
                <w:bCs/>
                <w:i/>
                <w:iCs/>
                <w:sz w:val="16"/>
                <w:szCs w:val="16"/>
                <w:lang w:val="fr-FR"/>
              </w:rPr>
              <w:br/>
            </w:r>
            <w:r w:rsidRPr="00D05C85">
              <w:rPr>
                <w:b/>
                <w:bCs/>
                <w:i/>
                <w:iCs/>
                <w:sz w:val="16"/>
                <w:szCs w:val="16"/>
                <w:lang w:val="fr-FR"/>
              </w:rPr>
              <w:t>de la catégorie</w:t>
            </w:r>
          </w:p>
        </w:tc>
        <w:tc>
          <w:tcPr>
            <w:tcW w:w="1276" w:type="dxa"/>
            <w:vMerge w:val="restart"/>
            <w:shd w:val="clear" w:color="auto" w:fill="auto"/>
            <w:tcMar>
              <w:top w:w="0" w:type="dxa"/>
              <w:left w:w="108" w:type="dxa"/>
              <w:bottom w:w="0" w:type="dxa"/>
              <w:right w:w="108" w:type="dxa"/>
            </w:tcMar>
            <w:vAlign w:val="bottom"/>
          </w:tcPr>
          <w:p w14:paraId="29F356E9" w14:textId="41231074" w:rsidR="00AF2126" w:rsidRPr="00D05C85" w:rsidRDefault="00AF2126" w:rsidP="00BF64F4">
            <w:pPr>
              <w:spacing w:before="80" w:after="80" w:line="200" w:lineRule="exact"/>
              <w:jc w:val="center"/>
              <w:rPr>
                <w:b/>
                <w:bCs/>
                <w:i/>
                <w:iCs/>
                <w:sz w:val="16"/>
                <w:szCs w:val="16"/>
                <w:lang w:val="fr-FR"/>
              </w:rPr>
            </w:pPr>
            <w:r w:rsidRPr="00D05C85">
              <w:rPr>
                <w:b/>
                <w:bCs/>
                <w:i/>
                <w:iCs/>
                <w:sz w:val="16"/>
                <w:szCs w:val="16"/>
                <w:lang w:val="fr-FR"/>
              </w:rPr>
              <w:t xml:space="preserve">Intensité lumineuse minimale </w:t>
            </w:r>
            <w:r w:rsidR="00BF64F4" w:rsidRPr="00D05C85">
              <w:rPr>
                <w:b/>
                <w:bCs/>
                <w:i/>
                <w:iCs/>
                <w:sz w:val="16"/>
                <w:szCs w:val="16"/>
                <w:lang w:val="fr-FR"/>
              </w:rPr>
              <w:br/>
            </w:r>
            <w:r w:rsidRPr="00D05C85">
              <w:rPr>
                <w:b/>
                <w:bCs/>
                <w:i/>
                <w:iCs/>
                <w:sz w:val="16"/>
                <w:szCs w:val="16"/>
                <w:lang w:val="fr-FR"/>
              </w:rPr>
              <w:t>en cd dans l’axe de référence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a))</w:t>
            </w:r>
          </w:p>
        </w:tc>
        <w:tc>
          <w:tcPr>
            <w:tcW w:w="1134" w:type="dxa"/>
            <w:vMerge w:val="restart"/>
            <w:vAlign w:val="bottom"/>
          </w:tcPr>
          <w:p w14:paraId="7759E974" w14:textId="31AF93F1" w:rsidR="00AF2126" w:rsidRPr="00D05C85" w:rsidRDefault="00AF2126" w:rsidP="00E70082">
            <w:pPr>
              <w:spacing w:before="80" w:after="80" w:line="200" w:lineRule="exact"/>
              <w:ind w:right="57"/>
              <w:jc w:val="center"/>
              <w:rPr>
                <w:rStyle w:val="Carpredefinitoparagrafo1"/>
                <w:b/>
                <w:bCs/>
                <w:i/>
                <w:iCs/>
                <w:sz w:val="16"/>
                <w:szCs w:val="16"/>
                <w:shd w:val="clear" w:color="auto" w:fill="FFFF00"/>
                <w:lang w:val="fr-FR"/>
              </w:rPr>
            </w:pPr>
            <w:r w:rsidRPr="00D05C85">
              <w:rPr>
                <w:b/>
                <w:bCs/>
                <w:i/>
                <w:iCs/>
                <w:sz w:val="16"/>
                <w:szCs w:val="16"/>
                <w:lang w:val="fr-FR"/>
              </w:rPr>
              <w:t xml:space="preserve">Intensité lumineuse minimale en cd </w:t>
            </w:r>
            <w:r w:rsidRPr="00D05C85">
              <w:rPr>
                <w:b/>
                <w:bCs/>
                <w:i/>
                <w:iCs/>
                <w:sz w:val="16"/>
                <w:szCs w:val="16"/>
                <w:lang w:val="fr-FR"/>
              </w:rPr>
              <w:br/>
              <w:t xml:space="preserve">dans le champ </w:t>
            </w:r>
            <w:r w:rsidRPr="00D05C85">
              <w:rPr>
                <w:b/>
                <w:bCs/>
                <w:i/>
                <w:iCs/>
                <w:sz w:val="16"/>
                <w:szCs w:val="16"/>
                <w:lang w:val="fr-FR"/>
              </w:rPr>
              <w:br/>
              <w:t xml:space="preserve">de répartition normalisée </w:t>
            </w:r>
            <w:r w:rsidRPr="00D05C85">
              <w:rPr>
                <w:b/>
                <w:bCs/>
                <w:i/>
                <w:iCs/>
                <w:sz w:val="16"/>
                <w:szCs w:val="16"/>
                <w:lang w:val="fr-FR"/>
              </w:rPr>
              <w:b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1275" w:type="dxa"/>
            <w:vMerge w:val="restart"/>
            <w:shd w:val="clear" w:color="auto" w:fill="auto"/>
            <w:tcMar>
              <w:top w:w="0" w:type="dxa"/>
              <w:left w:w="108" w:type="dxa"/>
              <w:bottom w:w="0" w:type="dxa"/>
              <w:right w:w="108" w:type="dxa"/>
            </w:tcMar>
            <w:vAlign w:val="bottom"/>
          </w:tcPr>
          <w:p w14:paraId="4F5E0BEA" w14:textId="4D662A60" w:rsidR="00AF2126" w:rsidRPr="00D05C85" w:rsidRDefault="00AF2126" w:rsidP="00BF64F4">
            <w:pPr>
              <w:spacing w:before="80" w:after="80" w:line="200" w:lineRule="exact"/>
              <w:jc w:val="center"/>
              <w:rPr>
                <w:b/>
                <w:bCs/>
                <w:i/>
                <w:iCs/>
                <w:sz w:val="16"/>
                <w:szCs w:val="16"/>
                <w:lang w:val="fr-FR"/>
              </w:rPr>
            </w:pPr>
            <w:r w:rsidRPr="00D05C85">
              <w:rPr>
                <w:b/>
                <w:bCs/>
                <w:i/>
                <w:iCs/>
                <w:sz w:val="16"/>
                <w:szCs w:val="16"/>
                <w:lang w:val="fr-FR"/>
              </w:rPr>
              <w:t xml:space="preserve">Intensité lumineuse maximale </w:t>
            </w:r>
            <w:r w:rsidR="00BF64F4" w:rsidRPr="00D05C85">
              <w:rPr>
                <w:b/>
                <w:bCs/>
                <w:i/>
                <w:iCs/>
                <w:sz w:val="16"/>
                <w:szCs w:val="16"/>
                <w:lang w:val="fr-FR"/>
              </w:rPr>
              <w:br/>
              <w:t>e</w:t>
            </w:r>
            <w:r w:rsidRPr="00D05C85">
              <w:rPr>
                <w:b/>
                <w:bCs/>
                <w:i/>
                <w:iCs/>
                <w:sz w:val="16"/>
                <w:szCs w:val="16"/>
                <w:lang w:val="fr-FR"/>
              </w:rPr>
              <w:t>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b))</w:t>
            </w:r>
          </w:p>
        </w:tc>
        <w:tc>
          <w:tcPr>
            <w:tcW w:w="1276" w:type="dxa"/>
            <w:vMerge w:val="restart"/>
            <w:shd w:val="clear" w:color="auto" w:fill="auto"/>
            <w:tcMar>
              <w:top w:w="0" w:type="dxa"/>
              <w:left w:w="108" w:type="dxa"/>
              <w:bottom w:w="0" w:type="dxa"/>
              <w:right w:w="108" w:type="dxa"/>
            </w:tcMar>
            <w:vAlign w:val="bottom"/>
          </w:tcPr>
          <w:p w14:paraId="65FBE4C0" w14:textId="5B0E785A" w:rsidR="00AF2126" w:rsidRPr="00D05C85" w:rsidRDefault="00AF2126" w:rsidP="00BF64F4">
            <w:pPr>
              <w:spacing w:before="80" w:after="80" w:line="200" w:lineRule="exact"/>
              <w:jc w:val="center"/>
              <w:rPr>
                <w:b/>
                <w:bCs/>
                <w:i/>
                <w:iCs/>
                <w:sz w:val="16"/>
                <w:szCs w:val="16"/>
                <w:lang w:val="fr-FR"/>
              </w:rPr>
            </w:pPr>
            <w:r w:rsidRPr="00D05C85">
              <w:rPr>
                <w:b/>
                <w:bCs/>
                <w:i/>
                <w:iCs/>
                <w:sz w:val="16"/>
                <w:szCs w:val="16"/>
                <w:lang w:val="fr-FR"/>
              </w:rPr>
              <w:t xml:space="preserve">Répartition normalisée </w:t>
            </w:r>
            <w:r w:rsidR="00BF64F4" w:rsidRPr="00D05C85">
              <w:rPr>
                <w:b/>
                <w:bCs/>
                <w:i/>
                <w:iCs/>
                <w:sz w:val="16"/>
                <w:szCs w:val="16"/>
                <w:lang w:val="fr-FR"/>
              </w:rPr>
              <w:br/>
            </w:r>
            <w:r w:rsidRPr="00D05C85">
              <w:rPr>
                <w:b/>
                <w:bCs/>
                <w:i/>
                <w:iCs/>
                <w:sz w:val="16"/>
                <w:szCs w:val="16"/>
                <w:lang w:val="fr-FR"/>
              </w:rP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2131" w:type="dxa"/>
            <w:gridSpan w:val="2"/>
            <w:shd w:val="clear" w:color="auto" w:fill="auto"/>
            <w:tcMar>
              <w:top w:w="0" w:type="dxa"/>
              <w:left w:w="108" w:type="dxa"/>
              <w:bottom w:w="0" w:type="dxa"/>
              <w:right w:w="108" w:type="dxa"/>
            </w:tcMar>
            <w:vAlign w:val="bottom"/>
          </w:tcPr>
          <w:p w14:paraId="0B83844D" w14:textId="52BB1344" w:rsidR="00AF2126" w:rsidRPr="00D05C85" w:rsidRDefault="00AF2126" w:rsidP="00E70082">
            <w:pPr>
              <w:spacing w:before="80" w:after="80" w:line="200" w:lineRule="exact"/>
              <w:ind w:right="57"/>
              <w:jc w:val="center"/>
              <w:rPr>
                <w:b/>
                <w:bCs/>
                <w:i/>
                <w:iCs/>
                <w:sz w:val="16"/>
                <w:szCs w:val="16"/>
                <w:lang w:val="fr-FR"/>
              </w:rPr>
            </w:pPr>
            <w:r w:rsidRPr="00D05C85">
              <w:rPr>
                <w:b/>
                <w:bCs/>
                <w:i/>
                <w:iCs/>
                <w:sz w:val="16"/>
                <w:szCs w:val="16"/>
                <w:lang w:val="fr-FR"/>
              </w:rPr>
              <w:t>Angles de visibilité géométrique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d))</w:t>
            </w:r>
          </w:p>
        </w:tc>
      </w:tr>
      <w:tr w:rsidR="00AF2126" w:rsidRPr="00D05C85" w14:paraId="6B653A29" w14:textId="77777777" w:rsidTr="00BF64F4">
        <w:tc>
          <w:tcPr>
            <w:tcW w:w="1413" w:type="dxa"/>
            <w:vMerge/>
            <w:shd w:val="clear" w:color="auto" w:fill="auto"/>
            <w:tcMar>
              <w:top w:w="0" w:type="dxa"/>
              <w:left w:w="108" w:type="dxa"/>
              <w:bottom w:w="0" w:type="dxa"/>
              <w:right w:w="108" w:type="dxa"/>
            </w:tcMar>
            <w:vAlign w:val="bottom"/>
          </w:tcPr>
          <w:p w14:paraId="2C60070D" w14:textId="77777777" w:rsidR="00AF2126" w:rsidRPr="00D05C85" w:rsidRDefault="00AF2126" w:rsidP="00E70082">
            <w:pPr>
              <w:spacing w:before="80" w:after="80" w:line="200" w:lineRule="exact"/>
              <w:ind w:right="57"/>
              <w:jc w:val="center"/>
              <w:rPr>
                <w:b/>
                <w:bCs/>
                <w:i/>
                <w:iCs/>
                <w:sz w:val="16"/>
                <w:szCs w:val="16"/>
                <w:lang w:val="fr-FR"/>
              </w:rPr>
            </w:pPr>
          </w:p>
        </w:tc>
        <w:tc>
          <w:tcPr>
            <w:tcW w:w="1276" w:type="dxa"/>
            <w:vMerge/>
            <w:shd w:val="clear" w:color="auto" w:fill="auto"/>
            <w:tcMar>
              <w:top w:w="0" w:type="dxa"/>
              <w:left w:w="108" w:type="dxa"/>
              <w:bottom w:w="0" w:type="dxa"/>
              <w:right w:w="108" w:type="dxa"/>
            </w:tcMar>
            <w:vAlign w:val="bottom"/>
          </w:tcPr>
          <w:p w14:paraId="7AFB52C3" w14:textId="77777777" w:rsidR="00AF2126" w:rsidRPr="00D05C85" w:rsidRDefault="00AF2126" w:rsidP="00E70082">
            <w:pPr>
              <w:spacing w:before="80" w:after="80" w:line="200" w:lineRule="exact"/>
              <w:ind w:right="57"/>
              <w:jc w:val="center"/>
              <w:rPr>
                <w:b/>
                <w:bCs/>
                <w:i/>
                <w:iCs/>
                <w:sz w:val="16"/>
                <w:szCs w:val="16"/>
                <w:lang w:val="fr-FR"/>
              </w:rPr>
            </w:pPr>
          </w:p>
        </w:tc>
        <w:tc>
          <w:tcPr>
            <w:tcW w:w="1134" w:type="dxa"/>
            <w:vMerge/>
            <w:vAlign w:val="bottom"/>
          </w:tcPr>
          <w:p w14:paraId="16A30944" w14:textId="77777777" w:rsidR="00AF2126" w:rsidRPr="00D05C85" w:rsidRDefault="00AF2126" w:rsidP="00E70082">
            <w:pPr>
              <w:spacing w:before="80" w:after="80" w:line="200" w:lineRule="exact"/>
              <w:ind w:right="57"/>
              <w:jc w:val="center"/>
              <w:rPr>
                <w:b/>
                <w:bCs/>
                <w:i/>
                <w:iCs/>
                <w:sz w:val="16"/>
                <w:szCs w:val="16"/>
                <w:lang w:val="fr-FR"/>
              </w:rPr>
            </w:pPr>
          </w:p>
        </w:tc>
        <w:tc>
          <w:tcPr>
            <w:tcW w:w="1275" w:type="dxa"/>
            <w:vMerge/>
            <w:shd w:val="clear" w:color="auto" w:fill="auto"/>
            <w:tcMar>
              <w:top w:w="0" w:type="dxa"/>
              <w:left w:w="108" w:type="dxa"/>
              <w:bottom w:w="0" w:type="dxa"/>
              <w:right w:w="108" w:type="dxa"/>
            </w:tcMar>
            <w:vAlign w:val="bottom"/>
          </w:tcPr>
          <w:p w14:paraId="07A72416" w14:textId="77777777" w:rsidR="00AF2126" w:rsidRPr="00D05C85" w:rsidRDefault="00AF2126" w:rsidP="00E70082">
            <w:pPr>
              <w:spacing w:before="80" w:after="80" w:line="200" w:lineRule="exact"/>
              <w:ind w:right="57"/>
              <w:jc w:val="center"/>
              <w:rPr>
                <w:b/>
                <w:bCs/>
                <w:i/>
                <w:iCs/>
                <w:color w:val="000000" w:themeColor="text1"/>
                <w:sz w:val="16"/>
                <w:szCs w:val="16"/>
                <w:lang w:val="fr-FR"/>
              </w:rPr>
            </w:pPr>
          </w:p>
        </w:tc>
        <w:tc>
          <w:tcPr>
            <w:tcW w:w="1276" w:type="dxa"/>
            <w:vMerge/>
            <w:shd w:val="clear" w:color="auto" w:fill="auto"/>
            <w:tcMar>
              <w:top w:w="0" w:type="dxa"/>
              <w:left w:w="108" w:type="dxa"/>
              <w:bottom w:w="0" w:type="dxa"/>
              <w:right w:w="108" w:type="dxa"/>
            </w:tcMar>
            <w:vAlign w:val="bottom"/>
          </w:tcPr>
          <w:p w14:paraId="3220242E" w14:textId="77777777" w:rsidR="00AF2126" w:rsidRPr="00D05C85" w:rsidRDefault="00AF2126" w:rsidP="00E70082">
            <w:pPr>
              <w:spacing w:before="80" w:after="80" w:line="200" w:lineRule="exact"/>
              <w:ind w:right="57"/>
              <w:jc w:val="center"/>
              <w:rPr>
                <w:b/>
                <w:bCs/>
                <w:i/>
                <w:iCs/>
                <w:sz w:val="16"/>
                <w:szCs w:val="16"/>
                <w:lang w:val="fr-FR"/>
              </w:rPr>
            </w:pPr>
          </w:p>
        </w:tc>
        <w:tc>
          <w:tcPr>
            <w:tcW w:w="1134" w:type="dxa"/>
            <w:shd w:val="clear" w:color="auto" w:fill="auto"/>
            <w:tcMar>
              <w:top w:w="0" w:type="dxa"/>
              <w:left w:w="108" w:type="dxa"/>
              <w:bottom w:w="0" w:type="dxa"/>
              <w:right w:w="108" w:type="dxa"/>
            </w:tcMar>
            <w:vAlign w:val="bottom"/>
          </w:tcPr>
          <w:p w14:paraId="1618B76E" w14:textId="77777777" w:rsidR="00AF2126" w:rsidRPr="00D05C85" w:rsidRDefault="00AF2126" w:rsidP="00E70082">
            <w:pPr>
              <w:spacing w:before="80" w:after="80" w:line="200" w:lineRule="exact"/>
              <w:ind w:right="57"/>
              <w:jc w:val="center"/>
              <w:rPr>
                <w:b/>
                <w:bCs/>
                <w:i/>
                <w:iCs/>
                <w:sz w:val="16"/>
                <w:szCs w:val="16"/>
                <w:lang w:val="fr-FR"/>
              </w:rPr>
            </w:pPr>
            <w:r w:rsidRPr="00D05C85">
              <w:rPr>
                <w:b/>
                <w:bCs/>
                <w:i/>
                <w:iCs/>
                <w:sz w:val="16"/>
                <w:szCs w:val="16"/>
                <w:lang w:val="fr-FR"/>
              </w:rPr>
              <w:t>Définition</w:t>
            </w:r>
          </w:p>
        </w:tc>
        <w:tc>
          <w:tcPr>
            <w:tcW w:w="997" w:type="dxa"/>
            <w:shd w:val="clear" w:color="auto" w:fill="auto"/>
            <w:tcMar>
              <w:top w:w="0" w:type="dxa"/>
              <w:left w:w="108" w:type="dxa"/>
              <w:bottom w:w="0" w:type="dxa"/>
              <w:right w:w="108" w:type="dxa"/>
            </w:tcMar>
            <w:vAlign w:val="bottom"/>
          </w:tcPr>
          <w:p w14:paraId="4D41ABB6" w14:textId="77777777" w:rsidR="00AF2126" w:rsidRPr="00D05C85" w:rsidRDefault="00AF2126" w:rsidP="00E70082">
            <w:pPr>
              <w:spacing w:before="80" w:after="80" w:line="200" w:lineRule="exact"/>
              <w:ind w:right="57"/>
              <w:jc w:val="center"/>
              <w:rPr>
                <w:b/>
                <w:bCs/>
                <w:i/>
                <w:iCs/>
                <w:sz w:val="16"/>
                <w:szCs w:val="16"/>
                <w:lang w:val="fr-FR"/>
              </w:rPr>
            </w:pPr>
            <w:r w:rsidRPr="00D05C85">
              <w:rPr>
                <w:b/>
                <w:bCs/>
                <w:i/>
                <w:iCs/>
                <w:sz w:val="16"/>
                <w:szCs w:val="16"/>
                <w:lang w:val="fr-FR"/>
              </w:rPr>
              <w:t>Intensité lumineuse minimale en cd</w:t>
            </w:r>
          </w:p>
        </w:tc>
      </w:tr>
      <w:tr w:rsidR="00AF2126" w:rsidRPr="00D05C85" w14:paraId="52F321C1" w14:textId="77777777" w:rsidTr="00BF64F4">
        <w:tc>
          <w:tcPr>
            <w:tcW w:w="1413" w:type="dxa"/>
            <w:shd w:val="clear" w:color="auto" w:fill="auto"/>
            <w:tcMar>
              <w:top w:w="0" w:type="dxa"/>
              <w:left w:w="108" w:type="dxa"/>
              <w:bottom w:w="0" w:type="dxa"/>
              <w:right w:w="108" w:type="dxa"/>
            </w:tcMar>
            <w:vAlign w:val="center"/>
          </w:tcPr>
          <w:p w14:paraId="257516F4"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SM1</w:t>
            </w:r>
          </w:p>
        </w:tc>
        <w:tc>
          <w:tcPr>
            <w:tcW w:w="1276" w:type="dxa"/>
            <w:shd w:val="clear" w:color="auto" w:fill="auto"/>
            <w:tcMar>
              <w:top w:w="0" w:type="dxa"/>
              <w:left w:w="108" w:type="dxa"/>
              <w:bottom w:w="0" w:type="dxa"/>
              <w:right w:w="108" w:type="dxa"/>
            </w:tcMar>
            <w:vAlign w:val="center"/>
          </w:tcPr>
          <w:p w14:paraId="17FE6363" w14:textId="77777777" w:rsidR="00AF2126" w:rsidRPr="00D05C85" w:rsidRDefault="00AF2126" w:rsidP="00E70082">
            <w:pPr>
              <w:spacing w:before="40" w:after="40" w:line="220" w:lineRule="exact"/>
              <w:jc w:val="center"/>
              <w:rPr>
                <w:bCs/>
                <w:sz w:val="18"/>
                <w:szCs w:val="18"/>
                <w:lang w:val="fr-FR"/>
              </w:rPr>
            </w:pPr>
            <w:r w:rsidRPr="00D05C85">
              <w:rPr>
                <w:sz w:val="18"/>
                <w:szCs w:val="18"/>
                <w:lang w:val="fr-FR"/>
              </w:rPr>
              <w:t>4,0∙10</w:t>
            </w:r>
            <w:r w:rsidRPr="00D05C85">
              <w:rPr>
                <w:sz w:val="18"/>
                <w:szCs w:val="18"/>
                <w:vertAlign w:val="superscript"/>
                <w:lang w:val="fr-FR"/>
              </w:rPr>
              <w:t>0</w:t>
            </w:r>
          </w:p>
        </w:tc>
        <w:tc>
          <w:tcPr>
            <w:tcW w:w="1134" w:type="dxa"/>
            <w:vAlign w:val="center"/>
          </w:tcPr>
          <w:p w14:paraId="15379127" w14:textId="77777777" w:rsidR="00AF2126" w:rsidRPr="00D05C85" w:rsidRDefault="00AF2126" w:rsidP="00E70082">
            <w:pPr>
              <w:spacing w:before="40" w:after="40" w:line="220" w:lineRule="exact"/>
              <w:jc w:val="center"/>
              <w:rPr>
                <w:bCs/>
                <w:sz w:val="18"/>
                <w:szCs w:val="18"/>
                <w:lang w:val="fr-FR"/>
              </w:rPr>
            </w:pPr>
            <w:r w:rsidRPr="00D05C85">
              <w:rPr>
                <w:sz w:val="18"/>
                <w:szCs w:val="18"/>
                <w:lang w:val="fr-FR"/>
              </w:rPr>
              <w:t>6∙10</w:t>
            </w:r>
            <w:r w:rsidRPr="00D05C85">
              <w:rPr>
                <w:sz w:val="18"/>
                <w:szCs w:val="18"/>
                <w:vertAlign w:val="superscript"/>
                <w:lang w:val="fr-FR"/>
              </w:rPr>
              <w:t>-1</w:t>
            </w:r>
          </w:p>
        </w:tc>
        <w:tc>
          <w:tcPr>
            <w:tcW w:w="1275" w:type="dxa"/>
            <w:shd w:val="clear" w:color="auto" w:fill="auto"/>
            <w:tcMar>
              <w:top w:w="0" w:type="dxa"/>
              <w:left w:w="108" w:type="dxa"/>
              <w:bottom w:w="0" w:type="dxa"/>
              <w:right w:w="108" w:type="dxa"/>
            </w:tcMar>
            <w:vAlign w:val="center"/>
          </w:tcPr>
          <w:p w14:paraId="0FC843E3" w14:textId="77777777" w:rsidR="00AF2126" w:rsidRPr="00D05C85" w:rsidRDefault="00AF2126" w:rsidP="00E70082">
            <w:pPr>
              <w:spacing w:before="40" w:after="40" w:line="220" w:lineRule="exact"/>
              <w:jc w:val="center"/>
              <w:rPr>
                <w:bCs/>
                <w:color w:val="000000" w:themeColor="text1"/>
                <w:sz w:val="18"/>
                <w:szCs w:val="18"/>
                <w:lang w:val="fr-FR"/>
              </w:rPr>
            </w:pPr>
            <w:r w:rsidRPr="00D05C85">
              <w:rPr>
                <w:sz w:val="18"/>
                <w:szCs w:val="18"/>
                <w:lang w:val="fr-FR"/>
              </w:rPr>
              <w:t>2,50∙10</w:t>
            </w:r>
            <w:r w:rsidRPr="00D05C85">
              <w:rPr>
                <w:sz w:val="18"/>
                <w:szCs w:val="18"/>
                <w:vertAlign w:val="superscript"/>
                <w:lang w:val="fr-FR"/>
              </w:rPr>
              <w:t>1</w:t>
            </w:r>
          </w:p>
        </w:tc>
        <w:tc>
          <w:tcPr>
            <w:tcW w:w="1276" w:type="dxa"/>
            <w:shd w:val="clear" w:color="auto" w:fill="auto"/>
            <w:tcMar>
              <w:top w:w="0" w:type="dxa"/>
              <w:left w:w="108" w:type="dxa"/>
              <w:bottom w:w="0" w:type="dxa"/>
              <w:right w:w="108" w:type="dxa"/>
            </w:tcMar>
            <w:vAlign w:val="center"/>
          </w:tcPr>
          <w:p w14:paraId="10E11038"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Figure A3-VII</w:t>
            </w:r>
          </w:p>
        </w:tc>
        <w:tc>
          <w:tcPr>
            <w:tcW w:w="1134" w:type="dxa"/>
            <w:shd w:val="clear" w:color="auto" w:fill="auto"/>
            <w:tcMar>
              <w:top w:w="0" w:type="dxa"/>
              <w:left w:w="0" w:type="dxa"/>
              <w:bottom w:w="0" w:type="dxa"/>
              <w:right w:w="0" w:type="dxa"/>
            </w:tcMar>
            <w:vAlign w:val="center"/>
          </w:tcPr>
          <w:p w14:paraId="2537E307"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Tableau A2-3</w:t>
            </w:r>
          </w:p>
        </w:tc>
        <w:tc>
          <w:tcPr>
            <w:tcW w:w="997" w:type="dxa"/>
            <w:shd w:val="clear" w:color="auto" w:fill="auto"/>
            <w:tcMar>
              <w:top w:w="0" w:type="dxa"/>
              <w:left w:w="108" w:type="dxa"/>
              <w:bottom w:w="0" w:type="dxa"/>
              <w:right w:w="108" w:type="dxa"/>
            </w:tcMar>
            <w:vAlign w:val="center"/>
          </w:tcPr>
          <w:p w14:paraId="6C0D3D3C" w14:textId="77777777" w:rsidR="00AF2126" w:rsidRPr="00D05C85" w:rsidRDefault="00AF2126" w:rsidP="00E70082">
            <w:pPr>
              <w:spacing w:before="40" w:after="40" w:line="220" w:lineRule="exact"/>
              <w:jc w:val="center"/>
              <w:rPr>
                <w:bCs/>
                <w:sz w:val="18"/>
                <w:szCs w:val="18"/>
                <w:lang w:val="fr-FR"/>
              </w:rPr>
            </w:pPr>
            <w:r w:rsidRPr="00D05C85">
              <w:rPr>
                <w:sz w:val="18"/>
                <w:szCs w:val="18"/>
                <w:lang w:val="fr-FR"/>
              </w:rPr>
              <w:t>6∙10</w:t>
            </w:r>
            <w:r w:rsidRPr="00D05C85">
              <w:rPr>
                <w:sz w:val="18"/>
                <w:szCs w:val="18"/>
                <w:vertAlign w:val="superscript"/>
                <w:lang w:val="fr-FR"/>
              </w:rPr>
              <w:t>-1</w:t>
            </w:r>
          </w:p>
        </w:tc>
      </w:tr>
      <w:tr w:rsidR="00AF2126" w:rsidRPr="00D05C85" w14:paraId="792AD9BC" w14:textId="77777777" w:rsidTr="00BF64F4">
        <w:tc>
          <w:tcPr>
            <w:tcW w:w="1413" w:type="dxa"/>
            <w:shd w:val="clear" w:color="auto" w:fill="auto"/>
            <w:tcMar>
              <w:top w:w="0" w:type="dxa"/>
              <w:left w:w="108" w:type="dxa"/>
              <w:bottom w:w="0" w:type="dxa"/>
              <w:right w:w="108" w:type="dxa"/>
            </w:tcMar>
            <w:vAlign w:val="center"/>
          </w:tcPr>
          <w:p w14:paraId="5462C5CC"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SM2</w:t>
            </w:r>
          </w:p>
        </w:tc>
        <w:tc>
          <w:tcPr>
            <w:tcW w:w="1276" w:type="dxa"/>
            <w:shd w:val="clear" w:color="auto" w:fill="auto"/>
            <w:tcMar>
              <w:top w:w="0" w:type="dxa"/>
              <w:left w:w="108" w:type="dxa"/>
              <w:bottom w:w="0" w:type="dxa"/>
              <w:right w:w="108" w:type="dxa"/>
            </w:tcMar>
            <w:vAlign w:val="center"/>
          </w:tcPr>
          <w:p w14:paraId="6C4B1765"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6∙10</w:t>
            </w:r>
            <w:r w:rsidRPr="00D05C85">
              <w:rPr>
                <w:sz w:val="18"/>
                <w:szCs w:val="18"/>
                <w:vertAlign w:val="superscript"/>
                <w:lang w:val="fr-FR"/>
              </w:rPr>
              <w:t>-1</w:t>
            </w:r>
          </w:p>
        </w:tc>
        <w:tc>
          <w:tcPr>
            <w:tcW w:w="1134" w:type="dxa"/>
            <w:vAlign w:val="center"/>
          </w:tcPr>
          <w:p w14:paraId="17CD7A4D"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6∙10</w:t>
            </w:r>
            <w:r w:rsidRPr="00D05C85">
              <w:rPr>
                <w:sz w:val="18"/>
                <w:szCs w:val="18"/>
                <w:vertAlign w:val="superscript"/>
                <w:lang w:val="fr-FR"/>
              </w:rPr>
              <w:t>-1</w:t>
            </w:r>
          </w:p>
        </w:tc>
        <w:tc>
          <w:tcPr>
            <w:tcW w:w="1275" w:type="dxa"/>
            <w:shd w:val="clear" w:color="auto" w:fill="auto"/>
            <w:tcMar>
              <w:top w:w="0" w:type="dxa"/>
              <w:left w:w="108" w:type="dxa"/>
              <w:bottom w:w="0" w:type="dxa"/>
              <w:right w:w="108" w:type="dxa"/>
            </w:tcMar>
            <w:vAlign w:val="center"/>
          </w:tcPr>
          <w:p w14:paraId="40D99225" w14:textId="77777777" w:rsidR="00AF2126" w:rsidRPr="00D05C85" w:rsidRDefault="00AF2126" w:rsidP="00E70082">
            <w:pPr>
              <w:spacing w:before="40" w:after="40" w:line="220" w:lineRule="exact"/>
              <w:jc w:val="center"/>
              <w:rPr>
                <w:color w:val="000000" w:themeColor="text1"/>
                <w:sz w:val="18"/>
                <w:szCs w:val="18"/>
                <w:lang w:val="fr-FR"/>
              </w:rPr>
            </w:pPr>
            <w:r w:rsidRPr="00D05C85">
              <w:rPr>
                <w:sz w:val="18"/>
                <w:szCs w:val="18"/>
                <w:lang w:val="fr-FR"/>
              </w:rPr>
              <w:t>2,50∙10</w:t>
            </w:r>
            <w:r w:rsidRPr="00D05C85">
              <w:rPr>
                <w:sz w:val="18"/>
                <w:szCs w:val="18"/>
                <w:vertAlign w:val="superscript"/>
                <w:lang w:val="fr-FR"/>
              </w:rPr>
              <w:t>1</w:t>
            </w:r>
          </w:p>
        </w:tc>
        <w:tc>
          <w:tcPr>
            <w:tcW w:w="1276" w:type="dxa"/>
            <w:shd w:val="clear" w:color="auto" w:fill="auto"/>
            <w:tcMar>
              <w:top w:w="0" w:type="dxa"/>
              <w:left w:w="108" w:type="dxa"/>
              <w:bottom w:w="0" w:type="dxa"/>
              <w:right w:w="108" w:type="dxa"/>
            </w:tcMar>
            <w:vAlign w:val="center"/>
          </w:tcPr>
          <w:p w14:paraId="75C87BCA" w14:textId="77777777" w:rsidR="00AF2126" w:rsidRPr="00D05C85" w:rsidRDefault="00AF2126" w:rsidP="00E70082">
            <w:pPr>
              <w:spacing w:before="40" w:after="40" w:line="220" w:lineRule="exact"/>
              <w:jc w:val="center"/>
              <w:rPr>
                <w:spacing w:val="-4"/>
                <w:sz w:val="18"/>
                <w:szCs w:val="18"/>
                <w:lang w:val="fr-FR"/>
              </w:rPr>
            </w:pPr>
            <w:r w:rsidRPr="00D05C85">
              <w:rPr>
                <w:spacing w:val="-4"/>
                <w:sz w:val="18"/>
                <w:szCs w:val="18"/>
                <w:lang w:val="fr-FR"/>
              </w:rPr>
              <w:t>Figure A3-VIII</w:t>
            </w:r>
          </w:p>
        </w:tc>
        <w:tc>
          <w:tcPr>
            <w:tcW w:w="1134" w:type="dxa"/>
            <w:shd w:val="clear" w:color="auto" w:fill="auto"/>
            <w:tcMar>
              <w:top w:w="0" w:type="dxa"/>
              <w:left w:w="0" w:type="dxa"/>
              <w:bottom w:w="0" w:type="dxa"/>
              <w:right w:w="0" w:type="dxa"/>
            </w:tcMar>
            <w:vAlign w:val="center"/>
          </w:tcPr>
          <w:p w14:paraId="2741F93C"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Tableau A2-3</w:t>
            </w:r>
          </w:p>
        </w:tc>
        <w:tc>
          <w:tcPr>
            <w:tcW w:w="997" w:type="dxa"/>
            <w:shd w:val="clear" w:color="auto" w:fill="auto"/>
            <w:tcMar>
              <w:top w:w="0" w:type="dxa"/>
              <w:left w:w="108" w:type="dxa"/>
              <w:bottom w:w="0" w:type="dxa"/>
              <w:right w:w="108" w:type="dxa"/>
            </w:tcMar>
            <w:vAlign w:val="center"/>
          </w:tcPr>
          <w:p w14:paraId="29032839"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6∙10</w:t>
            </w:r>
            <w:r w:rsidRPr="00D05C85">
              <w:rPr>
                <w:sz w:val="18"/>
                <w:szCs w:val="18"/>
                <w:vertAlign w:val="superscript"/>
                <w:lang w:val="fr-FR"/>
              </w:rPr>
              <w:t>-1</w:t>
            </w:r>
          </w:p>
        </w:tc>
      </w:tr>
    </w:tbl>
    <w:p w14:paraId="7BF008FD" w14:textId="77777777" w:rsidR="00AF2126" w:rsidRPr="00D05C85" w:rsidRDefault="00AF2126" w:rsidP="00AF2126">
      <w:pPr>
        <w:pStyle w:val="SingleTxtG"/>
        <w:keepNext/>
        <w:spacing w:before="240"/>
        <w:ind w:left="2268" w:hanging="1134"/>
        <w:rPr>
          <w:lang w:val="fr-FR"/>
        </w:rPr>
      </w:pPr>
      <w:r w:rsidRPr="00D05C85">
        <w:rPr>
          <w:lang w:val="fr-FR"/>
        </w:rPr>
        <w:t>5.7.2</w:t>
      </w:r>
      <w:r w:rsidRPr="00D05C85">
        <w:rPr>
          <w:lang w:val="fr-FR"/>
        </w:rPr>
        <w:tab/>
        <w:t>Intensité lumineuse minimale sous les angles de visibilité géométrique :</w:t>
      </w:r>
    </w:p>
    <w:p w14:paraId="4295D050" w14:textId="77777777" w:rsidR="00AF2126" w:rsidRPr="00D05C85" w:rsidRDefault="00AF2126" w:rsidP="00AF2126">
      <w:pPr>
        <w:pStyle w:val="SingleTxtG"/>
        <w:ind w:left="2268"/>
        <w:rPr>
          <w:lang w:val="fr-FR"/>
        </w:rPr>
      </w:pPr>
      <w:r w:rsidRPr="00D05C85">
        <w:rPr>
          <w:lang w:val="fr-FR"/>
        </w:rPr>
        <w:tab/>
        <w:t>Voir le tableau 9.</w:t>
      </w:r>
    </w:p>
    <w:p w14:paraId="08657764" w14:textId="77777777" w:rsidR="00AF2126" w:rsidRPr="00D05C85" w:rsidRDefault="00AF2126" w:rsidP="00AF2126">
      <w:pPr>
        <w:pStyle w:val="SingleTxtG"/>
        <w:ind w:left="2268" w:hanging="1134"/>
        <w:rPr>
          <w:lang w:val="fr-FR"/>
        </w:rPr>
      </w:pPr>
      <w:r w:rsidRPr="00D05C85">
        <w:rPr>
          <w:lang w:val="fr-FR"/>
        </w:rPr>
        <w:t>5.7.3</w:t>
      </w:r>
      <w:r w:rsidRPr="00D05C85">
        <w:rPr>
          <w:lang w:val="fr-FR"/>
        </w:rPr>
        <w:tab/>
        <w:t>Superficie minimale ou maximale de la surface apparente :</w:t>
      </w:r>
    </w:p>
    <w:p w14:paraId="37A1E124" w14:textId="77777777" w:rsidR="00AF2126" w:rsidRPr="00D05C85" w:rsidRDefault="00AF2126" w:rsidP="00AF2126">
      <w:pPr>
        <w:pStyle w:val="SingleTxtG"/>
        <w:ind w:left="2268"/>
        <w:rPr>
          <w:lang w:val="fr-FR"/>
        </w:rPr>
      </w:pPr>
      <w:r w:rsidRPr="00D05C85">
        <w:rPr>
          <w:lang w:val="fr-FR"/>
        </w:rPr>
        <w:tab/>
        <w:t>Pas de prescriptions.</w:t>
      </w:r>
    </w:p>
    <w:p w14:paraId="5846E331" w14:textId="77777777" w:rsidR="00AF2126" w:rsidRPr="00D05C85" w:rsidRDefault="00AF2126" w:rsidP="00AF2126">
      <w:pPr>
        <w:pStyle w:val="SingleTxtG"/>
        <w:ind w:left="2268" w:hanging="1134"/>
        <w:rPr>
          <w:lang w:val="fr-FR"/>
        </w:rPr>
      </w:pPr>
      <w:r w:rsidRPr="00D05C85">
        <w:rPr>
          <w:lang w:val="fr-FR"/>
        </w:rPr>
        <w:t>5.7.4</w:t>
      </w:r>
      <w:r w:rsidRPr="00D05C85">
        <w:rPr>
          <w:lang w:val="fr-FR"/>
        </w:rPr>
        <w:tab/>
        <w:t>Mesure :</w:t>
      </w:r>
    </w:p>
    <w:p w14:paraId="3286A2B9" w14:textId="1258ADB1" w:rsidR="00AF2126" w:rsidRPr="00D05C85" w:rsidRDefault="00AF2126" w:rsidP="00AF2126">
      <w:pPr>
        <w:pStyle w:val="SingleTxtG"/>
        <w:ind w:left="2268"/>
        <w:rPr>
          <w:lang w:val="fr-FR"/>
        </w:rPr>
      </w:pPr>
      <w:r w:rsidRPr="00D05C85">
        <w:rPr>
          <w:lang w:val="fr-FR"/>
        </w:rPr>
        <w:tab/>
        <w:t xml:space="preserve">Pour les feux de position latéraux des catégories SM1 </w:t>
      </w:r>
      <w:r w:rsidR="00910B33">
        <w:rPr>
          <w:lang w:val="fr-FR"/>
        </w:rPr>
        <w:t xml:space="preserve">et </w:t>
      </w:r>
      <w:r w:rsidRPr="00D05C85">
        <w:rPr>
          <w:lang w:val="fr-FR"/>
        </w:rPr>
        <w:t>SM2, il peut suffire de ne vérifier que cinq points choisis par l’autorité d’homologation de type.</w:t>
      </w:r>
    </w:p>
    <w:p w14:paraId="721D5777" w14:textId="77777777" w:rsidR="00AF2126" w:rsidRPr="00D05C85" w:rsidRDefault="00AF2126" w:rsidP="00AF2126">
      <w:pPr>
        <w:pStyle w:val="SingleTxtG"/>
        <w:ind w:left="2268" w:hanging="1134"/>
        <w:rPr>
          <w:lang w:val="fr-FR"/>
        </w:rPr>
      </w:pPr>
      <w:r w:rsidRPr="00D05C85">
        <w:rPr>
          <w:lang w:val="fr-FR"/>
        </w:rPr>
        <w:t>5.7.5</w:t>
      </w:r>
      <w:r w:rsidRPr="00D05C85">
        <w:rPr>
          <w:lang w:val="fr-FR"/>
        </w:rPr>
        <w:tab/>
        <w:t>Prescriptions supplémentaires :</w:t>
      </w:r>
    </w:p>
    <w:p w14:paraId="6AB15C46" w14:textId="77777777" w:rsidR="00AF2126" w:rsidRPr="00D05C85" w:rsidRDefault="00AF2126" w:rsidP="00AF2126">
      <w:pPr>
        <w:pStyle w:val="SingleTxtG"/>
        <w:ind w:left="2268"/>
        <w:rPr>
          <w:lang w:val="fr-FR"/>
        </w:rPr>
      </w:pPr>
      <w:r w:rsidRPr="00D05C85">
        <w:rPr>
          <w:lang w:val="fr-FR"/>
        </w:rPr>
        <w:tab/>
        <w:t>Aucune.</w:t>
      </w:r>
    </w:p>
    <w:p w14:paraId="312DE6F0" w14:textId="77777777" w:rsidR="00AF2126" w:rsidRPr="00D05C85" w:rsidRDefault="00AF2126" w:rsidP="00AF2126">
      <w:pPr>
        <w:pStyle w:val="SingleTxtG"/>
        <w:ind w:left="2268" w:hanging="1134"/>
        <w:rPr>
          <w:lang w:val="fr-FR"/>
        </w:rPr>
      </w:pPr>
      <w:r w:rsidRPr="00D05C85">
        <w:rPr>
          <w:lang w:val="fr-FR"/>
        </w:rPr>
        <w:t>5.7.6</w:t>
      </w:r>
      <w:r w:rsidRPr="00D05C85">
        <w:rPr>
          <w:lang w:val="fr-FR"/>
        </w:rPr>
        <w:tab/>
        <w:t>Dispositions applicables en cas de défaillance :</w:t>
      </w:r>
    </w:p>
    <w:p w14:paraId="4901422E" w14:textId="77777777" w:rsidR="00AF2126" w:rsidRPr="00D05C85" w:rsidRDefault="00AF2126" w:rsidP="00AF2126">
      <w:pPr>
        <w:pStyle w:val="SingleTxtG"/>
        <w:ind w:left="2268"/>
        <w:rPr>
          <w:lang w:val="fr-FR"/>
        </w:rPr>
      </w:pPr>
      <w:r w:rsidRPr="00D05C85">
        <w:rPr>
          <w:lang w:val="fr-FR"/>
        </w:rPr>
        <w:tab/>
        <w:t>Voir le paragraphe 4.6.</w:t>
      </w:r>
    </w:p>
    <w:p w14:paraId="5054B301" w14:textId="77777777" w:rsidR="00AF2126" w:rsidRPr="00D05C85" w:rsidRDefault="00AF2126" w:rsidP="00AF2126">
      <w:pPr>
        <w:pStyle w:val="SingleTxtG"/>
        <w:ind w:left="2268" w:hanging="1134"/>
        <w:rPr>
          <w:lang w:val="fr-FR"/>
        </w:rPr>
      </w:pPr>
      <w:r w:rsidRPr="00D05C85">
        <w:rPr>
          <w:lang w:val="fr-FR"/>
        </w:rPr>
        <w:t>5.7.7</w:t>
      </w:r>
      <w:r w:rsidRPr="00D05C85">
        <w:rPr>
          <w:lang w:val="fr-FR"/>
        </w:rPr>
        <w:tab/>
        <w:t>Couleur :</w:t>
      </w:r>
    </w:p>
    <w:p w14:paraId="5C641477" w14:textId="77777777" w:rsidR="00AF2126" w:rsidRPr="00D05C85" w:rsidRDefault="00AF2126" w:rsidP="00AF2126">
      <w:pPr>
        <w:pStyle w:val="SingleTxtG"/>
        <w:ind w:left="2268"/>
        <w:rPr>
          <w:lang w:val="fr-FR"/>
        </w:rPr>
      </w:pPr>
      <w:r w:rsidRPr="00D05C85">
        <w:rPr>
          <w:lang w:val="fr-FR"/>
        </w:rPr>
        <w:tab/>
        <w:t>La couleur de la lumière émise doit être jaune-auto.</w:t>
      </w:r>
    </w:p>
    <w:p w14:paraId="0671F0AD" w14:textId="77777777" w:rsidR="00AF2126" w:rsidRPr="00D05C85" w:rsidRDefault="00AF2126" w:rsidP="00AF2126">
      <w:pPr>
        <w:pStyle w:val="SingleTxtG"/>
        <w:ind w:left="2268" w:hanging="1134"/>
        <w:rPr>
          <w:lang w:val="fr-FR"/>
        </w:rPr>
      </w:pPr>
      <w:r w:rsidRPr="00D05C85">
        <w:rPr>
          <w:lang w:val="fr-FR"/>
        </w:rPr>
        <w:t>5.8</w:t>
      </w:r>
      <w:r w:rsidRPr="00D05C85">
        <w:rPr>
          <w:lang w:val="fr-FR"/>
        </w:rPr>
        <w:tab/>
        <w:t>Feux de marche arrière (AR)</w:t>
      </w:r>
    </w:p>
    <w:p w14:paraId="5C2ACF59" w14:textId="3BFA1C52" w:rsidR="00AF2126" w:rsidRPr="00D05C85" w:rsidRDefault="00AF2126" w:rsidP="00AF2126">
      <w:pPr>
        <w:pStyle w:val="SingleTxtG"/>
        <w:ind w:left="2268" w:hanging="1134"/>
        <w:rPr>
          <w:lang w:val="fr-FR"/>
        </w:rPr>
      </w:pPr>
      <w:r w:rsidRPr="00D05C85">
        <w:rPr>
          <w:lang w:val="fr-FR"/>
        </w:rPr>
        <w:t>5.8.1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71617381" w14:textId="77777777" w:rsidR="00AF2126" w:rsidRPr="00D05C85" w:rsidRDefault="00AF2126" w:rsidP="00AF2126">
      <w:pPr>
        <w:pStyle w:val="SingleTxtG"/>
        <w:ind w:left="2268"/>
        <w:rPr>
          <w:lang w:val="fr-FR"/>
        </w:rPr>
      </w:pPr>
      <w:r w:rsidRPr="00D05C85">
        <w:rPr>
          <w:lang w:val="fr-FR"/>
        </w:rPr>
        <w:tab/>
        <w:t>La lumière émise par chacun des deux échantillons fournis doit satisfaire aux prescriptions du tableau 10.</w:t>
      </w:r>
    </w:p>
    <w:p w14:paraId="42990477" w14:textId="77777777" w:rsidR="00AF2126" w:rsidRPr="00D05C85" w:rsidRDefault="00AF2126" w:rsidP="00AF2126">
      <w:pPr>
        <w:pStyle w:val="SingleTxtG"/>
        <w:ind w:left="2268"/>
        <w:rPr>
          <w:lang w:val="fr-FR"/>
        </w:rPr>
      </w:pPr>
      <w:r w:rsidRPr="00D05C85">
        <w:rPr>
          <w:lang w:val="fr-FR"/>
        </w:rPr>
        <w:tab/>
        <w:t>Toutefois, dans le cas où il serait prévu d’installer le feu de marche arrière sur le véhicule exclusivement par paire de dispositifs, l’intensité photométrique peut être vérifiée seulement jusqu’à un angle de 30° vers l’intérieur, où une valeur photométrique d’au moins 2,5∙10</w:t>
      </w:r>
      <w:r w:rsidRPr="00D05C85">
        <w:rPr>
          <w:vertAlign w:val="superscript"/>
          <w:lang w:val="fr-FR"/>
        </w:rPr>
        <w:t>1</w:t>
      </w:r>
      <w:r w:rsidRPr="00D05C85">
        <w:rPr>
          <w:lang w:val="fr-FR"/>
        </w:rPr>
        <w:t xml:space="preserve"> cd doit être obtenue.</w:t>
      </w:r>
    </w:p>
    <w:p w14:paraId="034D1297" w14:textId="50062ADA" w:rsidR="00AF2126" w:rsidRPr="00D05C85" w:rsidRDefault="00AF2126" w:rsidP="00AF2126">
      <w:pPr>
        <w:pStyle w:val="SingleTxtG"/>
        <w:ind w:left="2268"/>
        <w:rPr>
          <w:lang w:val="fr-FR"/>
        </w:rPr>
      </w:pPr>
      <w:r w:rsidRPr="00D05C85">
        <w:rPr>
          <w:lang w:val="fr-FR"/>
        </w:rPr>
        <w:lastRenderedPageBreak/>
        <w:tab/>
        <w:t xml:space="preserve">Cette condition doit être clairement exposée dans la demande d’homologation </w:t>
      </w:r>
      <w:r w:rsidR="00910B33">
        <w:rPr>
          <w:lang w:val="fr-FR"/>
        </w:rPr>
        <w:t xml:space="preserve">et </w:t>
      </w:r>
      <w:r w:rsidRPr="00D05C85">
        <w:rPr>
          <w:lang w:val="fr-FR"/>
        </w:rPr>
        <w:t xml:space="preserve">dans les documents connexes (voir </w:t>
      </w:r>
      <w:r w:rsidR="005B36F1" w:rsidRPr="00D05C85">
        <w:rPr>
          <w:lang w:val="fr-FR"/>
        </w:rPr>
        <w:t>par. </w:t>
      </w:r>
      <w:r w:rsidRPr="00D05C85">
        <w:rPr>
          <w:lang w:val="fr-FR"/>
        </w:rPr>
        <w:t>3.1).</w:t>
      </w:r>
    </w:p>
    <w:p w14:paraId="3ECED7AA" w14:textId="77777777" w:rsidR="00AF2126" w:rsidRPr="00D05C85" w:rsidRDefault="00AF2126" w:rsidP="00AF2126">
      <w:pPr>
        <w:pStyle w:val="SingleTxtG"/>
        <w:ind w:left="2268"/>
        <w:rPr>
          <w:lang w:val="fr-FR"/>
        </w:rPr>
      </w:pPr>
      <w:r w:rsidRPr="00D05C85">
        <w:rPr>
          <w:lang w:val="fr-FR"/>
        </w:rPr>
        <w:tab/>
        <w:t>En plus, dans le cas où l’homologation serait accordée en appliquant les conditions susmentionnées, une déclaration au paragraphe 9.1.3 de la fiche de communication (voir annexe 1) fera savoir que le dispositif ne doit être installé que par paire.</w:t>
      </w:r>
    </w:p>
    <w:p w14:paraId="20346011" w14:textId="77777777" w:rsidR="00AF2126" w:rsidRPr="00D05C85" w:rsidRDefault="00AF2126" w:rsidP="00AF2126">
      <w:pPr>
        <w:pStyle w:val="Titre1"/>
        <w:tabs>
          <w:tab w:val="left" w:pos="1701"/>
          <w:tab w:val="left" w:pos="2268"/>
          <w:tab w:val="left" w:pos="2835"/>
        </w:tabs>
        <w:spacing w:after="120"/>
        <w:rPr>
          <w:rStyle w:val="Carpredefinitoparagrafo1"/>
          <w:b/>
          <w:lang w:val="fr-FR"/>
        </w:rPr>
      </w:pPr>
      <w:r w:rsidRPr="00D05C85">
        <w:rPr>
          <w:lang w:val="fr-FR"/>
        </w:rPr>
        <w:t>Tableau 10</w:t>
      </w:r>
      <w:r w:rsidRPr="00D05C85">
        <w:rPr>
          <w:lang w:val="fr-FR"/>
        </w:rPr>
        <w:br/>
      </w:r>
      <w:r w:rsidRPr="00D05C85">
        <w:rPr>
          <w:b/>
          <w:bCs/>
          <w:lang w:val="fr-FR"/>
        </w:rPr>
        <w:t>Intensité lumineuse des feux de marche arrière</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1276"/>
        <w:gridCol w:w="708"/>
        <w:gridCol w:w="993"/>
        <w:gridCol w:w="662"/>
        <w:gridCol w:w="1339"/>
        <w:gridCol w:w="1117"/>
        <w:gridCol w:w="992"/>
      </w:tblGrid>
      <w:tr w:rsidR="00AF2126" w:rsidRPr="00D05C85" w14:paraId="5933D1E2" w14:textId="77777777" w:rsidTr="00BF64F4">
        <w:tc>
          <w:tcPr>
            <w:tcW w:w="1418" w:type="dxa"/>
            <w:vMerge w:val="restart"/>
            <w:shd w:val="clear" w:color="auto" w:fill="auto"/>
            <w:tcMar>
              <w:top w:w="15" w:type="dxa"/>
              <w:left w:w="15" w:type="dxa"/>
              <w:bottom w:w="0" w:type="dxa"/>
              <w:right w:w="15" w:type="dxa"/>
            </w:tcMar>
            <w:vAlign w:val="bottom"/>
          </w:tcPr>
          <w:p w14:paraId="14562559" w14:textId="77777777" w:rsidR="00AF2126" w:rsidRPr="00D05C85" w:rsidRDefault="00AF2126" w:rsidP="00E70082">
            <w:pPr>
              <w:spacing w:before="80" w:after="80" w:line="200" w:lineRule="exact"/>
              <w:ind w:left="57" w:right="57"/>
              <w:jc w:val="center"/>
              <w:rPr>
                <w:b/>
                <w:i/>
                <w:iCs/>
                <w:sz w:val="16"/>
                <w:szCs w:val="16"/>
                <w:lang w:val="fr-FR"/>
              </w:rPr>
            </w:pPr>
            <w:r w:rsidRPr="00D05C85">
              <w:rPr>
                <w:b/>
                <w:bCs/>
                <w:i/>
                <w:iCs/>
                <w:sz w:val="16"/>
                <w:szCs w:val="16"/>
                <w:lang w:val="fr-FR"/>
              </w:rPr>
              <w:t>Feux de marche arrière de la catégorie</w:t>
            </w:r>
          </w:p>
        </w:tc>
        <w:tc>
          <w:tcPr>
            <w:tcW w:w="1276" w:type="dxa"/>
            <w:vMerge w:val="restart"/>
            <w:shd w:val="clear" w:color="auto" w:fill="auto"/>
            <w:tcMar>
              <w:top w:w="0" w:type="dxa"/>
              <w:left w:w="5" w:type="dxa"/>
              <w:bottom w:w="0" w:type="dxa"/>
              <w:right w:w="5" w:type="dxa"/>
            </w:tcMar>
            <w:vAlign w:val="bottom"/>
          </w:tcPr>
          <w:p w14:paraId="47E39183" w14:textId="44542AB0" w:rsidR="00AF2126" w:rsidRPr="00D05C85" w:rsidRDefault="00AF2126" w:rsidP="00E70082">
            <w:pPr>
              <w:widowControl w:val="0"/>
              <w:spacing w:before="80" w:after="80" w:line="200" w:lineRule="exact"/>
              <w:ind w:left="57" w:right="57"/>
              <w:jc w:val="center"/>
              <w:rPr>
                <w:b/>
                <w:i/>
                <w:iCs/>
                <w:sz w:val="16"/>
                <w:szCs w:val="16"/>
                <w:lang w:val="fr-FR"/>
              </w:rPr>
            </w:pPr>
            <w:r w:rsidRPr="00D05C85">
              <w:rPr>
                <w:b/>
                <w:bCs/>
                <w:i/>
                <w:iCs/>
                <w:sz w:val="16"/>
                <w:szCs w:val="16"/>
                <w:lang w:val="fr-FR"/>
              </w:rPr>
              <w:t>Intensité lumineuse minimale en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a))</w:t>
            </w:r>
          </w:p>
        </w:tc>
        <w:tc>
          <w:tcPr>
            <w:tcW w:w="2363" w:type="dxa"/>
            <w:gridSpan w:val="3"/>
            <w:shd w:val="clear" w:color="auto" w:fill="auto"/>
            <w:tcMar>
              <w:top w:w="15" w:type="dxa"/>
              <w:left w:w="15" w:type="dxa"/>
              <w:bottom w:w="0" w:type="dxa"/>
              <w:right w:w="15" w:type="dxa"/>
            </w:tcMar>
            <w:vAlign w:val="bottom"/>
          </w:tcPr>
          <w:p w14:paraId="005221B1" w14:textId="3DC6BFFC" w:rsidR="00AF2126" w:rsidRPr="00D05C85" w:rsidRDefault="00AF2126" w:rsidP="00E70082">
            <w:pPr>
              <w:widowControl w:val="0"/>
              <w:spacing w:before="80" w:after="80" w:line="200" w:lineRule="exact"/>
              <w:ind w:left="57" w:right="57"/>
              <w:jc w:val="center"/>
              <w:rPr>
                <w:b/>
                <w:i/>
                <w:iCs/>
                <w:sz w:val="16"/>
                <w:szCs w:val="16"/>
                <w:lang w:val="fr-FR"/>
              </w:rPr>
            </w:pPr>
            <w:r w:rsidRPr="00D05C85">
              <w:rPr>
                <w:b/>
                <w:bCs/>
                <w:i/>
                <w:iCs/>
                <w:sz w:val="16"/>
                <w:szCs w:val="16"/>
                <w:lang w:val="fr-FR"/>
              </w:rPr>
              <w:t xml:space="preserve">Intensité lumineuse maximale </w:t>
            </w:r>
            <w:r w:rsidR="00BF64F4" w:rsidRPr="00D05C85">
              <w:rPr>
                <w:b/>
                <w:bCs/>
                <w:i/>
                <w:iCs/>
                <w:sz w:val="16"/>
                <w:szCs w:val="16"/>
                <w:lang w:val="fr-FR"/>
              </w:rPr>
              <w:br/>
            </w:r>
            <w:r w:rsidRPr="00D05C85">
              <w:rPr>
                <w:b/>
                <w:bCs/>
                <w:i/>
                <w:iCs/>
                <w:sz w:val="16"/>
                <w:szCs w:val="16"/>
                <w:lang w:val="fr-FR"/>
              </w:rPr>
              <w:t>en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b))</w:t>
            </w:r>
          </w:p>
        </w:tc>
        <w:tc>
          <w:tcPr>
            <w:tcW w:w="1339" w:type="dxa"/>
            <w:vMerge w:val="restart"/>
            <w:shd w:val="clear" w:color="auto" w:fill="auto"/>
            <w:tcMar>
              <w:top w:w="0" w:type="dxa"/>
              <w:left w:w="5" w:type="dxa"/>
              <w:bottom w:w="0" w:type="dxa"/>
              <w:right w:w="5" w:type="dxa"/>
            </w:tcMar>
            <w:vAlign w:val="bottom"/>
          </w:tcPr>
          <w:p w14:paraId="69E32145" w14:textId="009DC8A1" w:rsidR="00AF2126" w:rsidRPr="00D05C85" w:rsidRDefault="00AF2126" w:rsidP="00E70082">
            <w:pPr>
              <w:widowControl w:val="0"/>
              <w:spacing w:before="80" w:after="80" w:line="200" w:lineRule="exact"/>
              <w:ind w:left="57" w:right="57"/>
              <w:jc w:val="center"/>
              <w:rPr>
                <w:b/>
                <w:i/>
                <w:iCs/>
                <w:sz w:val="16"/>
                <w:szCs w:val="16"/>
                <w:lang w:val="fr-FR"/>
              </w:rPr>
            </w:pPr>
            <w:r w:rsidRPr="00D05C85">
              <w:rPr>
                <w:b/>
                <w:bCs/>
                <w:i/>
                <w:iCs/>
                <w:sz w:val="16"/>
                <w:szCs w:val="16"/>
                <w:lang w:val="fr-FR"/>
              </w:rPr>
              <w:t xml:space="preserve">Répartition normalisée </w:t>
            </w:r>
            <w:r w:rsidRPr="00D05C85">
              <w:rPr>
                <w:b/>
                <w:bCs/>
                <w:i/>
                <w:iCs/>
                <w:sz w:val="16"/>
                <w:szCs w:val="16"/>
                <w:lang w:val="fr-FR"/>
              </w:rPr>
              <w:b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2109" w:type="dxa"/>
            <w:gridSpan w:val="2"/>
            <w:shd w:val="clear" w:color="auto" w:fill="auto"/>
            <w:tcMar>
              <w:top w:w="0" w:type="dxa"/>
              <w:left w:w="5" w:type="dxa"/>
              <w:bottom w:w="0" w:type="dxa"/>
              <w:right w:w="5" w:type="dxa"/>
            </w:tcMar>
            <w:vAlign w:val="bottom"/>
          </w:tcPr>
          <w:p w14:paraId="49804715" w14:textId="1FADC190" w:rsidR="00AF2126" w:rsidRPr="00D05C85" w:rsidRDefault="00AF2126" w:rsidP="00E70082">
            <w:pPr>
              <w:widowControl w:val="0"/>
              <w:spacing w:before="80" w:after="80" w:line="200" w:lineRule="exact"/>
              <w:ind w:left="57" w:right="57"/>
              <w:jc w:val="center"/>
              <w:rPr>
                <w:b/>
                <w:i/>
                <w:iCs/>
                <w:color w:val="EEECE1" w:themeColor="background2"/>
                <w:sz w:val="16"/>
                <w:szCs w:val="16"/>
                <w:lang w:val="fr-FR"/>
              </w:rPr>
            </w:pPr>
            <w:r w:rsidRPr="00D05C85">
              <w:rPr>
                <w:b/>
                <w:bCs/>
                <w:i/>
                <w:iCs/>
                <w:sz w:val="16"/>
                <w:szCs w:val="16"/>
                <w:lang w:val="fr-FR"/>
              </w:rPr>
              <w:t>Angles de</w:t>
            </w:r>
            <w:r w:rsidRPr="00D05C85">
              <w:rPr>
                <w:b/>
                <w:i/>
                <w:iCs/>
                <w:color w:val="000000" w:themeColor="text1"/>
                <w:sz w:val="16"/>
                <w:szCs w:val="16"/>
                <w:lang w:val="fr-FR"/>
              </w:rPr>
              <w:t xml:space="preserve"> </w:t>
            </w:r>
            <w:r w:rsidRPr="00D05C85">
              <w:rPr>
                <w:b/>
                <w:bCs/>
                <w:i/>
                <w:iCs/>
                <w:sz w:val="16"/>
                <w:szCs w:val="16"/>
                <w:lang w:val="fr-FR"/>
              </w:rPr>
              <w:t>visibilité géométrique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d))</w:t>
            </w:r>
          </w:p>
        </w:tc>
      </w:tr>
      <w:tr w:rsidR="00AF2126" w:rsidRPr="00D05C85" w14:paraId="1FC78456" w14:textId="77777777" w:rsidTr="00BF64F4">
        <w:tc>
          <w:tcPr>
            <w:tcW w:w="1418" w:type="dxa"/>
            <w:vMerge/>
            <w:shd w:val="clear" w:color="auto" w:fill="auto"/>
            <w:tcMar>
              <w:top w:w="15" w:type="dxa"/>
              <w:left w:w="15" w:type="dxa"/>
              <w:bottom w:w="0" w:type="dxa"/>
              <w:right w:w="15" w:type="dxa"/>
            </w:tcMar>
            <w:vAlign w:val="bottom"/>
          </w:tcPr>
          <w:p w14:paraId="3407C277" w14:textId="77777777" w:rsidR="00AF2126" w:rsidRPr="00D05C85" w:rsidRDefault="00AF2126" w:rsidP="00E70082">
            <w:pPr>
              <w:spacing w:before="80" w:after="80" w:line="200" w:lineRule="exact"/>
              <w:ind w:left="57" w:right="57"/>
              <w:jc w:val="center"/>
              <w:rPr>
                <w:b/>
                <w:i/>
                <w:iCs/>
                <w:sz w:val="16"/>
                <w:szCs w:val="16"/>
                <w:lang w:val="fr-FR"/>
              </w:rPr>
            </w:pPr>
          </w:p>
        </w:tc>
        <w:tc>
          <w:tcPr>
            <w:tcW w:w="1276" w:type="dxa"/>
            <w:vMerge/>
            <w:shd w:val="clear" w:color="auto" w:fill="auto"/>
            <w:tcMar>
              <w:top w:w="0" w:type="dxa"/>
              <w:left w:w="5" w:type="dxa"/>
              <w:bottom w:w="0" w:type="dxa"/>
              <w:right w:w="5" w:type="dxa"/>
            </w:tcMar>
            <w:vAlign w:val="bottom"/>
          </w:tcPr>
          <w:p w14:paraId="28BC1045" w14:textId="77777777" w:rsidR="00AF2126" w:rsidRPr="00D05C85" w:rsidRDefault="00AF2126" w:rsidP="00E70082">
            <w:pPr>
              <w:pStyle w:val="Normale1"/>
              <w:spacing w:before="80" w:after="80" w:line="200" w:lineRule="exact"/>
              <w:jc w:val="center"/>
              <w:rPr>
                <w:b/>
                <w:i/>
                <w:iCs/>
                <w:sz w:val="16"/>
                <w:szCs w:val="16"/>
                <w:lang w:val="fr-FR"/>
              </w:rPr>
            </w:pPr>
          </w:p>
        </w:tc>
        <w:tc>
          <w:tcPr>
            <w:tcW w:w="708" w:type="dxa"/>
            <w:shd w:val="clear" w:color="auto" w:fill="auto"/>
            <w:tcMar>
              <w:top w:w="15" w:type="dxa"/>
              <w:left w:w="15" w:type="dxa"/>
              <w:bottom w:w="0" w:type="dxa"/>
              <w:right w:w="15" w:type="dxa"/>
            </w:tcMar>
            <w:vAlign w:val="bottom"/>
          </w:tcPr>
          <w:p w14:paraId="51C8F404" w14:textId="77777777" w:rsidR="00AF2126" w:rsidRPr="00D05C85" w:rsidRDefault="00AF2126" w:rsidP="00E70082">
            <w:pPr>
              <w:widowControl w:val="0"/>
              <w:spacing w:before="80" w:after="80" w:line="200" w:lineRule="exact"/>
              <w:ind w:left="57" w:right="57"/>
              <w:jc w:val="center"/>
              <w:rPr>
                <w:b/>
                <w:i/>
                <w:iCs/>
                <w:sz w:val="16"/>
                <w:szCs w:val="16"/>
                <w:lang w:val="fr-FR"/>
              </w:rPr>
            </w:pPr>
            <w:r w:rsidRPr="00D05C85">
              <w:rPr>
                <w:b/>
                <w:bCs/>
                <w:i/>
                <w:iCs/>
                <w:sz w:val="16"/>
                <w:szCs w:val="16"/>
                <w:lang w:val="fr-FR"/>
              </w:rPr>
              <w:t>Dans le plan H ou au-dessus</w:t>
            </w:r>
          </w:p>
        </w:tc>
        <w:tc>
          <w:tcPr>
            <w:tcW w:w="993" w:type="dxa"/>
            <w:shd w:val="clear" w:color="auto" w:fill="auto"/>
            <w:tcMar>
              <w:top w:w="15" w:type="dxa"/>
              <w:left w:w="15" w:type="dxa"/>
              <w:bottom w:w="0" w:type="dxa"/>
              <w:right w:w="15" w:type="dxa"/>
            </w:tcMar>
            <w:vAlign w:val="bottom"/>
          </w:tcPr>
          <w:p w14:paraId="25462C33" w14:textId="77777777" w:rsidR="00AF2126" w:rsidRPr="00D05C85" w:rsidRDefault="00AF2126" w:rsidP="00E70082">
            <w:pPr>
              <w:widowControl w:val="0"/>
              <w:spacing w:before="80" w:after="80" w:line="200" w:lineRule="exact"/>
              <w:ind w:left="57" w:right="57"/>
              <w:jc w:val="center"/>
              <w:rPr>
                <w:b/>
                <w:i/>
                <w:iCs/>
                <w:sz w:val="16"/>
                <w:szCs w:val="16"/>
                <w:lang w:val="fr-FR"/>
              </w:rPr>
            </w:pPr>
            <w:r w:rsidRPr="00D05C85">
              <w:rPr>
                <w:b/>
                <w:bCs/>
                <w:i/>
                <w:iCs/>
                <w:sz w:val="16"/>
                <w:szCs w:val="16"/>
                <w:lang w:val="fr-FR"/>
              </w:rPr>
              <w:t>En dessous du plan H, jusqu’à 5° D</w:t>
            </w:r>
          </w:p>
        </w:tc>
        <w:tc>
          <w:tcPr>
            <w:tcW w:w="662" w:type="dxa"/>
            <w:shd w:val="clear" w:color="auto" w:fill="auto"/>
            <w:tcMar>
              <w:top w:w="15" w:type="dxa"/>
              <w:left w:w="15" w:type="dxa"/>
              <w:bottom w:w="0" w:type="dxa"/>
              <w:right w:w="15" w:type="dxa"/>
            </w:tcMar>
            <w:vAlign w:val="bottom"/>
          </w:tcPr>
          <w:p w14:paraId="101A65D7" w14:textId="77777777" w:rsidR="00AF2126" w:rsidRPr="00D05C85" w:rsidRDefault="00AF2126" w:rsidP="00E70082">
            <w:pPr>
              <w:widowControl w:val="0"/>
              <w:spacing w:before="80" w:after="80" w:line="200" w:lineRule="exact"/>
              <w:ind w:left="57" w:right="57"/>
              <w:jc w:val="center"/>
              <w:rPr>
                <w:b/>
                <w:i/>
                <w:iCs/>
                <w:sz w:val="16"/>
                <w:szCs w:val="16"/>
                <w:lang w:val="fr-FR"/>
              </w:rPr>
            </w:pPr>
            <w:r w:rsidRPr="00D05C85">
              <w:rPr>
                <w:b/>
                <w:bCs/>
                <w:i/>
                <w:iCs/>
                <w:sz w:val="16"/>
                <w:szCs w:val="16"/>
                <w:lang w:val="fr-FR"/>
              </w:rPr>
              <w:t>En dessous de 5° D</w:t>
            </w:r>
          </w:p>
        </w:tc>
        <w:tc>
          <w:tcPr>
            <w:tcW w:w="1339" w:type="dxa"/>
            <w:vMerge/>
            <w:shd w:val="clear" w:color="auto" w:fill="auto"/>
            <w:tcMar>
              <w:top w:w="0" w:type="dxa"/>
              <w:left w:w="5" w:type="dxa"/>
              <w:bottom w:w="0" w:type="dxa"/>
              <w:right w:w="5" w:type="dxa"/>
            </w:tcMar>
            <w:vAlign w:val="bottom"/>
          </w:tcPr>
          <w:p w14:paraId="5FC19D41" w14:textId="77777777" w:rsidR="00AF2126" w:rsidRPr="00D05C85" w:rsidRDefault="00AF2126" w:rsidP="00E70082">
            <w:pPr>
              <w:pStyle w:val="Normale1"/>
              <w:spacing w:before="80" w:after="80" w:line="200" w:lineRule="exact"/>
              <w:jc w:val="center"/>
              <w:rPr>
                <w:b/>
                <w:i/>
                <w:iCs/>
                <w:sz w:val="16"/>
                <w:szCs w:val="16"/>
                <w:lang w:val="fr-FR"/>
              </w:rPr>
            </w:pPr>
          </w:p>
        </w:tc>
        <w:tc>
          <w:tcPr>
            <w:tcW w:w="1117" w:type="dxa"/>
            <w:shd w:val="clear" w:color="auto" w:fill="auto"/>
            <w:tcMar>
              <w:top w:w="0" w:type="dxa"/>
              <w:left w:w="5" w:type="dxa"/>
              <w:bottom w:w="0" w:type="dxa"/>
              <w:right w:w="5" w:type="dxa"/>
            </w:tcMar>
            <w:vAlign w:val="bottom"/>
          </w:tcPr>
          <w:p w14:paraId="21BAB0A4" w14:textId="77777777" w:rsidR="00AF2126" w:rsidRPr="00D05C85" w:rsidRDefault="00AF2126" w:rsidP="00E70082">
            <w:pPr>
              <w:pStyle w:val="Normale1"/>
              <w:spacing w:before="80" w:after="80" w:line="200" w:lineRule="exact"/>
              <w:jc w:val="center"/>
              <w:rPr>
                <w:b/>
                <w:i/>
                <w:iCs/>
                <w:color w:val="000000" w:themeColor="text1"/>
                <w:sz w:val="16"/>
                <w:szCs w:val="16"/>
                <w:lang w:val="fr-FR"/>
              </w:rPr>
            </w:pPr>
            <w:r w:rsidRPr="00D05C85">
              <w:rPr>
                <w:b/>
                <w:bCs/>
                <w:i/>
                <w:iCs/>
                <w:sz w:val="16"/>
                <w:szCs w:val="16"/>
                <w:lang w:val="fr-FR"/>
              </w:rPr>
              <w:t>Définition</w:t>
            </w:r>
          </w:p>
        </w:tc>
        <w:tc>
          <w:tcPr>
            <w:tcW w:w="992" w:type="dxa"/>
            <w:shd w:val="clear" w:color="auto" w:fill="auto"/>
            <w:vAlign w:val="bottom"/>
          </w:tcPr>
          <w:p w14:paraId="121737E2" w14:textId="77B033F9" w:rsidR="00AF2126" w:rsidRPr="00D05C85" w:rsidRDefault="00AF2126" w:rsidP="00E70082">
            <w:pPr>
              <w:pStyle w:val="Normale1"/>
              <w:spacing w:before="80" w:after="80" w:line="200" w:lineRule="exact"/>
              <w:jc w:val="center"/>
              <w:rPr>
                <w:b/>
                <w:i/>
                <w:iCs/>
                <w:sz w:val="16"/>
                <w:szCs w:val="16"/>
                <w:lang w:val="fr-FR"/>
              </w:rPr>
            </w:pPr>
            <w:r w:rsidRPr="00D05C85">
              <w:rPr>
                <w:b/>
                <w:bCs/>
                <w:i/>
                <w:iCs/>
                <w:sz w:val="16"/>
                <w:szCs w:val="16"/>
                <w:lang w:val="fr-FR"/>
              </w:rPr>
              <w:t xml:space="preserve">Intensité lumineuse minimale </w:t>
            </w:r>
            <w:r w:rsidR="00BF64F4" w:rsidRPr="00D05C85">
              <w:rPr>
                <w:b/>
                <w:bCs/>
                <w:i/>
                <w:iCs/>
                <w:sz w:val="16"/>
                <w:szCs w:val="16"/>
                <w:lang w:val="fr-FR"/>
              </w:rPr>
              <w:br/>
            </w:r>
            <w:r w:rsidRPr="00D05C85">
              <w:rPr>
                <w:b/>
                <w:bCs/>
                <w:i/>
                <w:iCs/>
                <w:sz w:val="16"/>
                <w:szCs w:val="16"/>
                <w:lang w:val="fr-FR"/>
              </w:rPr>
              <w:t>en cd</w:t>
            </w:r>
          </w:p>
        </w:tc>
      </w:tr>
      <w:tr w:rsidR="00AF2126" w:rsidRPr="00D05C85" w14:paraId="2910C27E" w14:textId="77777777" w:rsidTr="00BF64F4">
        <w:tc>
          <w:tcPr>
            <w:tcW w:w="1418" w:type="dxa"/>
            <w:shd w:val="clear" w:color="auto" w:fill="auto"/>
            <w:tcMar>
              <w:top w:w="15" w:type="dxa"/>
              <w:left w:w="15" w:type="dxa"/>
              <w:bottom w:w="0" w:type="dxa"/>
              <w:right w:w="15" w:type="dxa"/>
            </w:tcMar>
            <w:vAlign w:val="center"/>
          </w:tcPr>
          <w:p w14:paraId="442CA9AA" w14:textId="77777777" w:rsidR="00AF2126" w:rsidRPr="00D05C85" w:rsidRDefault="00AF2126" w:rsidP="00E70082">
            <w:pPr>
              <w:widowControl w:val="0"/>
              <w:spacing w:before="40" w:after="40" w:line="220" w:lineRule="exact"/>
              <w:ind w:left="57" w:right="57"/>
              <w:jc w:val="center"/>
              <w:rPr>
                <w:sz w:val="18"/>
                <w:szCs w:val="18"/>
                <w:lang w:val="fr-FR"/>
              </w:rPr>
            </w:pPr>
            <w:r w:rsidRPr="00D05C85">
              <w:rPr>
                <w:sz w:val="18"/>
                <w:szCs w:val="18"/>
                <w:lang w:val="fr-FR"/>
              </w:rPr>
              <w:t>AR</w:t>
            </w:r>
          </w:p>
        </w:tc>
        <w:tc>
          <w:tcPr>
            <w:tcW w:w="1276" w:type="dxa"/>
            <w:shd w:val="clear" w:color="auto" w:fill="auto"/>
            <w:tcMar>
              <w:top w:w="15" w:type="dxa"/>
              <w:left w:w="15" w:type="dxa"/>
              <w:bottom w:w="0" w:type="dxa"/>
              <w:right w:w="15" w:type="dxa"/>
            </w:tcMar>
            <w:vAlign w:val="center"/>
          </w:tcPr>
          <w:p w14:paraId="0075B11C" w14:textId="77777777" w:rsidR="00AF2126" w:rsidRPr="00D05C85" w:rsidRDefault="00AF2126" w:rsidP="00E70082">
            <w:pPr>
              <w:widowControl w:val="0"/>
              <w:spacing w:before="40" w:after="40" w:line="220" w:lineRule="exact"/>
              <w:ind w:left="57" w:right="57"/>
              <w:jc w:val="center"/>
              <w:rPr>
                <w:sz w:val="18"/>
                <w:szCs w:val="18"/>
                <w:lang w:val="fr-FR"/>
              </w:rPr>
            </w:pPr>
            <w:r w:rsidRPr="00D05C85">
              <w:rPr>
                <w:sz w:val="18"/>
                <w:szCs w:val="18"/>
                <w:lang w:val="fr-FR"/>
              </w:rPr>
              <w:t>8,0∙10</w:t>
            </w:r>
            <w:r w:rsidRPr="00D05C85">
              <w:rPr>
                <w:sz w:val="18"/>
                <w:szCs w:val="18"/>
                <w:vertAlign w:val="superscript"/>
                <w:lang w:val="fr-FR"/>
              </w:rPr>
              <w:t>1</w:t>
            </w:r>
          </w:p>
        </w:tc>
        <w:tc>
          <w:tcPr>
            <w:tcW w:w="708" w:type="dxa"/>
            <w:shd w:val="clear" w:color="auto" w:fill="auto"/>
            <w:tcMar>
              <w:top w:w="15" w:type="dxa"/>
              <w:left w:w="15" w:type="dxa"/>
              <w:bottom w:w="0" w:type="dxa"/>
              <w:right w:w="15" w:type="dxa"/>
            </w:tcMar>
            <w:vAlign w:val="center"/>
          </w:tcPr>
          <w:p w14:paraId="3E182430" w14:textId="77777777" w:rsidR="00AF2126" w:rsidRPr="00D05C85" w:rsidRDefault="00AF2126" w:rsidP="00BF64F4">
            <w:pPr>
              <w:widowControl w:val="0"/>
              <w:spacing w:before="40" w:after="40" w:line="220" w:lineRule="exact"/>
              <w:jc w:val="center"/>
              <w:rPr>
                <w:sz w:val="18"/>
                <w:szCs w:val="18"/>
                <w:lang w:val="fr-FR"/>
              </w:rPr>
            </w:pPr>
            <w:r w:rsidRPr="00D05C85">
              <w:rPr>
                <w:sz w:val="18"/>
                <w:szCs w:val="18"/>
                <w:lang w:val="fr-FR"/>
              </w:rPr>
              <w:t>3,00∙10</w:t>
            </w:r>
            <w:r w:rsidRPr="00D05C85">
              <w:rPr>
                <w:sz w:val="18"/>
                <w:szCs w:val="18"/>
                <w:vertAlign w:val="superscript"/>
                <w:lang w:val="fr-FR"/>
              </w:rPr>
              <w:t>2</w:t>
            </w:r>
          </w:p>
        </w:tc>
        <w:tc>
          <w:tcPr>
            <w:tcW w:w="993" w:type="dxa"/>
            <w:shd w:val="clear" w:color="auto" w:fill="auto"/>
            <w:tcMar>
              <w:top w:w="15" w:type="dxa"/>
              <w:left w:w="15" w:type="dxa"/>
              <w:bottom w:w="0" w:type="dxa"/>
              <w:right w:w="15" w:type="dxa"/>
            </w:tcMar>
            <w:vAlign w:val="center"/>
          </w:tcPr>
          <w:p w14:paraId="3F3114F0" w14:textId="77777777" w:rsidR="00AF2126" w:rsidRPr="00D05C85" w:rsidRDefault="00AF2126" w:rsidP="00E70082">
            <w:pPr>
              <w:widowControl w:val="0"/>
              <w:spacing w:before="40" w:after="40" w:line="220" w:lineRule="exact"/>
              <w:ind w:left="57" w:right="57"/>
              <w:jc w:val="center"/>
              <w:rPr>
                <w:sz w:val="18"/>
                <w:szCs w:val="18"/>
                <w:lang w:val="fr-FR"/>
              </w:rPr>
            </w:pPr>
            <w:r w:rsidRPr="00D05C85">
              <w:rPr>
                <w:sz w:val="18"/>
                <w:szCs w:val="18"/>
                <w:lang w:val="fr-FR"/>
              </w:rPr>
              <w:t>6,00∙10</w:t>
            </w:r>
            <w:r w:rsidRPr="00D05C85">
              <w:rPr>
                <w:sz w:val="18"/>
                <w:szCs w:val="18"/>
                <w:vertAlign w:val="superscript"/>
                <w:lang w:val="fr-FR"/>
              </w:rPr>
              <w:t>2</w:t>
            </w:r>
          </w:p>
        </w:tc>
        <w:tc>
          <w:tcPr>
            <w:tcW w:w="662" w:type="dxa"/>
            <w:shd w:val="clear" w:color="auto" w:fill="auto"/>
            <w:tcMar>
              <w:top w:w="15" w:type="dxa"/>
              <w:left w:w="15" w:type="dxa"/>
              <w:bottom w:w="0" w:type="dxa"/>
              <w:right w:w="15" w:type="dxa"/>
            </w:tcMar>
            <w:vAlign w:val="center"/>
          </w:tcPr>
          <w:p w14:paraId="58FD15C6" w14:textId="77777777" w:rsidR="00AF2126" w:rsidRPr="00D05C85" w:rsidRDefault="00AF2126" w:rsidP="00BF64F4">
            <w:pPr>
              <w:widowControl w:val="0"/>
              <w:spacing w:before="40" w:after="40" w:line="220" w:lineRule="exact"/>
              <w:jc w:val="center"/>
              <w:rPr>
                <w:sz w:val="18"/>
                <w:szCs w:val="18"/>
                <w:lang w:val="fr-FR"/>
              </w:rPr>
            </w:pPr>
            <w:r w:rsidRPr="00D05C85">
              <w:rPr>
                <w:sz w:val="18"/>
                <w:szCs w:val="18"/>
                <w:lang w:val="fr-FR"/>
              </w:rPr>
              <w:t>8,00∙10</w:t>
            </w:r>
            <w:r w:rsidRPr="00D05C85">
              <w:rPr>
                <w:sz w:val="18"/>
                <w:szCs w:val="18"/>
                <w:vertAlign w:val="superscript"/>
                <w:lang w:val="fr-FR"/>
              </w:rPr>
              <w:t>3</w:t>
            </w:r>
          </w:p>
        </w:tc>
        <w:tc>
          <w:tcPr>
            <w:tcW w:w="1339" w:type="dxa"/>
            <w:shd w:val="clear" w:color="auto" w:fill="auto"/>
            <w:tcMar>
              <w:top w:w="0" w:type="dxa"/>
              <w:left w:w="5" w:type="dxa"/>
              <w:bottom w:w="0" w:type="dxa"/>
              <w:right w:w="5" w:type="dxa"/>
            </w:tcMar>
          </w:tcPr>
          <w:p w14:paraId="00393DED" w14:textId="77777777" w:rsidR="00AF2126" w:rsidRPr="00D05C85" w:rsidRDefault="00AF2126" w:rsidP="00E70082">
            <w:pPr>
              <w:widowControl w:val="0"/>
              <w:spacing w:before="40" w:after="40" w:line="220" w:lineRule="exact"/>
              <w:ind w:left="57" w:right="57"/>
              <w:jc w:val="center"/>
              <w:rPr>
                <w:sz w:val="18"/>
                <w:szCs w:val="18"/>
                <w:lang w:val="fr-FR"/>
              </w:rPr>
            </w:pPr>
            <w:r w:rsidRPr="00D05C85">
              <w:rPr>
                <w:sz w:val="18"/>
                <w:szCs w:val="18"/>
                <w:lang w:val="fr-FR"/>
              </w:rPr>
              <w:t>Figure A3-V</w:t>
            </w:r>
          </w:p>
        </w:tc>
        <w:tc>
          <w:tcPr>
            <w:tcW w:w="1117" w:type="dxa"/>
            <w:shd w:val="clear" w:color="auto" w:fill="auto"/>
            <w:tcMar>
              <w:top w:w="0" w:type="dxa"/>
              <w:left w:w="5" w:type="dxa"/>
              <w:bottom w:w="0" w:type="dxa"/>
              <w:right w:w="5" w:type="dxa"/>
            </w:tcMar>
          </w:tcPr>
          <w:p w14:paraId="2F095D47" w14:textId="77777777" w:rsidR="00AF2126" w:rsidRPr="00D05C85" w:rsidRDefault="00AF2126" w:rsidP="00E70082">
            <w:pPr>
              <w:widowControl w:val="0"/>
              <w:spacing w:before="40" w:after="40" w:line="220" w:lineRule="exact"/>
              <w:ind w:left="57" w:right="57"/>
              <w:jc w:val="center"/>
              <w:rPr>
                <w:sz w:val="18"/>
                <w:szCs w:val="18"/>
                <w:lang w:val="fr-FR"/>
              </w:rPr>
            </w:pPr>
            <w:proofErr w:type="spellStart"/>
            <w:r w:rsidRPr="00D05C85">
              <w:rPr>
                <w:sz w:val="18"/>
                <w:szCs w:val="18"/>
                <w:lang w:val="fr-FR"/>
              </w:rPr>
              <w:t>s.o</w:t>
            </w:r>
            <w:proofErr w:type="spellEnd"/>
            <w:r w:rsidRPr="00D05C85">
              <w:rPr>
                <w:sz w:val="18"/>
                <w:szCs w:val="18"/>
                <w:lang w:val="fr-FR"/>
              </w:rPr>
              <w:t>.</w:t>
            </w:r>
          </w:p>
        </w:tc>
        <w:tc>
          <w:tcPr>
            <w:tcW w:w="992" w:type="dxa"/>
            <w:shd w:val="clear" w:color="auto" w:fill="auto"/>
            <w:tcMar>
              <w:top w:w="0" w:type="dxa"/>
              <w:left w:w="5" w:type="dxa"/>
              <w:bottom w:w="0" w:type="dxa"/>
              <w:right w:w="5" w:type="dxa"/>
            </w:tcMar>
          </w:tcPr>
          <w:p w14:paraId="154C3EC5" w14:textId="77777777" w:rsidR="00AF2126" w:rsidRPr="00D05C85" w:rsidRDefault="00AF2126" w:rsidP="00E70082">
            <w:pPr>
              <w:widowControl w:val="0"/>
              <w:spacing w:before="40" w:after="40" w:line="220" w:lineRule="exact"/>
              <w:ind w:left="57" w:right="57"/>
              <w:jc w:val="center"/>
              <w:rPr>
                <w:sz w:val="18"/>
                <w:szCs w:val="18"/>
                <w:lang w:val="fr-FR"/>
              </w:rPr>
            </w:pPr>
            <w:bookmarkStart w:id="15" w:name="_Hlk19004791"/>
            <w:bookmarkStart w:id="16" w:name="_Hlk19004208"/>
            <w:bookmarkEnd w:id="15"/>
            <w:bookmarkEnd w:id="16"/>
            <w:proofErr w:type="spellStart"/>
            <w:r w:rsidRPr="00D05C85">
              <w:rPr>
                <w:sz w:val="18"/>
                <w:szCs w:val="18"/>
                <w:lang w:val="fr-FR"/>
              </w:rPr>
              <w:t>s.o</w:t>
            </w:r>
            <w:proofErr w:type="spellEnd"/>
            <w:r w:rsidRPr="00D05C85">
              <w:rPr>
                <w:sz w:val="18"/>
                <w:szCs w:val="18"/>
                <w:lang w:val="fr-FR"/>
              </w:rPr>
              <w:t>.</w:t>
            </w:r>
          </w:p>
        </w:tc>
      </w:tr>
    </w:tbl>
    <w:p w14:paraId="030214B9" w14:textId="77777777" w:rsidR="00AF2126" w:rsidRPr="00D05C85" w:rsidRDefault="00AF2126" w:rsidP="00AF2126">
      <w:pPr>
        <w:pStyle w:val="SingleTxtG"/>
        <w:keepNext/>
        <w:spacing w:before="240"/>
        <w:ind w:left="2268" w:hanging="1134"/>
        <w:rPr>
          <w:lang w:val="fr-FR"/>
        </w:rPr>
      </w:pPr>
      <w:r w:rsidRPr="00D05C85">
        <w:rPr>
          <w:lang w:val="fr-FR"/>
        </w:rPr>
        <w:t>5.8.2</w:t>
      </w:r>
      <w:r w:rsidRPr="00D05C85">
        <w:rPr>
          <w:lang w:val="fr-FR"/>
        </w:rPr>
        <w:tab/>
        <w:t>Intensité lumineuse minimale sous les angles de visibilité géométrique :</w:t>
      </w:r>
    </w:p>
    <w:p w14:paraId="01E1B27C" w14:textId="77777777" w:rsidR="00AF2126" w:rsidRPr="00D05C85" w:rsidRDefault="00AF2126" w:rsidP="00AF2126">
      <w:pPr>
        <w:pStyle w:val="SingleTxtG"/>
        <w:ind w:left="2268"/>
        <w:rPr>
          <w:lang w:val="fr-FR"/>
        </w:rPr>
      </w:pPr>
      <w:r w:rsidRPr="00D05C85">
        <w:rPr>
          <w:lang w:val="fr-FR"/>
        </w:rPr>
        <w:tab/>
        <w:t>Pas de prescriptions.</w:t>
      </w:r>
    </w:p>
    <w:p w14:paraId="4A88F825" w14:textId="77777777" w:rsidR="00AF2126" w:rsidRPr="00D05C85" w:rsidRDefault="00AF2126" w:rsidP="00AF2126">
      <w:pPr>
        <w:pStyle w:val="SingleTxtG"/>
        <w:ind w:left="2268" w:hanging="1134"/>
        <w:rPr>
          <w:lang w:val="fr-FR"/>
        </w:rPr>
      </w:pPr>
      <w:r w:rsidRPr="00D05C85">
        <w:rPr>
          <w:lang w:val="fr-FR"/>
        </w:rPr>
        <w:t>5.8.3</w:t>
      </w:r>
      <w:r w:rsidRPr="00D05C85">
        <w:rPr>
          <w:lang w:val="fr-FR"/>
        </w:rPr>
        <w:tab/>
        <w:t>Superficie minimale ou maximale de la surface apparente :</w:t>
      </w:r>
    </w:p>
    <w:p w14:paraId="03A47DA8" w14:textId="77777777" w:rsidR="00AF2126" w:rsidRPr="00D05C85" w:rsidRDefault="00AF2126" w:rsidP="00AF2126">
      <w:pPr>
        <w:pStyle w:val="SingleTxtG"/>
        <w:ind w:left="2268"/>
        <w:rPr>
          <w:lang w:val="fr-FR"/>
        </w:rPr>
      </w:pPr>
      <w:r w:rsidRPr="00D05C85">
        <w:rPr>
          <w:lang w:val="fr-FR"/>
        </w:rPr>
        <w:tab/>
        <w:t>Pas de prescriptions.</w:t>
      </w:r>
    </w:p>
    <w:p w14:paraId="5875362D" w14:textId="77777777" w:rsidR="00AF2126" w:rsidRPr="00D05C85" w:rsidRDefault="00AF2126" w:rsidP="00AF2126">
      <w:pPr>
        <w:pStyle w:val="SingleTxtG"/>
        <w:ind w:left="2268" w:hanging="1134"/>
        <w:rPr>
          <w:lang w:val="fr-FR"/>
        </w:rPr>
      </w:pPr>
      <w:r w:rsidRPr="00D05C85">
        <w:rPr>
          <w:lang w:val="fr-FR"/>
        </w:rPr>
        <w:t>5.8.4</w:t>
      </w:r>
      <w:r w:rsidRPr="00D05C85">
        <w:rPr>
          <w:lang w:val="fr-FR"/>
        </w:rPr>
        <w:tab/>
        <w:t>Mesure :</w:t>
      </w:r>
    </w:p>
    <w:p w14:paraId="23AC3344" w14:textId="77777777" w:rsidR="00AF2126" w:rsidRPr="00D05C85" w:rsidRDefault="00AF2126" w:rsidP="00AF2126">
      <w:pPr>
        <w:pStyle w:val="SingleTxtG"/>
        <w:ind w:left="2268"/>
        <w:rPr>
          <w:lang w:val="fr-FR"/>
        </w:rPr>
      </w:pPr>
      <w:r w:rsidRPr="00D05C85">
        <w:rPr>
          <w:lang w:val="fr-FR"/>
        </w:rPr>
        <w:tab/>
        <w:t>Pas de prescriptions supplémentaires.</w:t>
      </w:r>
    </w:p>
    <w:p w14:paraId="20378628" w14:textId="77777777" w:rsidR="00AF2126" w:rsidRPr="00D05C85" w:rsidRDefault="00AF2126" w:rsidP="00AF2126">
      <w:pPr>
        <w:pStyle w:val="SingleTxtG"/>
        <w:ind w:left="2268" w:hanging="1134"/>
        <w:rPr>
          <w:lang w:val="fr-FR"/>
        </w:rPr>
      </w:pPr>
      <w:r w:rsidRPr="00D05C85">
        <w:rPr>
          <w:lang w:val="fr-FR"/>
        </w:rPr>
        <w:t>5.8.5</w:t>
      </w:r>
      <w:r w:rsidRPr="00D05C85">
        <w:rPr>
          <w:lang w:val="fr-FR"/>
        </w:rPr>
        <w:tab/>
        <w:t>Prescriptions supplémentaires :</w:t>
      </w:r>
    </w:p>
    <w:p w14:paraId="0D2266D4" w14:textId="77777777" w:rsidR="00AF2126" w:rsidRPr="00D05C85" w:rsidRDefault="00AF2126" w:rsidP="00AF2126">
      <w:pPr>
        <w:pStyle w:val="SingleTxtG"/>
        <w:ind w:left="2268"/>
        <w:rPr>
          <w:lang w:val="fr-FR"/>
        </w:rPr>
      </w:pPr>
      <w:r w:rsidRPr="00D05C85">
        <w:rPr>
          <w:lang w:val="fr-FR"/>
        </w:rPr>
        <w:tab/>
        <w:t>Aucune.</w:t>
      </w:r>
    </w:p>
    <w:p w14:paraId="7BCF92A0" w14:textId="77777777" w:rsidR="00AF2126" w:rsidRPr="00D05C85" w:rsidRDefault="00AF2126" w:rsidP="00AF2126">
      <w:pPr>
        <w:pStyle w:val="SingleTxtG"/>
        <w:ind w:left="2268" w:hanging="1134"/>
        <w:rPr>
          <w:lang w:val="fr-FR"/>
        </w:rPr>
      </w:pPr>
      <w:r w:rsidRPr="00D05C85">
        <w:rPr>
          <w:lang w:val="fr-FR"/>
        </w:rPr>
        <w:t>5.8.6</w:t>
      </w:r>
      <w:r w:rsidRPr="00D05C85">
        <w:rPr>
          <w:lang w:val="fr-FR"/>
        </w:rPr>
        <w:tab/>
        <w:t>Dispositions applicables en cas de défaillance :</w:t>
      </w:r>
    </w:p>
    <w:p w14:paraId="65390C7E" w14:textId="77777777" w:rsidR="00AF2126" w:rsidRPr="00D05C85" w:rsidRDefault="00AF2126" w:rsidP="00AF2126">
      <w:pPr>
        <w:pStyle w:val="SingleTxtG"/>
        <w:ind w:left="2268"/>
        <w:rPr>
          <w:lang w:val="fr-FR"/>
        </w:rPr>
      </w:pPr>
      <w:r w:rsidRPr="00D05C85">
        <w:rPr>
          <w:lang w:val="fr-FR"/>
        </w:rPr>
        <w:tab/>
        <w:t>Voir le paragraphe 4.6.</w:t>
      </w:r>
    </w:p>
    <w:p w14:paraId="58A12E17" w14:textId="77777777" w:rsidR="00AF2126" w:rsidRPr="00D05C85" w:rsidRDefault="00AF2126" w:rsidP="00AF2126">
      <w:pPr>
        <w:pStyle w:val="SingleTxtG"/>
        <w:ind w:left="2268" w:hanging="1134"/>
        <w:rPr>
          <w:lang w:val="fr-FR"/>
        </w:rPr>
      </w:pPr>
      <w:r w:rsidRPr="00D05C85">
        <w:rPr>
          <w:lang w:val="fr-FR"/>
        </w:rPr>
        <w:t>5.8.7</w:t>
      </w:r>
      <w:r w:rsidRPr="00D05C85">
        <w:rPr>
          <w:lang w:val="fr-FR"/>
        </w:rPr>
        <w:tab/>
        <w:t>Couleur :</w:t>
      </w:r>
    </w:p>
    <w:p w14:paraId="3A720CE9" w14:textId="77777777" w:rsidR="00AF2126" w:rsidRPr="00D05C85" w:rsidRDefault="00AF2126" w:rsidP="00AF2126">
      <w:pPr>
        <w:pStyle w:val="SingleTxtG"/>
        <w:ind w:left="2268"/>
        <w:rPr>
          <w:lang w:val="fr-FR"/>
        </w:rPr>
      </w:pPr>
      <w:r w:rsidRPr="00D05C85">
        <w:rPr>
          <w:lang w:val="fr-FR"/>
        </w:rPr>
        <w:tab/>
        <w:t>La couleur de la lumière émise doit être blanche.</w:t>
      </w:r>
    </w:p>
    <w:p w14:paraId="44661758" w14:textId="728AC8D2" w:rsidR="00AF2126" w:rsidRPr="00D05C85" w:rsidRDefault="00AF2126" w:rsidP="00AF2126">
      <w:pPr>
        <w:pStyle w:val="SingleTxtG"/>
        <w:ind w:left="2268" w:hanging="1134"/>
        <w:rPr>
          <w:lang w:val="fr-FR"/>
        </w:rPr>
      </w:pPr>
      <w:r w:rsidRPr="00D05C85">
        <w:rPr>
          <w:lang w:val="fr-FR"/>
        </w:rPr>
        <w:t>5.9</w:t>
      </w:r>
      <w:r w:rsidRPr="00D05C85">
        <w:rPr>
          <w:lang w:val="fr-FR"/>
        </w:rPr>
        <w:tab/>
        <w:t xml:space="preserve">Feux de brouillard arrière (F1 </w:t>
      </w:r>
      <w:r w:rsidR="00910B33">
        <w:rPr>
          <w:lang w:val="fr-FR"/>
        </w:rPr>
        <w:t xml:space="preserve">et </w:t>
      </w:r>
      <w:r w:rsidRPr="00D05C85">
        <w:rPr>
          <w:lang w:val="fr-FR"/>
        </w:rPr>
        <w:t>F2)</w:t>
      </w:r>
    </w:p>
    <w:p w14:paraId="1B9A5680" w14:textId="2ED36940" w:rsidR="00AF2126" w:rsidRPr="00D05C85" w:rsidRDefault="00AF2126" w:rsidP="00AF2126">
      <w:pPr>
        <w:pStyle w:val="SingleTxtG"/>
        <w:ind w:left="2268" w:hanging="1134"/>
        <w:rPr>
          <w:lang w:val="fr-FR"/>
        </w:rPr>
      </w:pPr>
      <w:r w:rsidRPr="00D05C85">
        <w:rPr>
          <w:lang w:val="fr-FR"/>
        </w:rPr>
        <w:t>5.9.1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0AF52393" w14:textId="77777777" w:rsidR="00AF2126" w:rsidRPr="00D05C85" w:rsidRDefault="00AF2126" w:rsidP="00AF2126">
      <w:pPr>
        <w:pStyle w:val="SingleTxtG"/>
        <w:ind w:left="2268"/>
        <w:rPr>
          <w:lang w:val="fr-FR"/>
        </w:rPr>
      </w:pPr>
      <w:r w:rsidRPr="00D05C85">
        <w:rPr>
          <w:lang w:val="fr-FR"/>
        </w:rPr>
        <w:tab/>
        <w:t>La lumière émise par chacun des deux échantillons fournis doit satisfaire aux prescriptions du tableau 11.</w:t>
      </w:r>
    </w:p>
    <w:p w14:paraId="79628548" w14:textId="77777777" w:rsidR="00AF2126" w:rsidRPr="00D05C85" w:rsidRDefault="00AF2126" w:rsidP="00AF2126">
      <w:pPr>
        <w:pStyle w:val="Titre1"/>
        <w:tabs>
          <w:tab w:val="left" w:pos="1701"/>
          <w:tab w:val="left" w:pos="2268"/>
          <w:tab w:val="left" w:pos="2835"/>
        </w:tabs>
        <w:spacing w:after="120"/>
        <w:rPr>
          <w:rStyle w:val="Carpredefinitoparagrafo1"/>
          <w:b/>
          <w:bCs/>
          <w:lang w:val="fr-FR"/>
        </w:rPr>
      </w:pPr>
      <w:r w:rsidRPr="00D05C85">
        <w:rPr>
          <w:lang w:val="fr-FR"/>
        </w:rPr>
        <w:t>Tableau 11</w:t>
      </w:r>
      <w:r w:rsidRPr="00D05C85">
        <w:rPr>
          <w:lang w:val="fr-FR"/>
        </w:rPr>
        <w:br/>
      </w:r>
      <w:r w:rsidRPr="00D05C85">
        <w:rPr>
          <w:b/>
          <w:bCs/>
          <w:lang w:val="fr-FR"/>
        </w:rPr>
        <w:t>Intensité lumineuse des feux de brouillard arrière</w:t>
      </w:r>
    </w:p>
    <w:tbl>
      <w:tblPr>
        <w:tblStyle w:val="Grilledutableau"/>
        <w:tblW w:w="8505" w:type="dxa"/>
        <w:tblInd w:w="1129" w:type="dxa"/>
        <w:tblLayout w:type="fixed"/>
        <w:tblLook w:val="04A0" w:firstRow="1" w:lastRow="0" w:firstColumn="1" w:lastColumn="0" w:noHBand="0" w:noVBand="1"/>
      </w:tblPr>
      <w:tblGrid>
        <w:gridCol w:w="1418"/>
        <w:gridCol w:w="1276"/>
        <w:gridCol w:w="2409"/>
        <w:gridCol w:w="1276"/>
        <w:gridCol w:w="1134"/>
        <w:gridCol w:w="992"/>
      </w:tblGrid>
      <w:tr w:rsidR="00AF2126" w:rsidRPr="00D05C85" w14:paraId="057B3698" w14:textId="77777777" w:rsidTr="00BF64F4">
        <w:tc>
          <w:tcPr>
            <w:tcW w:w="1418" w:type="dxa"/>
            <w:vMerge w:val="restart"/>
            <w:vAlign w:val="bottom"/>
          </w:tcPr>
          <w:p w14:paraId="53A014EA" w14:textId="5D29394B"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 xml:space="preserve">Feux de brouillard arrière </w:t>
            </w:r>
            <w:r w:rsidR="00BF64F4" w:rsidRPr="00D05C85">
              <w:rPr>
                <w:b/>
                <w:bCs/>
                <w:i/>
                <w:iCs/>
                <w:sz w:val="16"/>
                <w:szCs w:val="16"/>
                <w:lang w:val="fr-FR"/>
              </w:rPr>
              <w:br/>
            </w:r>
            <w:r w:rsidRPr="00D05C85">
              <w:rPr>
                <w:b/>
                <w:bCs/>
                <w:i/>
                <w:iCs/>
                <w:sz w:val="16"/>
                <w:szCs w:val="16"/>
                <w:lang w:val="fr-FR"/>
              </w:rPr>
              <w:t>de la catégorie</w:t>
            </w:r>
          </w:p>
        </w:tc>
        <w:tc>
          <w:tcPr>
            <w:tcW w:w="1276" w:type="dxa"/>
            <w:vMerge w:val="restart"/>
            <w:vAlign w:val="bottom"/>
          </w:tcPr>
          <w:p w14:paraId="3F4F354B" w14:textId="32A25019"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Intensité lumineuse minimale en cd</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a))</w:t>
            </w:r>
          </w:p>
        </w:tc>
        <w:tc>
          <w:tcPr>
            <w:tcW w:w="2409" w:type="dxa"/>
            <w:vMerge w:val="restart"/>
            <w:vAlign w:val="bottom"/>
          </w:tcPr>
          <w:p w14:paraId="5CBC4161" w14:textId="5D8BF455"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 xml:space="preserve">Intensité lumineuse maximale </w:t>
            </w:r>
            <w:r w:rsidR="00BF64F4" w:rsidRPr="00D05C85">
              <w:rPr>
                <w:b/>
                <w:bCs/>
                <w:i/>
                <w:iCs/>
                <w:sz w:val="16"/>
                <w:szCs w:val="16"/>
                <w:lang w:val="fr-FR"/>
              </w:rPr>
              <w:br/>
            </w:r>
            <w:r w:rsidRPr="00D05C85">
              <w:rPr>
                <w:b/>
                <w:bCs/>
                <w:i/>
                <w:iCs/>
                <w:sz w:val="16"/>
                <w:szCs w:val="16"/>
                <w:lang w:val="fr-FR"/>
              </w:rPr>
              <w:t>(en cd) lorsque le feu est utilisé</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b))</w:t>
            </w:r>
          </w:p>
        </w:tc>
        <w:tc>
          <w:tcPr>
            <w:tcW w:w="1276" w:type="dxa"/>
            <w:vMerge w:val="restart"/>
            <w:vAlign w:val="bottom"/>
          </w:tcPr>
          <w:p w14:paraId="3D251CDA" w14:textId="5CFFD49A"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 xml:space="preserve">Répartition normalisée </w:t>
            </w:r>
            <w:r w:rsidR="00BF64F4" w:rsidRPr="00D05C85">
              <w:rPr>
                <w:b/>
                <w:bCs/>
                <w:i/>
                <w:iCs/>
                <w:sz w:val="16"/>
                <w:szCs w:val="16"/>
                <w:lang w:val="fr-FR"/>
              </w:rPr>
              <w:br/>
            </w:r>
            <w:r w:rsidRPr="00D05C85">
              <w:rPr>
                <w:b/>
                <w:bCs/>
                <w:i/>
                <w:iCs/>
                <w:sz w:val="16"/>
                <w:szCs w:val="16"/>
                <w:lang w:val="fr-FR"/>
              </w:rPr>
              <w:t>de la lumière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c))</w:t>
            </w:r>
          </w:p>
        </w:tc>
        <w:tc>
          <w:tcPr>
            <w:tcW w:w="2126" w:type="dxa"/>
            <w:gridSpan w:val="2"/>
            <w:vAlign w:val="bottom"/>
          </w:tcPr>
          <w:p w14:paraId="53D09F47" w14:textId="17A54FD9"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Angles de visibilité géométrique</w:t>
            </w:r>
            <w:r w:rsidRPr="00D05C85">
              <w:rPr>
                <w:b/>
                <w:bCs/>
                <w:i/>
                <w:iCs/>
                <w:sz w:val="16"/>
                <w:szCs w:val="16"/>
                <w:lang w:val="fr-FR"/>
              </w:rPr>
              <w:br/>
              <w:t>(</w:t>
            </w:r>
            <w:r w:rsidR="005B36F1" w:rsidRPr="00D05C85">
              <w:rPr>
                <w:b/>
                <w:bCs/>
                <w:i/>
                <w:iCs/>
                <w:sz w:val="16"/>
                <w:szCs w:val="16"/>
                <w:lang w:val="fr-FR"/>
              </w:rPr>
              <w:t>par. </w:t>
            </w:r>
            <w:r w:rsidRPr="00D05C85">
              <w:rPr>
                <w:b/>
                <w:bCs/>
                <w:i/>
                <w:iCs/>
                <w:sz w:val="16"/>
                <w:szCs w:val="16"/>
                <w:lang w:val="fr-FR"/>
              </w:rPr>
              <w:t>4.8.3.1</w:t>
            </w:r>
            <w:r w:rsidRPr="00D05C85">
              <w:rPr>
                <w:sz w:val="16"/>
                <w:szCs w:val="16"/>
                <w:lang w:val="fr-FR"/>
              </w:rPr>
              <w:t xml:space="preserve"> </w:t>
            </w:r>
            <w:r w:rsidRPr="00D05C85">
              <w:rPr>
                <w:b/>
                <w:bCs/>
                <w:i/>
                <w:iCs/>
                <w:sz w:val="16"/>
                <w:szCs w:val="16"/>
                <w:lang w:val="fr-FR"/>
              </w:rPr>
              <w:t>d))</w:t>
            </w:r>
          </w:p>
        </w:tc>
      </w:tr>
      <w:tr w:rsidR="00AF2126" w:rsidRPr="00D05C85" w14:paraId="4EC9F500" w14:textId="77777777" w:rsidTr="00BF64F4">
        <w:tc>
          <w:tcPr>
            <w:tcW w:w="1418" w:type="dxa"/>
            <w:vMerge/>
            <w:vAlign w:val="bottom"/>
          </w:tcPr>
          <w:p w14:paraId="62EA29DA" w14:textId="77777777" w:rsidR="00AF2126" w:rsidRPr="00D05C85" w:rsidRDefault="00AF2126" w:rsidP="00E70082">
            <w:pPr>
              <w:spacing w:before="80" w:after="80" w:line="200" w:lineRule="exact"/>
              <w:jc w:val="center"/>
              <w:rPr>
                <w:b/>
                <w:bCs/>
                <w:i/>
                <w:iCs/>
                <w:sz w:val="16"/>
                <w:szCs w:val="16"/>
                <w:lang w:val="fr-FR"/>
              </w:rPr>
            </w:pPr>
          </w:p>
        </w:tc>
        <w:tc>
          <w:tcPr>
            <w:tcW w:w="1276" w:type="dxa"/>
            <w:vMerge/>
            <w:vAlign w:val="bottom"/>
          </w:tcPr>
          <w:p w14:paraId="4C5478B8" w14:textId="77777777" w:rsidR="00AF2126" w:rsidRPr="00D05C85" w:rsidRDefault="00AF2126" w:rsidP="00E70082">
            <w:pPr>
              <w:spacing w:before="80" w:after="80" w:line="200" w:lineRule="exact"/>
              <w:jc w:val="center"/>
              <w:rPr>
                <w:b/>
                <w:bCs/>
                <w:i/>
                <w:iCs/>
                <w:sz w:val="16"/>
                <w:szCs w:val="16"/>
                <w:lang w:val="fr-FR"/>
              </w:rPr>
            </w:pPr>
          </w:p>
        </w:tc>
        <w:tc>
          <w:tcPr>
            <w:tcW w:w="2409" w:type="dxa"/>
            <w:vMerge/>
            <w:vAlign w:val="bottom"/>
          </w:tcPr>
          <w:p w14:paraId="5FA81398" w14:textId="77777777" w:rsidR="00AF2126" w:rsidRPr="00D05C85" w:rsidRDefault="00AF2126" w:rsidP="00E70082">
            <w:pPr>
              <w:spacing w:before="80" w:after="80" w:line="200" w:lineRule="exact"/>
              <w:jc w:val="center"/>
              <w:rPr>
                <w:b/>
                <w:bCs/>
                <w:i/>
                <w:iCs/>
                <w:sz w:val="16"/>
                <w:szCs w:val="16"/>
                <w:lang w:val="fr-FR"/>
              </w:rPr>
            </w:pPr>
          </w:p>
        </w:tc>
        <w:tc>
          <w:tcPr>
            <w:tcW w:w="1276" w:type="dxa"/>
            <w:vMerge/>
            <w:vAlign w:val="bottom"/>
          </w:tcPr>
          <w:p w14:paraId="4E048582" w14:textId="77777777" w:rsidR="00AF2126" w:rsidRPr="00D05C85" w:rsidRDefault="00AF2126" w:rsidP="00E70082">
            <w:pPr>
              <w:spacing w:before="80" w:after="80" w:line="200" w:lineRule="exact"/>
              <w:jc w:val="center"/>
              <w:rPr>
                <w:b/>
                <w:bCs/>
                <w:i/>
                <w:iCs/>
                <w:sz w:val="16"/>
                <w:szCs w:val="16"/>
                <w:lang w:val="fr-FR"/>
              </w:rPr>
            </w:pPr>
          </w:p>
        </w:tc>
        <w:tc>
          <w:tcPr>
            <w:tcW w:w="1134" w:type="dxa"/>
            <w:vAlign w:val="bottom"/>
          </w:tcPr>
          <w:p w14:paraId="1E82BD85" w14:textId="77777777"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Définition</w:t>
            </w:r>
          </w:p>
        </w:tc>
        <w:tc>
          <w:tcPr>
            <w:tcW w:w="992" w:type="dxa"/>
            <w:vAlign w:val="bottom"/>
          </w:tcPr>
          <w:p w14:paraId="18AD635F" w14:textId="7FAAF82D" w:rsidR="00AF2126" w:rsidRPr="00D05C85" w:rsidRDefault="00AF2126" w:rsidP="00E70082">
            <w:pPr>
              <w:spacing w:before="80" w:after="80" w:line="200" w:lineRule="exact"/>
              <w:jc w:val="center"/>
              <w:rPr>
                <w:b/>
                <w:bCs/>
                <w:i/>
                <w:iCs/>
                <w:sz w:val="16"/>
                <w:szCs w:val="16"/>
                <w:lang w:val="fr-FR"/>
              </w:rPr>
            </w:pPr>
            <w:r w:rsidRPr="00D05C85">
              <w:rPr>
                <w:b/>
                <w:bCs/>
                <w:i/>
                <w:iCs/>
                <w:sz w:val="16"/>
                <w:szCs w:val="16"/>
                <w:lang w:val="fr-FR"/>
              </w:rPr>
              <w:t xml:space="preserve">Intensité lumineuse minimale </w:t>
            </w:r>
            <w:r w:rsidR="00BF64F4" w:rsidRPr="00D05C85">
              <w:rPr>
                <w:b/>
                <w:bCs/>
                <w:i/>
                <w:iCs/>
                <w:sz w:val="16"/>
                <w:szCs w:val="16"/>
                <w:lang w:val="fr-FR"/>
              </w:rPr>
              <w:br/>
            </w:r>
            <w:r w:rsidRPr="00D05C85">
              <w:rPr>
                <w:b/>
                <w:bCs/>
                <w:i/>
                <w:iCs/>
                <w:sz w:val="16"/>
                <w:szCs w:val="16"/>
                <w:lang w:val="fr-FR"/>
              </w:rPr>
              <w:t>en cd</w:t>
            </w:r>
          </w:p>
        </w:tc>
      </w:tr>
      <w:tr w:rsidR="00AF2126" w:rsidRPr="00D05C85" w14:paraId="76BB83C7" w14:textId="77777777" w:rsidTr="00BF64F4">
        <w:tc>
          <w:tcPr>
            <w:tcW w:w="1418" w:type="dxa"/>
            <w:vAlign w:val="center"/>
          </w:tcPr>
          <w:p w14:paraId="34C8D166"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F1 (intensité constante)</w:t>
            </w:r>
          </w:p>
        </w:tc>
        <w:tc>
          <w:tcPr>
            <w:tcW w:w="1276" w:type="dxa"/>
            <w:vAlign w:val="center"/>
          </w:tcPr>
          <w:p w14:paraId="17160C13"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1,50∙10</w:t>
            </w:r>
            <w:r w:rsidRPr="00D05C85">
              <w:rPr>
                <w:sz w:val="18"/>
                <w:szCs w:val="18"/>
                <w:vertAlign w:val="superscript"/>
                <w:lang w:val="fr-FR"/>
              </w:rPr>
              <w:t>2</w:t>
            </w:r>
          </w:p>
        </w:tc>
        <w:tc>
          <w:tcPr>
            <w:tcW w:w="2409" w:type="dxa"/>
            <w:vAlign w:val="center"/>
          </w:tcPr>
          <w:p w14:paraId="43D9FC75"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3,00∙10</w:t>
            </w:r>
            <w:r w:rsidRPr="00D05C85">
              <w:rPr>
                <w:sz w:val="18"/>
                <w:szCs w:val="18"/>
                <w:vertAlign w:val="superscript"/>
                <w:lang w:val="fr-FR"/>
              </w:rPr>
              <w:t>2</w:t>
            </w:r>
          </w:p>
        </w:tc>
        <w:tc>
          <w:tcPr>
            <w:tcW w:w="1276" w:type="dxa"/>
            <w:vAlign w:val="center"/>
          </w:tcPr>
          <w:p w14:paraId="1CB70041"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Figure A3-VI</w:t>
            </w:r>
          </w:p>
        </w:tc>
        <w:tc>
          <w:tcPr>
            <w:tcW w:w="1134" w:type="dxa"/>
            <w:vAlign w:val="center"/>
          </w:tcPr>
          <w:p w14:paraId="339178BC" w14:textId="77777777" w:rsidR="00AF2126" w:rsidRPr="00D05C85" w:rsidRDefault="00AF2126" w:rsidP="00E70082">
            <w:pPr>
              <w:spacing w:before="40" w:after="40" w:line="220" w:lineRule="exact"/>
              <w:jc w:val="center"/>
              <w:rPr>
                <w:sz w:val="18"/>
                <w:szCs w:val="18"/>
                <w:lang w:val="fr-FR"/>
              </w:rPr>
            </w:pPr>
            <w:proofErr w:type="spellStart"/>
            <w:r w:rsidRPr="00D05C85">
              <w:rPr>
                <w:sz w:val="18"/>
                <w:szCs w:val="18"/>
                <w:lang w:val="fr-FR"/>
              </w:rPr>
              <w:t>s.o</w:t>
            </w:r>
            <w:proofErr w:type="spellEnd"/>
            <w:r w:rsidRPr="00D05C85">
              <w:rPr>
                <w:sz w:val="18"/>
                <w:szCs w:val="18"/>
                <w:lang w:val="fr-FR"/>
              </w:rPr>
              <w:t>.</w:t>
            </w:r>
          </w:p>
        </w:tc>
        <w:tc>
          <w:tcPr>
            <w:tcW w:w="992" w:type="dxa"/>
            <w:vAlign w:val="center"/>
          </w:tcPr>
          <w:p w14:paraId="6ED183D5" w14:textId="77777777" w:rsidR="00AF2126" w:rsidRPr="00D05C85" w:rsidRDefault="00AF2126" w:rsidP="00E70082">
            <w:pPr>
              <w:spacing w:before="40" w:after="40" w:line="220" w:lineRule="exact"/>
              <w:jc w:val="center"/>
              <w:rPr>
                <w:sz w:val="18"/>
                <w:szCs w:val="18"/>
                <w:lang w:val="fr-FR"/>
              </w:rPr>
            </w:pPr>
            <w:proofErr w:type="spellStart"/>
            <w:r w:rsidRPr="00D05C85">
              <w:rPr>
                <w:sz w:val="18"/>
                <w:szCs w:val="18"/>
                <w:lang w:val="fr-FR"/>
              </w:rPr>
              <w:t>s.o</w:t>
            </w:r>
            <w:proofErr w:type="spellEnd"/>
            <w:r w:rsidRPr="00D05C85">
              <w:rPr>
                <w:sz w:val="18"/>
                <w:szCs w:val="18"/>
                <w:lang w:val="fr-FR"/>
              </w:rPr>
              <w:t>.</w:t>
            </w:r>
          </w:p>
        </w:tc>
      </w:tr>
      <w:tr w:rsidR="00AF2126" w:rsidRPr="00D05C85" w14:paraId="1093B076" w14:textId="77777777" w:rsidTr="00BF64F4">
        <w:tc>
          <w:tcPr>
            <w:tcW w:w="1418" w:type="dxa"/>
            <w:vAlign w:val="center"/>
          </w:tcPr>
          <w:p w14:paraId="12BB5DCF"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F2 (intensité variable)</w:t>
            </w:r>
          </w:p>
        </w:tc>
        <w:tc>
          <w:tcPr>
            <w:tcW w:w="1276" w:type="dxa"/>
            <w:vAlign w:val="center"/>
          </w:tcPr>
          <w:p w14:paraId="390A930F"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1,50∙10</w:t>
            </w:r>
            <w:r w:rsidRPr="00D05C85">
              <w:rPr>
                <w:sz w:val="18"/>
                <w:szCs w:val="18"/>
                <w:vertAlign w:val="superscript"/>
                <w:lang w:val="fr-FR"/>
              </w:rPr>
              <w:t>2</w:t>
            </w:r>
          </w:p>
        </w:tc>
        <w:tc>
          <w:tcPr>
            <w:tcW w:w="2409" w:type="dxa"/>
            <w:vAlign w:val="center"/>
          </w:tcPr>
          <w:p w14:paraId="65B87D84"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8,40∙10</w:t>
            </w:r>
            <w:r w:rsidRPr="00D05C85">
              <w:rPr>
                <w:sz w:val="18"/>
                <w:szCs w:val="18"/>
                <w:vertAlign w:val="superscript"/>
                <w:lang w:val="fr-FR"/>
              </w:rPr>
              <w:t>2</w:t>
            </w:r>
          </w:p>
        </w:tc>
        <w:tc>
          <w:tcPr>
            <w:tcW w:w="1276" w:type="dxa"/>
            <w:vAlign w:val="center"/>
          </w:tcPr>
          <w:p w14:paraId="71B40D56" w14:textId="77777777" w:rsidR="00AF2126" w:rsidRPr="00D05C85" w:rsidRDefault="00AF2126" w:rsidP="00E70082">
            <w:pPr>
              <w:spacing w:before="40" w:after="40" w:line="220" w:lineRule="exact"/>
              <w:jc w:val="center"/>
              <w:rPr>
                <w:sz w:val="18"/>
                <w:szCs w:val="18"/>
                <w:lang w:val="fr-FR"/>
              </w:rPr>
            </w:pPr>
            <w:r w:rsidRPr="00D05C85">
              <w:rPr>
                <w:sz w:val="18"/>
                <w:szCs w:val="18"/>
                <w:lang w:val="fr-FR"/>
              </w:rPr>
              <w:t>Figure A3-VI</w:t>
            </w:r>
          </w:p>
        </w:tc>
        <w:tc>
          <w:tcPr>
            <w:tcW w:w="1134" w:type="dxa"/>
            <w:vAlign w:val="center"/>
          </w:tcPr>
          <w:p w14:paraId="23709B06" w14:textId="77777777" w:rsidR="00AF2126" w:rsidRPr="00D05C85" w:rsidRDefault="00AF2126" w:rsidP="00E70082">
            <w:pPr>
              <w:spacing w:before="40" w:after="40" w:line="220" w:lineRule="exact"/>
              <w:jc w:val="center"/>
              <w:rPr>
                <w:sz w:val="18"/>
                <w:szCs w:val="18"/>
                <w:lang w:val="fr-FR"/>
              </w:rPr>
            </w:pPr>
            <w:proofErr w:type="spellStart"/>
            <w:r w:rsidRPr="00D05C85">
              <w:rPr>
                <w:sz w:val="18"/>
                <w:szCs w:val="18"/>
                <w:lang w:val="fr-FR"/>
              </w:rPr>
              <w:t>s.o</w:t>
            </w:r>
            <w:proofErr w:type="spellEnd"/>
            <w:r w:rsidRPr="00D05C85">
              <w:rPr>
                <w:sz w:val="18"/>
                <w:szCs w:val="18"/>
                <w:lang w:val="fr-FR"/>
              </w:rPr>
              <w:t>.</w:t>
            </w:r>
          </w:p>
        </w:tc>
        <w:tc>
          <w:tcPr>
            <w:tcW w:w="992" w:type="dxa"/>
            <w:vAlign w:val="center"/>
          </w:tcPr>
          <w:p w14:paraId="31F7F58B" w14:textId="77777777" w:rsidR="00AF2126" w:rsidRPr="00D05C85" w:rsidRDefault="00AF2126" w:rsidP="00E70082">
            <w:pPr>
              <w:spacing w:before="40" w:after="40" w:line="220" w:lineRule="exact"/>
              <w:jc w:val="center"/>
              <w:rPr>
                <w:sz w:val="18"/>
                <w:szCs w:val="18"/>
                <w:lang w:val="fr-FR"/>
              </w:rPr>
            </w:pPr>
            <w:proofErr w:type="spellStart"/>
            <w:r w:rsidRPr="00D05C85">
              <w:rPr>
                <w:sz w:val="18"/>
                <w:szCs w:val="18"/>
                <w:lang w:val="fr-FR"/>
              </w:rPr>
              <w:t>s.o</w:t>
            </w:r>
            <w:proofErr w:type="spellEnd"/>
            <w:r w:rsidRPr="00D05C85">
              <w:rPr>
                <w:sz w:val="18"/>
                <w:szCs w:val="18"/>
                <w:lang w:val="fr-FR"/>
              </w:rPr>
              <w:t>.</w:t>
            </w:r>
          </w:p>
        </w:tc>
      </w:tr>
    </w:tbl>
    <w:p w14:paraId="0CE565FA" w14:textId="77777777" w:rsidR="00AF2126" w:rsidRPr="00D05C85" w:rsidRDefault="00AF2126" w:rsidP="00AF2126">
      <w:pPr>
        <w:pStyle w:val="SingleTxtG"/>
        <w:keepNext/>
        <w:spacing w:before="240"/>
        <w:ind w:left="2268" w:hanging="1134"/>
        <w:rPr>
          <w:lang w:val="fr-FR"/>
        </w:rPr>
      </w:pPr>
      <w:r w:rsidRPr="00D05C85">
        <w:rPr>
          <w:lang w:val="fr-FR"/>
        </w:rPr>
        <w:t>5.9.2</w:t>
      </w:r>
      <w:r w:rsidRPr="00D05C85">
        <w:rPr>
          <w:lang w:val="fr-FR"/>
        </w:rPr>
        <w:tab/>
        <w:t>Intensité lumineuse minimale sous les angles de visibilité géométrique :</w:t>
      </w:r>
    </w:p>
    <w:p w14:paraId="5785E9C2" w14:textId="77777777" w:rsidR="00AF2126" w:rsidRPr="00D05C85" w:rsidRDefault="00AF2126" w:rsidP="00AF2126">
      <w:pPr>
        <w:pStyle w:val="SingleTxtG"/>
        <w:ind w:left="2268"/>
        <w:rPr>
          <w:lang w:val="fr-FR"/>
        </w:rPr>
      </w:pPr>
      <w:r w:rsidRPr="00D05C85">
        <w:rPr>
          <w:lang w:val="fr-FR"/>
        </w:rPr>
        <w:tab/>
        <w:t>Pas de prescriptions.</w:t>
      </w:r>
    </w:p>
    <w:p w14:paraId="47658B52" w14:textId="77777777" w:rsidR="00AF2126" w:rsidRPr="00D05C85" w:rsidRDefault="00AF2126" w:rsidP="00AF2126">
      <w:pPr>
        <w:pStyle w:val="SingleTxtG"/>
        <w:ind w:left="2268" w:hanging="1134"/>
        <w:rPr>
          <w:lang w:val="fr-FR"/>
        </w:rPr>
      </w:pPr>
      <w:r w:rsidRPr="00D05C85">
        <w:rPr>
          <w:lang w:val="fr-FR"/>
        </w:rPr>
        <w:lastRenderedPageBreak/>
        <w:t>5.9.3</w:t>
      </w:r>
      <w:r w:rsidRPr="00D05C85">
        <w:rPr>
          <w:lang w:val="fr-FR"/>
        </w:rPr>
        <w:tab/>
        <w:t>Superficie minimale ou maximale de la surface apparente :</w:t>
      </w:r>
    </w:p>
    <w:p w14:paraId="1D9EAC72" w14:textId="77777777" w:rsidR="00AF2126" w:rsidRPr="00D05C85" w:rsidRDefault="00AF2126" w:rsidP="00AF2126">
      <w:pPr>
        <w:pStyle w:val="SingleTxtG"/>
        <w:ind w:left="2268"/>
        <w:rPr>
          <w:lang w:val="fr-FR"/>
        </w:rPr>
      </w:pPr>
      <w:r w:rsidRPr="00D05C85">
        <w:rPr>
          <w:lang w:val="fr-FR"/>
        </w:rPr>
        <w:tab/>
        <w:t>La superficie de la surface apparente dans la direction de l’axe de référence ne doit pas dépasser 140 cm</w:t>
      </w:r>
      <w:r w:rsidRPr="00D05C85">
        <w:rPr>
          <w:vertAlign w:val="superscript"/>
          <w:lang w:val="fr-FR"/>
        </w:rPr>
        <w:t>2</w:t>
      </w:r>
      <w:r w:rsidRPr="00D05C85">
        <w:rPr>
          <w:lang w:val="fr-FR"/>
        </w:rPr>
        <w:t>.</w:t>
      </w:r>
    </w:p>
    <w:p w14:paraId="6B4A5B37" w14:textId="77777777" w:rsidR="00AF2126" w:rsidRPr="00D05C85" w:rsidRDefault="00AF2126" w:rsidP="00AF2126">
      <w:pPr>
        <w:pStyle w:val="SingleTxtG"/>
        <w:ind w:left="2268" w:hanging="1134"/>
        <w:rPr>
          <w:lang w:val="fr-FR"/>
        </w:rPr>
      </w:pPr>
      <w:r w:rsidRPr="00D05C85">
        <w:rPr>
          <w:lang w:val="fr-FR"/>
        </w:rPr>
        <w:t>5.9.4</w:t>
      </w:r>
      <w:r w:rsidRPr="00D05C85">
        <w:rPr>
          <w:lang w:val="fr-FR"/>
        </w:rPr>
        <w:tab/>
        <w:t>Mesure :</w:t>
      </w:r>
    </w:p>
    <w:p w14:paraId="1E9A49F7" w14:textId="77777777" w:rsidR="00AF2126" w:rsidRPr="00D05C85" w:rsidRDefault="00AF2126" w:rsidP="00AF2126">
      <w:pPr>
        <w:pStyle w:val="SingleTxtG"/>
        <w:ind w:left="2268"/>
        <w:rPr>
          <w:lang w:val="fr-FR"/>
        </w:rPr>
      </w:pPr>
      <w:r w:rsidRPr="00D05C85">
        <w:rPr>
          <w:lang w:val="fr-FR"/>
        </w:rPr>
        <w:tab/>
        <w:t>Pas de prescriptions supplémentaires.</w:t>
      </w:r>
    </w:p>
    <w:p w14:paraId="20143B4F" w14:textId="77777777" w:rsidR="00AF2126" w:rsidRPr="00D05C85" w:rsidRDefault="00AF2126" w:rsidP="00AF2126">
      <w:pPr>
        <w:pStyle w:val="SingleTxtG"/>
        <w:ind w:left="2268" w:hanging="1134"/>
        <w:rPr>
          <w:lang w:val="fr-FR"/>
        </w:rPr>
      </w:pPr>
      <w:r w:rsidRPr="00D05C85">
        <w:rPr>
          <w:lang w:val="fr-FR"/>
        </w:rPr>
        <w:t>5.9.5</w:t>
      </w:r>
      <w:r w:rsidRPr="00D05C85">
        <w:rPr>
          <w:lang w:val="fr-FR"/>
        </w:rPr>
        <w:tab/>
        <w:t>Prescriptions supplémentaires :</w:t>
      </w:r>
    </w:p>
    <w:p w14:paraId="4334107A" w14:textId="77777777" w:rsidR="00AF2126" w:rsidRPr="00D05C85" w:rsidRDefault="00AF2126" w:rsidP="00AF2126">
      <w:pPr>
        <w:pStyle w:val="SingleTxtG"/>
        <w:ind w:left="2268"/>
        <w:rPr>
          <w:lang w:val="fr-FR"/>
        </w:rPr>
      </w:pPr>
      <w:r w:rsidRPr="00D05C85">
        <w:rPr>
          <w:lang w:val="fr-FR"/>
        </w:rPr>
        <w:tab/>
        <w:t>Le feu de brouillard arrière doit être soumis à l’essai de résistance à la chaleur décrit à l’annexe 6.</w:t>
      </w:r>
    </w:p>
    <w:p w14:paraId="3F68FCCD" w14:textId="77777777" w:rsidR="00AF2126" w:rsidRPr="00D05C85" w:rsidRDefault="00AF2126" w:rsidP="00AF2126">
      <w:pPr>
        <w:pStyle w:val="SingleTxtG"/>
        <w:ind w:left="2268" w:hanging="1134"/>
        <w:rPr>
          <w:lang w:val="fr-FR"/>
        </w:rPr>
      </w:pPr>
      <w:r w:rsidRPr="00D05C85">
        <w:rPr>
          <w:lang w:val="fr-FR"/>
        </w:rPr>
        <w:t>5.9.6</w:t>
      </w:r>
      <w:r w:rsidRPr="00D05C85">
        <w:rPr>
          <w:lang w:val="fr-FR"/>
        </w:rPr>
        <w:tab/>
        <w:t>Dispositions applicables en cas de défaillance :</w:t>
      </w:r>
    </w:p>
    <w:p w14:paraId="39B70E34" w14:textId="77777777" w:rsidR="00AF2126" w:rsidRPr="00D05C85" w:rsidRDefault="00AF2126" w:rsidP="00AF2126">
      <w:pPr>
        <w:pStyle w:val="SingleTxtG"/>
        <w:ind w:left="2268"/>
        <w:rPr>
          <w:lang w:val="fr-FR"/>
        </w:rPr>
      </w:pPr>
      <w:r w:rsidRPr="00D05C85">
        <w:rPr>
          <w:lang w:val="fr-FR"/>
        </w:rPr>
        <w:tab/>
        <w:t>Voir le paragraphe 4.6.</w:t>
      </w:r>
    </w:p>
    <w:p w14:paraId="3EA8B08A" w14:textId="77777777" w:rsidR="00AF2126" w:rsidRPr="00D05C85" w:rsidRDefault="00AF2126" w:rsidP="00AF2126">
      <w:pPr>
        <w:pStyle w:val="SingleTxtG"/>
        <w:ind w:left="2268" w:hanging="1134"/>
        <w:rPr>
          <w:lang w:val="fr-FR"/>
        </w:rPr>
      </w:pPr>
      <w:r w:rsidRPr="00D05C85">
        <w:rPr>
          <w:lang w:val="fr-FR"/>
        </w:rPr>
        <w:t>5.9.7</w:t>
      </w:r>
      <w:r w:rsidRPr="00D05C85">
        <w:rPr>
          <w:lang w:val="fr-FR"/>
        </w:rPr>
        <w:tab/>
        <w:t>Couleur :</w:t>
      </w:r>
    </w:p>
    <w:p w14:paraId="68897B31" w14:textId="77777777" w:rsidR="00AF2126" w:rsidRPr="00D05C85" w:rsidRDefault="00AF2126" w:rsidP="00AF2126">
      <w:pPr>
        <w:pStyle w:val="SingleTxtG"/>
        <w:ind w:left="2268"/>
        <w:rPr>
          <w:lang w:val="fr-FR"/>
        </w:rPr>
      </w:pPr>
      <w:r w:rsidRPr="00D05C85">
        <w:rPr>
          <w:lang w:val="fr-FR"/>
        </w:rPr>
        <w:tab/>
        <w:t>La couleur de la lumière émise doit être rouge.</w:t>
      </w:r>
    </w:p>
    <w:p w14:paraId="7D47F790" w14:textId="77777777" w:rsidR="00AF2126" w:rsidRPr="00D05C85" w:rsidRDefault="00AF2126" w:rsidP="00AF2126">
      <w:pPr>
        <w:pStyle w:val="SingleTxtG"/>
        <w:ind w:left="2268" w:hanging="1134"/>
        <w:rPr>
          <w:color w:val="000000" w:themeColor="text1"/>
          <w:lang w:val="fr-FR"/>
        </w:rPr>
      </w:pPr>
      <w:r w:rsidRPr="00D05C85">
        <w:rPr>
          <w:lang w:val="fr-FR"/>
        </w:rPr>
        <w:t>5.10</w:t>
      </w:r>
      <w:r w:rsidRPr="00D05C85">
        <w:rPr>
          <w:lang w:val="fr-FR"/>
        </w:rPr>
        <w:tab/>
        <w:t>Feux de manœuvre (ML)</w:t>
      </w:r>
    </w:p>
    <w:p w14:paraId="4CF15DAD" w14:textId="71FF15E2" w:rsidR="00AF2126" w:rsidRPr="00D05C85" w:rsidRDefault="00AF2126" w:rsidP="00AF2126">
      <w:pPr>
        <w:pStyle w:val="SingleTxtG"/>
        <w:ind w:left="2268" w:hanging="1134"/>
        <w:rPr>
          <w:lang w:val="fr-FR"/>
        </w:rPr>
      </w:pPr>
      <w:r w:rsidRPr="00D05C85">
        <w:rPr>
          <w:lang w:val="fr-FR"/>
        </w:rPr>
        <w:t>5.10.1</w:t>
      </w:r>
      <w:r w:rsidRPr="00D05C85">
        <w:rPr>
          <w:lang w:val="fr-FR"/>
        </w:rPr>
        <w:tab/>
        <w:t xml:space="preserve">Intensité lumineuse </w:t>
      </w:r>
      <w:r w:rsidR="00910B33">
        <w:rPr>
          <w:lang w:val="fr-FR"/>
        </w:rPr>
        <w:t xml:space="preserve">et </w:t>
      </w:r>
      <w:r w:rsidRPr="00D05C85">
        <w:rPr>
          <w:lang w:val="fr-FR"/>
        </w:rPr>
        <w:t>répartition normalisée de la lumière :</w:t>
      </w:r>
    </w:p>
    <w:p w14:paraId="62A3942E" w14:textId="77777777" w:rsidR="00AF2126" w:rsidRPr="00D05C85" w:rsidRDefault="00AF2126" w:rsidP="00AF2126">
      <w:pPr>
        <w:pStyle w:val="SingleTxtG"/>
        <w:ind w:left="2268" w:hanging="1134"/>
        <w:rPr>
          <w:lang w:val="fr-FR"/>
        </w:rPr>
      </w:pPr>
      <w:r w:rsidRPr="00D05C85">
        <w:rPr>
          <w:lang w:val="fr-FR"/>
        </w:rPr>
        <w:t>5.10.1.1</w:t>
      </w:r>
      <w:r w:rsidRPr="00D05C85">
        <w:rPr>
          <w:lang w:val="fr-FR"/>
        </w:rPr>
        <w:tab/>
        <w:t>L’intensité de la lumière émise ne doit pas dépasser 5,00∙10</w:t>
      </w:r>
      <w:r w:rsidRPr="00D05C85">
        <w:rPr>
          <w:vertAlign w:val="superscript"/>
          <w:lang w:val="fr-FR"/>
        </w:rPr>
        <w:t>2</w:t>
      </w:r>
      <w:r w:rsidRPr="00D05C85">
        <w:rPr>
          <w:lang w:val="fr-FR"/>
        </w:rPr>
        <w:t xml:space="preserve"> cd dans toutes les directions d’où le feu peut être observé lorsqu’il est monté dans toute position indiquée par le demandeur.</w:t>
      </w:r>
    </w:p>
    <w:p w14:paraId="38789CDA" w14:textId="77777777" w:rsidR="00AF2126" w:rsidRPr="00D05C85" w:rsidRDefault="00AF2126" w:rsidP="00AF2126">
      <w:pPr>
        <w:pStyle w:val="SingleTxtG"/>
        <w:ind w:left="2268" w:hanging="1134"/>
        <w:rPr>
          <w:lang w:val="fr-FR"/>
        </w:rPr>
      </w:pPr>
      <w:r w:rsidRPr="00D05C85">
        <w:rPr>
          <w:lang w:val="fr-FR"/>
        </w:rPr>
        <w:t>5.10.1.2</w:t>
      </w:r>
      <w:r w:rsidRPr="00D05C85">
        <w:rPr>
          <w:lang w:val="fr-FR"/>
        </w:rPr>
        <w:tab/>
        <w:t>Le feu doit être conçu de telle façon que la lumière émise directement vers le côté, l’avant ou l’arrière du véhicule ne dépasse pas une intensité de 5∙10</w:t>
      </w:r>
      <w:r w:rsidRPr="00D05C85">
        <w:rPr>
          <w:vertAlign w:val="superscript"/>
          <w:lang w:val="fr-FR"/>
        </w:rPr>
        <w:t>-1</w:t>
      </w:r>
      <w:r w:rsidRPr="00D05C85">
        <w:rPr>
          <w:lang w:val="fr-FR"/>
        </w:rPr>
        <w:t xml:space="preserve"> cd dans le champ angulaire spécifié ci-dessous :</w:t>
      </w:r>
    </w:p>
    <w:p w14:paraId="06261F81" w14:textId="77777777" w:rsidR="00AF2126" w:rsidRPr="00D05C85" w:rsidRDefault="00AF2126" w:rsidP="00AF2126">
      <w:pPr>
        <w:pStyle w:val="SingleTxtG"/>
        <w:ind w:left="2835" w:hanging="567"/>
        <w:rPr>
          <w:lang w:val="fr-FR"/>
        </w:rPr>
      </w:pPr>
      <w:r w:rsidRPr="00D05C85">
        <w:rPr>
          <w:lang w:val="fr-FR"/>
        </w:rPr>
        <w:t>a)</w:t>
      </w:r>
      <w:r w:rsidRPr="00D05C85">
        <w:rPr>
          <w:lang w:val="fr-FR"/>
        </w:rPr>
        <w:tab/>
        <w:t xml:space="preserve">L’angle vertical minimal </w:t>
      </w:r>
      <w:proofErr w:type="spellStart"/>
      <w:r w:rsidRPr="00D05C85">
        <w:rPr>
          <w:lang w:val="fr-FR"/>
        </w:rPr>
        <w:t>φmin</w:t>
      </w:r>
      <w:proofErr w:type="spellEnd"/>
      <w:r w:rsidRPr="00D05C85">
        <w:rPr>
          <w:lang w:val="fr-FR"/>
        </w:rPr>
        <w:t xml:space="preserve"> (en degrés) est le suivant :</w:t>
      </w:r>
    </w:p>
    <w:p w14:paraId="7F935633" w14:textId="77777777" w:rsidR="00AF2126" w:rsidRPr="00D05C85" w:rsidRDefault="00AF2126" w:rsidP="00AF2126">
      <w:pPr>
        <w:pStyle w:val="SingleTxtG"/>
        <w:ind w:left="2835"/>
        <w:rPr>
          <w:lang w:val="fr-FR"/>
        </w:rPr>
      </w:pPr>
      <w:proofErr w:type="spellStart"/>
      <w:r w:rsidRPr="00D05C85">
        <w:rPr>
          <w:lang w:val="fr-FR"/>
        </w:rPr>
        <w:t>φmin</w:t>
      </w:r>
      <w:proofErr w:type="spellEnd"/>
      <w:r w:rsidRPr="00D05C85">
        <w:rPr>
          <w:lang w:val="fr-FR"/>
        </w:rPr>
        <w:t xml:space="preserve"> = </w:t>
      </w:r>
      <w:proofErr w:type="spellStart"/>
      <w:r w:rsidRPr="00D05C85">
        <w:rPr>
          <w:lang w:val="fr-FR"/>
        </w:rPr>
        <w:t>arctan</w:t>
      </w:r>
      <w:proofErr w:type="spellEnd"/>
      <w:r w:rsidRPr="00D05C85">
        <w:rPr>
          <w:lang w:val="fr-FR"/>
        </w:rPr>
        <w:t xml:space="preserve"> ((1-h)/10), où h est la hauteur de montage exprimée en mètres ;</w:t>
      </w:r>
    </w:p>
    <w:p w14:paraId="525EE786" w14:textId="77777777" w:rsidR="00AF2126" w:rsidRPr="00D05C85" w:rsidRDefault="00AF2126" w:rsidP="00AF2126">
      <w:pPr>
        <w:pStyle w:val="SingleTxtG"/>
        <w:ind w:left="2835" w:hanging="567"/>
        <w:rPr>
          <w:lang w:val="fr-FR"/>
        </w:rPr>
      </w:pPr>
      <w:r w:rsidRPr="00D05C85">
        <w:rPr>
          <w:lang w:val="fr-FR"/>
        </w:rPr>
        <w:t>b)</w:t>
      </w:r>
      <w:r w:rsidRPr="00D05C85">
        <w:rPr>
          <w:lang w:val="fr-FR"/>
        </w:rPr>
        <w:tab/>
        <w:t xml:space="preserve">L’angle vertical maximal </w:t>
      </w:r>
      <w:proofErr w:type="spellStart"/>
      <w:r w:rsidRPr="00D05C85">
        <w:rPr>
          <w:lang w:val="fr-FR"/>
        </w:rPr>
        <w:t>Φmax</w:t>
      </w:r>
      <w:proofErr w:type="spellEnd"/>
      <w:r w:rsidRPr="00D05C85">
        <w:rPr>
          <w:lang w:val="fr-FR"/>
        </w:rPr>
        <w:t xml:space="preserve"> (en degrés) est le suivant : </w:t>
      </w:r>
      <w:proofErr w:type="spellStart"/>
      <w:r w:rsidRPr="00D05C85">
        <w:rPr>
          <w:lang w:val="fr-FR"/>
        </w:rPr>
        <w:t>φmax</w:t>
      </w:r>
      <w:proofErr w:type="spellEnd"/>
      <w:r w:rsidRPr="00D05C85">
        <w:rPr>
          <w:lang w:val="fr-FR"/>
        </w:rPr>
        <w:t xml:space="preserve"> = </w:t>
      </w:r>
      <w:proofErr w:type="spellStart"/>
      <w:r w:rsidRPr="00D05C85">
        <w:rPr>
          <w:lang w:val="fr-FR"/>
        </w:rPr>
        <w:t>φmin</w:t>
      </w:r>
      <w:proofErr w:type="spellEnd"/>
      <w:r w:rsidRPr="00D05C85">
        <w:rPr>
          <w:lang w:val="fr-FR"/>
        </w:rPr>
        <w:t xml:space="preserve"> + 11,3.</w:t>
      </w:r>
    </w:p>
    <w:p w14:paraId="1DE4E968" w14:textId="6F3D60AF" w:rsidR="00AF2126" w:rsidRPr="00D05C85" w:rsidRDefault="00AF2126" w:rsidP="00AF2126">
      <w:pPr>
        <w:pStyle w:val="SingleTxtG"/>
        <w:ind w:left="2835"/>
        <w:rPr>
          <w:lang w:val="fr-FR"/>
        </w:rPr>
      </w:pPr>
      <w:r w:rsidRPr="00D05C85">
        <w:rPr>
          <w:lang w:val="fr-FR"/>
        </w:rPr>
        <w:tab/>
        <w:t xml:space="preserve">La mesure est limitée à un angle horizontal de ±90° par rapport à la ligne qui coupe l’axe de référence </w:t>
      </w:r>
      <w:r w:rsidR="00910B33">
        <w:rPr>
          <w:lang w:val="fr-FR"/>
        </w:rPr>
        <w:t xml:space="preserve">et </w:t>
      </w:r>
      <w:r w:rsidRPr="00D05C85">
        <w:rPr>
          <w:lang w:val="fr-FR"/>
        </w:rPr>
        <w:t>qui est perpendiculaire au plan longitudinal vertical du véhicule.</w:t>
      </w:r>
    </w:p>
    <w:p w14:paraId="71DAF992" w14:textId="77777777" w:rsidR="00AF2126" w:rsidRPr="00D05C85" w:rsidRDefault="00AF2126" w:rsidP="00AF2126">
      <w:pPr>
        <w:pStyle w:val="SingleTxtG"/>
        <w:ind w:left="2268" w:hanging="1134"/>
        <w:rPr>
          <w:rStyle w:val="Carpredefinitoparagrafo1"/>
          <w:lang w:val="fr-FR"/>
        </w:rPr>
      </w:pPr>
      <w:r w:rsidRPr="00D05C85">
        <w:rPr>
          <w:lang w:val="fr-FR"/>
        </w:rPr>
        <w:t>5.10.2</w:t>
      </w:r>
      <w:r w:rsidRPr="00D05C85">
        <w:rPr>
          <w:lang w:val="fr-FR"/>
        </w:rPr>
        <w:tab/>
        <w:t>Intensité lumineuse minimale sous les angles de visibilité géométrique :</w:t>
      </w:r>
    </w:p>
    <w:p w14:paraId="78A5381E" w14:textId="77777777" w:rsidR="00AF2126" w:rsidRPr="00D05C85" w:rsidRDefault="00AF2126" w:rsidP="00AF2126">
      <w:pPr>
        <w:pStyle w:val="SingleTxtG"/>
        <w:ind w:left="2268"/>
        <w:rPr>
          <w:rStyle w:val="Carpredefinitoparagrafo1"/>
          <w:lang w:val="fr-FR"/>
        </w:rPr>
      </w:pPr>
      <w:r w:rsidRPr="00D05C85">
        <w:rPr>
          <w:lang w:val="fr-FR"/>
        </w:rPr>
        <w:tab/>
        <w:t>Pas de prescriptions.</w:t>
      </w:r>
    </w:p>
    <w:p w14:paraId="7566CE42" w14:textId="77777777" w:rsidR="00AF2126" w:rsidRPr="00D05C85" w:rsidRDefault="00AF2126" w:rsidP="00AF2126">
      <w:pPr>
        <w:pStyle w:val="SingleTxtG"/>
        <w:ind w:left="2268" w:hanging="1134"/>
        <w:rPr>
          <w:rStyle w:val="Carpredefinitoparagrafo1"/>
          <w:lang w:val="fr-FR"/>
        </w:rPr>
      </w:pPr>
      <w:r w:rsidRPr="00D05C85">
        <w:rPr>
          <w:lang w:val="fr-FR"/>
        </w:rPr>
        <w:t>5.10.3</w:t>
      </w:r>
      <w:r w:rsidRPr="00D05C85">
        <w:rPr>
          <w:lang w:val="fr-FR"/>
        </w:rPr>
        <w:tab/>
        <w:t>Superficie minimale ou maximale de la surface apparente :</w:t>
      </w:r>
    </w:p>
    <w:p w14:paraId="0403A175" w14:textId="77777777" w:rsidR="00AF2126" w:rsidRPr="00D05C85" w:rsidRDefault="00AF2126" w:rsidP="00AF2126">
      <w:pPr>
        <w:pStyle w:val="SingleTxtG"/>
        <w:ind w:left="2268"/>
        <w:rPr>
          <w:rStyle w:val="Carpredefinitoparagrafo1"/>
          <w:lang w:val="fr-FR"/>
        </w:rPr>
      </w:pPr>
      <w:r w:rsidRPr="00D05C85">
        <w:rPr>
          <w:lang w:val="fr-FR"/>
        </w:rPr>
        <w:tab/>
        <w:t>Pas de prescriptions.</w:t>
      </w:r>
    </w:p>
    <w:p w14:paraId="1A55B323" w14:textId="77777777" w:rsidR="00AF2126" w:rsidRPr="00D05C85" w:rsidRDefault="00AF2126" w:rsidP="00AF2126">
      <w:pPr>
        <w:pStyle w:val="SingleTxtG"/>
        <w:ind w:left="2268" w:hanging="1134"/>
        <w:rPr>
          <w:rStyle w:val="Carpredefinitoparagrafo1"/>
          <w:lang w:val="fr-FR"/>
        </w:rPr>
      </w:pPr>
      <w:r w:rsidRPr="00D05C85">
        <w:rPr>
          <w:lang w:val="fr-FR"/>
        </w:rPr>
        <w:t>5.10.4</w:t>
      </w:r>
      <w:r w:rsidRPr="00D05C85">
        <w:rPr>
          <w:lang w:val="fr-FR"/>
        </w:rPr>
        <w:tab/>
        <w:t>Mesure :</w:t>
      </w:r>
    </w:p>
    <w:p w14:paraId="64C610F1" w14:textId="77777777" w:rsidR="00AF2126" w:rsidRPr="00D05C85" w:rsidRDefault="00AF2126" w:rsidP="00AF2126">
      <w:pPr>
        <w:pStyle w:val="SingleTxtG"/>
        <w:ind w:left="2268"/>
        <w:rPr>
          <w:rStyle w:val="Carpredefinitoparagrafo1"/>
          <w:lang w:val="fr-FR"/>
        </w:rPr>
      </w:pPr>
      <w:r w:rsidRPr="00D05C85">
        <w:rPr>
          <w:lang w:val="fr-FR"/>
        </w:rPr>
        <w:tab/>
        <w:t>La distance minimale de mesure doit être de 3 m.</w:t>
      </w:r>
    </w:p>
    <w:p w14:paraId="1D84D57B" w14:textId="77777777" w:rsidR="00AF2126" w:rsidRPr="00D05C85" w:rsidRDefault="00AF2126" w:rsidP="00AF2126">
      <w:pPr>
        <w:pStyle w:val="SingleTxtG"/>
        <w:ind w:left="2268" w:hanging="1134"/>
        <w:rPr>
          <w:rStyle w:val="Carpredefinitoparagrafo1"/>
          <w:lang w:val="fr-FR"/>
        </w:rPr>
      </w:pPr>
      <w:r w:rsidRPr="00D05C85">
        <w:rPr>
          <w:lang w:val="fr-FR"/>
        </w:rPr>
        <w:t>5.10.5</w:t>
      </w:r>
      <w:r w:rsidRPr="00D05C85">
        <w:rPr>
          <w:lang w:val="fr-FR"/>
        </w:rPr>
        <w:tab/>
        <w:t>Prescriptions supplémentaires :</w:t>
      </w:r>
    </w:p>
    <w:p w14:paraId="0BFE80B1" w14:textId="77777777" w:rsidR="00AF2126" w:rsidRPr="00D05C85" w:rsidRDefault="00AF2126" w:rsidP="00AF2126">
      <w:pPr>
        <w:pStyle w:val="SingleTxtG"/>
        <w:ind w:left="2268"/>
        <w:rPr>
          <w:rStyle w:val="Carpredefinitoparagrafo1"/>
          <w:lang w:val="fr-FR"/>
        </w:rPr>
      </w:pPr>
      <w:r w:rsidRPr="00D05C85">
        <w:rPr>
          <w:lang w:val="fr-FR"/>
        </w:rPr>
        <w:tab/>
        <w:t>Aucune.</w:t>
      </w:r>
    </w:p>
    <w:p w14:paraId="3D9BB1D6" w14:textId="77777777" w:rsidR="00AF2126" w:rsidRPr="00D05C85" w:rsidRDefault="00AF2126" w:rsidP="00AF2126">
      <w:pPr>
        <w:pStyle w:val="SingleTxtG"/>
        <w:ind w:left="2268" w:hanging="1134"/>
        <w:rPr>
          <w:rStyle w:val="Carpredefinitoparagrafo1"/>
          <w:lang w:val="fr-FR"/>
        </w:rPr>
      </w:pPr>
      <w:r w:rsidRPr="00D05C85">
        <w:rPr>
          <w:lang w:val="fr-FR"/>
        </w:rPr>
        <w:t>5.10.6</w:t>
      </w:r>
      <w:r w:rsidRPr="00D05C85">
        <w:rPr>
          <w:lang w:val="fr-FR"/>
        </w:rPr>
        <w:tab/>
        <w:t>Dispositions applicables en cas de défaillance :</w:t>
      </w:r>
    </w:p>
    <w:p w14:paraId="190226AD" w14:textId="77777777" w:rsidR="00AF2126" w:rsidRPr="00D05C85" w:rsidRDefault="00AF2126" w:rsidP="00AF2126">
      <w:pPr>
        <w:pStyle w:val="SingleTxtG"/>
        <w:ind w:left="2268"/>
        <w:rPr>
          <w:rStyle w:val="Carpredefinitoparagrafo1"/>
          <w:lang w:val="fr-FR"/>
        </w:rPr>
      </w:pPr>
      <w:r w:rsidRPr="00D05C85">
        <w:rPr>
          <w:lang w:val="fr-FR"/>
        </w:rPr>
        <w:tab/>
        <w:t>Voir le paragraphe 4.6.</w:t>
      </w:r>
    </w:p>
    <w:p w14:paraId="02927CB7" w14:textId="77777777" w:rsidR="00AF2126" w:rsidRPr="00D05C85" w:rsidRDefault="00AF2126" w:rsidP="00AF2126">
      <w:pPr>
        <w:pStyle w:val="SingleTxtG"/>
        <w:ind w:left="2268" w:hanging="1134"/>
        <w:rPr>
          <w:lang w:val="fr-FR"/>
        </w:rPr>
      </w:pPr>
      <w:r w:rsidRPr="00D05C85">
        <w:rPr>
          <w:lang w:val="fr-FR"/>
        </w:rPr>
        <w:t>5.10.7</w:t>
      </w:r>
      <w:r w:rsidRPr="00D05C85">
        <w:rPr>
          <w:lang w:val="fr-FR"/>
        </w:rPr>
        <w:tab/>
        <w:t>Couleur :</w:t>
      </w:r>
    </w:p>
    <w:p w14:paraId="48C71EFE" w14:textId="77777777" w:rsidR="00AF2126" w:rsidRPr="00D05C85" w:rsidRDefault="00AF2126" w:rsidP="00AF2126">
      <w:pPr>
        <w:pStyle w:val="SingleTxtG"/>
        <w:ind w:left="2268"/>
        <w:rPr>
          <w:lang w:val="fr-FR"/>
        </w:rPr>
      </w:pPr>
      <w:r w:rsidRPr="00D05C85">
        <w:rPr>
          <w:lang w:val="fr-FR"/>
        </w:rPr>
        <w:tab/>
        <w:t>La couleur de la lumière émise doit être blanche.</w:t>
      </w:r>
    </w:p>
    <w:p w14:paraId="19FCDE0E" w14:textId="0F2AB8E9" w:rsidR="00AF2126" w:rsidRPr="00D05C85" w:rsidRDefault="00AF2126" w:rsidP="00AF2126">
      <w:pPr>
        <w:pStyle w:val="SingleTxtG"/>
        <w:ind w:left="2268" w:hanging="1134"/>
        <w:rPr>
          <w:lang w:val="fr-FR"/>
        </w:rPr>
      </w:pPr>
      <w:r w:rsidRPr="00D05C85">
        <w:rPr>
          <w:lang w:val="fr-FR"/>
        </w:rPr>
        <w:t>5.11</w:t>
      </w:r>
      <w:r w:rsidRPr="00D05C85">
        <w:rPr>
          <w:lang w:val="fr-FR"/>
        </w:rPr>
        <w:tab/>
        <w:t xml:space="preserve">Feu d’éclairage de la plaque d’immatriculation arrière (L </w:t>
      </w:r>
      <w:r w:rsidR="00910B33">
        <w:rPr>
          <w:lang w:val="fr-FR"/>
        </w:rPr>
        <w:t xml:space="preserve">et </w:t>
      </w:r>
      <w:r w:rsidRPr="00D05C85">
        <w:rPr>
          <w:lang w:val="fr-FR"/>
        </w:rPr>
        <w:t>LM1)</w:t>
      </w:r>
    </w:p>
    <w:p w14:paraId="14DF7929" w14:textId="77777777" w:rsidR="00AF2126" w:rsidRPr="00D05C85" w:rsidRDefault="00AF2126" w:rsidP="00AF2126">
      <w:pPr>
        <w:pStyle w:val="SingleTxtG"/>
        <w:ind w:left="2268" w:hanging="1134"/>
        <w:rPr>
          <w:rStyle w:val="Carpredefinitoparagrafo1"/>
          <w:lang w:val="fr-FR"/>
        </w:rPr>
      </w:pPr>
      <w:r w:rsidRPr="00D05C85">
        <w:rPr>
          <w:lang w:val="fr-FR"/>
        </w:rPr>
        <w:t>5.11.1</w:t>
      </w:r>
      <w:r w:rsidRPr="00D05C85">
        <w:rPr>
          <w:lang w:val="fr-FR"/>
        </w:rPr>
        <w:tab/>
        <w:t>Intensité lumineuse :</w:t>
      </w:r>
    </w:p>
    <w:p w14:paraId="5C37C49A" w14:textId="77777777" w:rsidR="00AF2126" w:rsidRPr="00D05C85" w:rsidRDefault="00AF2126" w:rsidP="00AF2126">
      <w:pPr>
        <w:pStyle w:val="SingleTxtG"/>
        <w:ind w:left="2268"/>
        <w:rPr>
          <w:rStyle w:val="Carpredefinitoparagrafo1"/>
          <w:lang w:val="fr-FR"/>
        </w:rPr>
      </w:pPr>
      <w:r w:rsidRPr="00D05C85">
        <w:rPr>
          <w:lang w:val="fr-FR"/>
        </w:rPr>
        <w:tab/>
        <w:t>Sans objet.</w:t>
      </w:r>
    </w:p>
    <w:p w14:paraId="627E3650" w14:textId="77777777" w:rsidR="00AF2126" w:rsidRPr="00D05C85" w:rsidRDefault="00AF2126" w:rsidP="00AF2126">
      <w:pPr>
        <w:pStyle w:val="SingleTxtG"/>
        <w:ind w:left="2268" w:hanging="1134"/>
        <w:rPr>
          <w:rStyle w:val="Carpredefinitoparagrafo1"/>
          <w:bCs/>
          <w:lang w:val="fr-FR"/>
        </w:rPr>
      </w:pPr>
      <w:bookmarkStart w:id="17" w:name="_Hlk102663324"/>
      <w:r w:rsidRPr="00D05C85">
        <w:rPr>
          <w:lang w:val="fr-FR"/>
        </w:rPr>
        <w:lastRenderedPageBreak/>
        <w:t>5.11.2</w:t>
      </w:r>
      <w:r w:rsidRPr="00D05C85">
        <w:rPr>
          <w:lang w:val="fr-FR"/>
        </w:rPr>
        <w:tab/>
        <w:t>Caractéristiques photométriques :</w:t>
      </w:r>
    </w:p>
    <w:p w14:paraId="1EF68A42" w14:textId="77777777" w:rsidR="00AF2126" w:rsidRPr="00D05C85" w:rsidRDefault="00AF2126" w:rsidP="00AF2126">
      <w:pPr>
        <w:pStyle w:val="SingleTxtG"/>
        <w:ind w:left="2268"/>
        <w:rPr>
          <w:bCs/>
          <w:lang w:val="fr-FR"/>
        </w:rPr>
      </w:pPr>
      <w:r w:rsidRPr="00D05C85">
        <w:rPr>
          <w:lang w:val="fr-FR"/>
        </w:rPr>
        <w:t xml:space="preserve">Pour l’homologation de ce dispositif, on détermine la superficie de la zone éclairée où se trouvera la plaque. Les zones éclairées sont regroupées dans les catégories suivantes : </w:t>
      </w:r>
    </w:p>
    <w:p w14:paraId="7322CEBB" w14:textId="77777777" w:rsidR="00AF2126" w:rsidRPr="00D05C85" w:rsidRDefault="00AF2126" w:rsidP="00AF2126">
      <w:pPr>
        <w:pStyle w:val="SingleTxtG"/>
        <w:ind w:left="2835" w:hanging="567"/>
        <w:rPr>
          <w:bCs/>
          <w:lang w:val="fr-FR"/>
        </w:rPr>
      </w:pPr>
      <w:r w:rsidRPr="00D05C85">
        <w:rPr>
          <w:lang w:val="fr-FR"/>
        </w:rPr>
        <w:t>-</w:t>
      </w:r>
      <w:r w:rsidRPr="00D05C85">
        <w:rPr>
          <w:lang w:val="fr-FR"/>
        </w:rPr>
        <w:tab/>
        <w:t>Catégorie 1a : zone éclairée d’au moins 340 x 240 mm (fig. A3-IX) ;</w:t>
      </w:r>
    </w:p>
    <w:p w14:paraId="1961C416" w14:textId="77777777" w:rsidR="00AF2126" w:rsidRPr="00D05C85" w:rsidRDefault="00AF2126" w:rsidP="00AF2126">
      <w:pPr>
        <w:pStyle w:val="SingleTxtG"/>
        <w:ind w:left="2835" w:hanging="567"/>
        <w:rPr>
          <w:bCs/>
          <w:lang w:val="fr-FR"/>
        </w:rPr>
      </w:pPr>
      <w:r w:rsidRPr="00D05C85">
        <w:rPr>
          <w:lang w:val="fr-FR"/>
        </w:rPr>
        <w:t>-</w:t>
      </w:r>
      <w:r w:rsidRPr="00D05C85">
        <w:rPr>
          <w:lang w:val="fr-FR"/>
        </w:rPr>
        <w:tab/>
        <w:t>Catégorie 1b : zone éclairée d’au moins 520 x 120 mm (fig. A3-X) ;</w:t>
      </w:r>
    </w:p>
    <w:p w14:paraId="56AC460D" w14:textId="77777777" w:rsidR="00AF2126" w:rsidRPr="00D05C85" w:rsidRDefault="00AF2126" w:rsidP="00AF2126">
      <w:pPr>
        <w:pStyle w:val="SingleTxtG"/>
        <w:ind w:left="2835" w:hanging="567"/>
        <w:rPr>
          <w:bCs/>
          <w:lang w:val="fr-FR"/>
        </w:rPr>
      </w:pPr>
      <w:r w:rsidRPr="00D05C85">
        <w:rPr>
          <w:lang w:val="fr-FR"/>
        </w:rPr>
        <w:t>-</w:t>
      </w:r>
      <w:r w:rsidRPr="00D05C85">
        <w:rPr>
          <w:lang w:val="fr-FR"/>
        </w:rPr>
        <w:tab/>
        <w:t>Catégorie 1c : zone éclairée d’au moins 255 x 165 mm, pour une utilisation sur des tracteurs agricoles ou forestiers (fig. A3-XI) ;</w:t>
      </w:r>
    </w:p>
    <w:p w14:paraId="2A083432" w14:textId="77777777" w:rsidR="00AF2126" w:rsidRPr="00D05C85" w:rsidRDefault="00AF2126" w:rsidP="00AF2126">
      <w:pPr>
        <w:pStyle w:val="SingleTxtG"/>
        <w:ind w:left="2835" w:hanging="567"/>
        <w:rPr>
          <w:bCs/>
          <w:lang w:val="fr-FR"/>
        </w:rPr>
      </w:pPr>
      <w:r w:rsidRPr="00D05C85">
        <w:rPr>
          <w:lang w:val="fr-FR"/>
        </w:rPr>
        <w:t>-</w:t>
      </w:r>
      <w:r w:rsidRPr="00D05C85">
        <w:rPr>
          <w:lang w:val="fr-FR"/>
        </w:rPr>
        <w:tab/>
        <w:t>Catégorie 2a : zone éclairée d’au moins 330 x 165 mm (fig. A3-XII) ;</w:t>
      </w:r>
    </w:p>
    <w:p w14:paraId="17C722FB" w14:textId="77777777" w:rsidR="00AF2126" w:rsidRPr="00D05C85" w:rsidRDefault="00AF2126" w:rsidP="00AF2126">
      <w:pPr>
        <w:pStyle w:val="SingleTxtG"/>
        <w:ind w:left="2835" w:hanging="567"/>
        <w:rPr>
          <w:bCs/>
          <w:lang w:val="fr-FR"/>
        </w:rPr>
      </w:pPr>
      <w:r w:rsidRPr="00D05C85">
        <w:rPr>
          <w:lang w:val="fr-FR"/>
        </w:rPr>
        <w:t>-</w:t>
      </w:r>
      <w:r w:rsidRPr="00D05C85">
        <w:rPr>
          <w:lang w:val="fr-FR"/>
        </w:rPr>
        <w:tab/>
        <w:t>Catégorie 2b : zone éclairée d’au moins 440 x 220 mm (fig. A3-XIII) ;</w:t>
      </w:r>
    </w:p>
    <w:p w14:paraId="4D95AF3B" w14:textId="77777777" w:rsidR="00AF2126" w:rsidRPr="00D05C85" w:rsidRDefault="00AF2126" w:rsidP="00AF2126">
      <w:pPr>
        <w:pStyle w:val="SingleTxtG"/>
        <w:ind w:left="2835" w:hanging="567"/>
        <w:rPr>
          <w:bCs/>
          <w:lang w:val="fr-FR"/>
        </w:rPr>
      </w:pPr>
      <w:r w:rsidRPr="00D05C85">
        <w:rPr>
          <w:lang w:val="fr-FR"/>
        </w:rPr>
        <w:t>-</w:t>
      </w:r>
      <w:r w:rsidRPr="00D05C85">
        <w:rPr>
          <w:lang w:val="fr-FR"/>
        </w:rPr>
        <w:tab/>
        <w:t>Catégorie 1 : zone éclairée d’au moins 130 x 240 mm, pour une utilisation sur des véhicules de la catégorie L (fig. A3-XIV) ;</w:t>
      </w:r>
    </w:p>
    <w:p w14:paraId="02703F2E" w14:textId="77777777" w:rsidR="00AF2126" w:rsidRPr="00D05C85" w:rsidRDefault="00AF2126" w:rsidP="00AF2126">
      <w:pPr>
        <w:pStyle w:val="SingleTxtG"/>
        <w:ind w:left="2835" w:hanging="567"/>
        <w:rPr>
          <w:bCs/>
          <w:lang w:val="fr-FR"/>
        </w:rPr>
      </w:pPr>
      <w:r w:rsidRPr="00D05C85">
        <w:rPr>
          <w:lang w:val="fr-FR"/>
        </w:rPr>
        <w:t>-</w:t>
      </w:r>
      <w:r w:rsidRPr="00D05C85">
        <w:rPr>
          <w:lang w:val="fr-FR"/>
        </w:rPr>
        <w:tab/>
        <w:t>Catégorie 2 : zone éclairée d’au moins 200 x 280 mm, pour une utilisation sur des véhicules de la catégorie L (fig. A3-XV).</w:t>
      </w:r>
    </w:p>
    <w:p w14:paraId="27348BE6" w14:textId="77777777" w:rsidR="00AF2126" w:rsidRPr="00D05C85" w:rsidRDefault="00AF2126" w:rsidP="00AF2126">
      <w:pPr>
        <w:pStyle w:val="SingleTxtG"/>
        <w:ind w:left="2268"/>
        <w:rPr>
          <w:lang w:val="fr-FR"/>
        </w:rPr>
      </w:pPr>
      <w:r w:rsidRPr="00D05C85">
        <w:rPr>
          <w:lang w:val="fr-FR"/>
        </w:rPr>
        <w:tab/>
        <w:t>En chacun des points de mesure définis pour les catégories de zones éclairées décrites paragraphe 3 de l’annexe 3, la luminance B doit être au moins :</w:t>
      </w:r>
    </w:p>
    <w:p w14:paraId="25E7B546" w14:textId="4A33D267" w:rsidR="00AF2126" w:rsidRPr="00D05C85" w:rsidRDefault="00AF2126" w:rsidP="00AF2126">
      <w:pPr>
        <w:pStyle w:val="SingleTxtG"/>
        <w:ind w:left="2835" w:hanging="567"/>
        <w:rPr>
          <w:lang w:val="fr-FR"/>
        </w:rPr>
      </w:pPr>
      <w:r w:rsidRPr="00D05C85">
        <w:rPr>
          <w:lang w:val="fr-FR"/>
        </w:rPr>
        <w:t>a)</w:t>
      </w:r>
      <w:r w:rsidRPr="00D05C85">
        <w:rPr>
          <w:lang w:val="fr-FR"/>
        </w:rPr>
        <w:tab/>
        <w:t>Égale à 2,5∙10</w:t>
      </w:r>
      <w:r w:rsidRPr="00D05C85">
        <w:rPr>
          <w:vertAlign w:val="superscript"/>
          <w:lang w:val="fr-FR"/>
        </w:rPr>
        <w:t>0</w:t>
      </w:r>
      <w:r w:rsidRPr="00D05C85">
        <w:rPr>
          <w:lang w:val="fr-FR"/>
        </w:rPr>
        <w:t xml:space="preserve"> cd/m</w:t>
      </w:r>
      <w:r w:rsidRPr="00D05C85">
        <w:rPr>
          <w:vertAlign w:val="superscript"/>
          <w:lang w:val="fr-FR"/>
        </w:rPr>
        <w:t>2</w:t>
      </w:r>
      <w:r w:rsidRPr="00D05C85">
        <w:rPr>
          <w:lang w:val="fr-FR"/>
        </w:rPr>
        <w:t xml:space="preserve"> pour les catégories 1a, 1b, 1c, 2a </w:t>
      </w:r>
      <w:r w:rsidR="00910B33">
        <w:rPr>
          <w:lang w:val="fr-FR"/>
        </w:rPr>
        <w:t xml:space="preserve">et </w:t>
      </w:r>
      <w:r w:rsidRPr="00D05C85">
        <w:rPr>
          <w:lang w:val="fr-FR"/>
        </w:rPr>
        <w:t>2b ;</w:t>
      </w:r>
    </w:p>
    <w:p w14:paraId="45220A2F" w14:textId="5BB34837" w:rsidR="00AF2126" w:rsidRPr="00D05C85" w:rsidRDefault="00AF2126" w:rsidP="00AF2126">
      <w:pPr>
        <w:pStyle w:val="SingleTxtG"/>
        <w:ind w:left="2835" w:hanging="567"/>
        <w:rPr>
          <w:lang w:val="fr-FR"/>
        </w:rPr>
      </w:pPr>
      <w:r w:rsidRPr="00D05C85">
        <w:rPr>
          <w:lang w:val="fr-FR"/>
        </w:rPr>
        <w:t>b)</w:t>
      </w:r>
      <w:r w:rsidRPr="00D05C85">
        <w:rPr>
          <w:lang w:val="fr-FR"/>
        </w:rPr>
        <w:tab/>
        <w:t xml:space="preserve">Égale à </w:t>
      </w:r>
      <w:bookmarkEnd w:id="17"/>
      <w:r w:rsidRPr="00D05C85">
        <w:rPr>
          <w:lang w:val="fr-FR"/>
        </w:rPr>
        <w:t>2∙10</w:t>
      </w:r>
      <w:r w:rsidRPr="00D05C85">
        <w:rPr>
          <w:vertAlign w:val="superscript"/>
          <w:lang w:val="fr-FR"/>
        </w:rPr>
        <w:t>0</w:t>
      </w:r>
      <w:r w:rsidRPr="00D05C85">
        <w:rPr>
          <w:lang w:val="fr-FR"/>
        </w:rPr>
        <w:t xml:space="preserve"> cd/m</w:t>
      </w:r>
      <w:r w:rsidRPr="00D05C85">
        <w:rPr>
          <w:vertAlign w:val="superscript"/>
          <w:lang w:val="fr-FR"/>
        </w:rPr>
        <w:t>2</w:t>
      </w:r>
      <w:r w:rsidRPr="00D05C85">
        <w:rPr>
          <w:lang w:val="fr-FR"/>
        </w:rPr>
        <w:t xml:space="preserve"> pour les catégories 1 </w:t>
      </w:r>
      <w:r w:rsidR="00910B33">
        <w:rPr>
          <w:lang w:val="fr-FR"/>
        </w:rPr>
        <w:t xml:space="preserve">et </w:t>
      </w:r>
      <w:r w:rsidRPr="00D05C85">
        <w:rPr>
          <w:lang w:val="fr-FR"/>
        </w:rPr>
        <w:t>2.</w:t>
      </w:r>
    </w:p>
    <w:p w14:paraId="45ED790D" w14:textId="6C010C52" w:rsidR="00AF2126" w:rsidRPr="00D05C85" w:rsidRDefault="00AF2126" w:rsidP="00AF2126">
      <w:pPr>
        <w:pStyle w:val="SingleTxtG"/>
        <w:ind w:left="2268"/>
        <w:rPr>
          <w:lang w:val="fr-FR"/>
        </w:rPr>
      </w:pPr>
      <w:r w:rsidRPr="00D05C85">
        <w:rPr>
          <w:lang w:val="fr-FR"/>
        </w:rPr>
        <w:tab/>
        <w:t>Le gradient de la luminance entre les valeurs B</w:t>
      </w:r>
      <w:r w:rsidRPr="00D05C85">
        <w:rPr>
          <w:vertAlign w:val="subscript"/>
          <w:lang w:val="fr-FR"/>
        </w:rPr>
        <w:t>1</w:t>
      </w:r>
      <w:r w:rsidRPr="00D05C85">
        <w:rPr>
          <w:lang w:val="fr-FR"/>
        </w:rPr>
        <w:t xml:space="preserve"> </w:t>
      </w:r>
      <w:r w:rsidR="00910B33">
        <w:rPr>
          <w:lang w:val="fr-FR"/>
        </w:rPr>
        <w:t xml:space="preserve">et </w:t>
      </w:r>
      <w:r w:rsidRPr="00D05C85">
        <w:rPr>
          <w:lang w:val="fr-FR"/>
        </w:rPr>
        <w:t>B</w:t>
      </w:r>
      <w:r w:rsidRPr="00D05C85">
        <w:rPr>
          <w:vertAlign w:val="subscript"/>
          <w:lang w:val="fr-FR"/>
        </w:rPr>
        <w:t>2</w:t>
      </w:r>
      <w:r w:rsidRPr="00D05C85">
        <w:rPr>
          <w:lang w:val="fr-FR"/>
        </w:rPr>
        <w:t xml:space="preserve">, mesurées en deux points quelconques 1 </w:t>
      </w:r>
      <w:r w:rsidR="00910B33">
        <w:rPr>
          <w:lang w:val="fr-FR"/>
        </w:rPr>
        <w:t xml:space="preserve">et </w:t>
      </w:r>
      <w:r w:rsidRPr="00D05C85">
        <w:rPr>
          <w:lang w:val="fr-FR"/>
        </w:rPr>
        <w:t>2 choisis parmi les points mentionnés ci-dessus, ne peut dépasser 2 x Bo/cm, Bo étant la luminance minimale relevée aux divers points de mesure, c’est-à-dire :</w:t>
      </w:r>
    </w:p>
    <w:p w14:paraId="4249C89B" w14:textId="77777777" w:rsidR="00AF2126" w:rsidRPr="00D05C85" w:rsidRDefault="00AF2126" w:rsidP="00AF2126">
      <w:pPr>
        <w:spacing w:after="120"/>
        <w:ind w:left="709" w:right="1134" w:hanging="709"/>
        <w:jc w:val="center"/>
        <w:rPr>
          <w:lang w:val="fr-FR"/>
        </w:rPr>
      </w:pPr>
      <w:r w:rsidRPr="00D05C85">
        <w:rPr>
          <w:position w:val="-24"/>
          <w:sz w:val="16"/>
          <w:szCs w:val="16"/>
          <w:lang w:val="fr-FR"/>
        </w:rPr>
        <w:object w:dxaOrig="3420" w:dyaOrig="639" w14:anchorId="41D56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2pt;height:27.65pt" o:ole="">
            <v:imagedata r:id="rId9" o:title=""/>
          </v:shape>
          <o:OLEObject Type="Embed" ProgID="Equation.3" ShapeID="_x0000_i1025" DrawAspect="Content" ObjectID="_1748169526" r:id="rId10"/>
        </w:object>
      </w:r>
    </w:p>
    <w:p w14:paraId="23A1B6D4" w14:textId="77777777" w:rsidR="00AF2126" w:rsidRPr="00D05C85" w:rsidRDefault="00AF2126" w:rsidP="00AF2126">
      <w:pPr>
        <w:pStyle w:val="SingleTxtG"/>
        <w:ind w:left="2268" w:hanging="1134"/>
        <w:rPr>
          <w:lang w:val="fr-FR"/>
        </w:rPr>
      </w:pPr>
      <w:r w:rsidRPr="00D05C85">
        <w:rPr>
          <w:lang w:val="fr-FR"/>
        </w:rPr>
        <w:t>5.11.3</w:t>
      </w:r>
      <w:r w:rsidRPr="00D05C85">
        <w:rPr>
          <w:lang w:val="fr-FR"/>
        </w:rPr>
        <w:tab/>
        <w:t>Superficie minimale ou maximale de la surface apparente :</w:t>
      </w:r>
    </w:p>
    <w:p w14:paraId="0DEFB8A9" w14:textId="77777777" w:rsidR="00AF2126" w:rsidRPr="00D05C85" w:rsidRDefault="00AF2126" w:rsidP="00AF2126">
      <w:pPr>
        <w:pStyle w:val="SingleTxtG"/>
        <w:ind w:left="2268"/>
        <w:rPr>
          <w:lang w:val="fr-FR"/>
        </w:rPr>
      </w:pPr>
      <w:r w:rsidRPr="00D05C85">
        <w:rPr>
          <w:lang w:val="fr-FR"/>
        </w:rPr>
        <w:tab/>
        <w:t>Sans objet.</w:t>
      </w:r>
    </w:p>
    <w:p w14:paraId="408BF679" w14:textId="77777777" w:rsidR="00AF2126" w:rsidRPr="00D05C85" w:rsidRDefault="00AF2126" w:rsidP="00AF2126">
      <w:pPr>
        <w:pStyle w:val="SingleTxtG"/>
        <w:ind w:left="2268" w:hanging="1134"/>
        <w:rPr>
          <w:lang w:val="fr-FR"/>
        </w:rPr>
      </w:pPr>
      <w:r w:rsidRPr="00D05C85">
        <w:rPr>
          <w:lang w:val="fr-FR"/>
        </w:rPr>
        <w:t>5.11.4</w:t>
      </w:r>
      <w:r w:rsidRPr="00D05C85">
        <w:rPr>
          <w:lang w:val="fr-FR"/>
        </w:rPr>
        <w:tab/>
        <w:t>Mesure :</w:t>
      </w:r>
    </w:p>
    <w:p w14:paraId="547B59F2" w14:textId="77777777" w:rsidR="00AF2126" w:rsidRPr="00D05C85" w:rsidRDefault="00AF2126" w:rsidP="00AF2126">
      <w:pPr>
        <w:pStyle w:val="SingleTxtG"/>
        <w:ind w:left="2268"/>
        <w:rPr>
          <w:lang w:val="fr-FR"/>
        </w:rPr>
      </w:pPr>
      <w:r w:rsidRPr="00D05C85">
        <w:rPr>
          <w:lang w:val="fr-FR"/>
        </w:rPr>
        <w:tab/>
        <w:t>La luminance est mesurée sur une surface diffusante incolore dont on connaît le facteur de réflexion diffuse. La surface diffusante incolore a les mêmes dimensions que la plaque d’immatriculation avec une possibilité de dépassement correspondant à un point de mesure. Son centre correspond au centre de symétrie de la figure formée par les points de mesure.</w:t>
      </w:r>
    </w:p>
    <w:p w14:paraId="1B367886" w14:textId="77777777" w:rsidR="00AF2126" w:rsidRPr="00D05C85" w:rsidRDefault="00AF2126" w:rsidP="00AF2126">
      <w:pPr>
        <w:pStyle w:val="SingleTxtG"/>
        <w:ind w:left="2268"/>
        <w:rPr>
          <w:lang w:val="fr-FR"/>
        </w:rPr>
      </w:pPr>
      <w:r w:rsidRPr="00D05C85">
        <w:rPr>
          <w:lang w:val="fr-FR"/>
        </w:rPr>
        <w:tab/>
        <w:t>Cette surface diffusante incolore doit être placée à l’endroit qu’occuperait normalement la plaque d’immatriculation à 2 mm en avant de son support.</w:t>
      </w:r>
    </w:p>
    <w:p w14:paraId="13BA7DD4" w14:textId="77777777" w:rsidR="00AF2126" w:rsidRPr="00D05C85" w:rsidRDefault="00AF2126" w:rsidP="00AF2126">
      <w:pPr>
        <w:pStyle w:val="SingleTxtG"/>
        <w:ind w:left="2268"/>
        <w:rPr>
          <w:lang w:val="fr-FR"/>
        </w:rPr>
      </w:pPr>
      <w:r w:rsidRPr="00D05C85">
        <w:rPr>
          <w:lang w:val="fr-FR"/>
        </w:rPr>
        <w:tab/>
        <w:t>La luminance est mesurée perpendiculairement à la surface diffusante incolore avec une tolérance de 5° dans chaque direction aux points indiqués dans le croquis du paragraphe 3 de l’annexe 3, chaque point représentant une zone circulaire de 25 mm de diamètre. La luminance mesurée doit être corrigée pour un facteur de réflexion diffuse de 1,0.</w:t>
      </w:r>
    </w:p>
    <w:p w14:paraId="7479FCFD" w14:textId="77777777" w:rsidR="00AF2126" w:rsidRPr="00D05C85" w:rsidRDefault="00AF2126" w:rsidP="00AF2126">
      <w:pPr>
        <w:pStyle w:val="SingleTxtG"/>
        <w:ind w:left="2268" w:hanging="1134"/>
        <w:rPr>
          <w:lang w:val="fr-FR"/>
        </w:rPr>
      </w:pPr>
      <w:r w:rsidRPr="00D05C85">
        <w:rPr>
          <w:lang w:val="fr-FR"/>
        </w:rPr>
        <w:t>5.11.5</w:t>
      </w:r>
      <w:r w:rsidRPr="00D05C85">
        <w:rPr>
          <w:lang w:val="fr-FR"/>
        </w:rPr>
        <w:tab/>
        <w:t>Prescriptions supplémentaires :</w:t>
      </w:r>
    </w:p>
    <w:p w14:paraId="06EB60FD" w14:textId="3A5159BF" w:rsidR="00AF2126" w:rsidRPr="00D05C85" w:rsidRDefault="00AF2126" w:rsidP="00AF2126">
      <w:pPr>
        <w:pStyle w:val="SingleTxtG"/>
        <w:ind w:left="2268" w:hanging="1134"/>
        <w:rPr>
          <w:lang w:val="fr-FR"/>
        </w:rPr>
      </w:pPr>
      <w:r w:rsidRPr="00D05C85">
        <w:rPr>
          <w:lang w:val="fr-FR"/>
        </w:rPr>
        <w:t>5.11.5.1</w:t>
      </w:r>
      <w:r w:rsidRPr="00D05C85">
        <w:rPr>
          <w:lang w:val="fr-FR"/>
        </w:rPr>
        <w:tab/>
        <w:t xml:space="preserve">Les dispositifs d’éclairage de la plaque d’immatriculation arrière des catégories 1a, 1b, 1c, 2a </w:t>
      </w:r>
      <w:r w:rsidR="00910B33">
        <w:rPr>
          <w:lang w:val="fr-FR"/>
        </w:rPr>
        <w:t xml:space="preserve">et </w:t>
      </w:r>
      <w:r w:rsidRPr="00D05C85">
        <w:rPr>
          <w:lang w:val="fr-FR"/>
        </w:rPr>
        <w:t>2b doivent être construits de telle manière que la totalité de la surface de la plaque soit visible sous les angles donnés dans la partie D de l’annexe 2.</w:t>
      </w:r>
    </w:p>
    <w:p w14:paraId="0EF46CC1" w14:textId="77777777" w:rsidR="00AF2126" w:rsidRPr="00D05C85" w:rsidRDefault="00AF2126" w:rsidP="00AF2126">
      <w:pPr>
        <w:pStyle w:val="SingleTxtG"/>
        <w:ind w:left="2268" w:hanging="1134"/>
        <w:rPr>
          <w:lang w:val="fr-FR"/>
        </w:rPr>
      </w:pPr>
      <w:r w:rsidRPr="00D05C85">
        <w:rPr>
          <w:lang w:val="fr-FR"/>
        </w:rPr>
        <w:t>5.11.5.2</w:t>
      </w:r>
      <w:r w:rsidRPr="00D05C85">
        <w:rPr>
          <w:lang w:val="fr-FR"/>
        </w:rPr>
        <w:tab/>
        <w:t>Incidence de la lumière</w:t>
      </w:r>
    </w:p>
    <w:p w14:paraId="51FCED59" w14:textId="77777777" w:rsidR="00AF2126" w:rsidRPr="00D05C85" w:rsidRDefault="00AF2126" w:rsidP="00AF2126">
      <w:pPr>
        <w:pStyle w:val="SingleTxtG"/>
        <w:ind w:left="2268"/>
        <w:rPr>
          <w:lang w:val="fr-FR"/>
        </w:rPr>
      </w:pPr>
      <w:r w:rsidRPr="00D05C85">
        <w:rPr>
          <w:lang w:val="fr-FR"/>
        </w:rPr>
        <w:tab/>
        <w:t xml:space="preserve">Le fabricant du feu d’éclairage de la plaque d’immatriculation arrière indique un ou plusieurs montages ou une plage de montages de ce dispositif par rapport </w:t>
      </w:r>
      <w:r w:rsidRPr="00D05C85">
        <w:rPr>
          <w:lang w:val="fr-FR"/>
        </w:rPr>
        <w:lastRenderedPageBreak/>
        <w:t>à l’emplacement que doit occuper la plaque d’immatriculation ; lorsque le dispositif d’éclairage est monté dans la ou les positions définies par le fabricant, l’angle d’incidence de la lumière sur la surface de la plaque ne doit dépasser 82° en aucun des points de la surface à éclairer par rapport à l’extrémité de la plage éclairante du dispositif la plus éloignée de la surface de la plaque. Lorsqu’il y a plus d’un dispositif d’éclairage, cette exigence ne s’applique qu’à la partie de la plaque destinée à être éclairée par le dispositif correspondant.</w:t>
      </w:r>
    </w:p>
    <w:p w14:paraId="6F2A42E0" w14:textId="5F4BE8C7" w:rsidR="00AF2126" w:rsidRPr="00D05C85" w:rsidRDefault="00AF2126" w:rsidP="00AF2126">
      <w:pPr>
        <w:pStyle w:val="SingleTxtG"/>
        <w:ind w:left="2268"/>
        <w:rPr>
          <w:lang w:val="fr-FR"/>
        </w:rPr>
      </w:pPr>
      <w:r w:rsidRPr="00D05C85">
        <w:rPr>
          <w:lang w:val="fr-FR"/>
        </w:rPr>
        <w:tab/>
        <w:t xml:space="preserve">Lorsque l’un des bords extérieurs de la plage éclairante du dispositif est parallèle à la surface de la plaque d’immatriculation, l’extrémité de la plage éclairante la plus éloignée de la surface de la plaque est le milieu du côté de la plage éclairante, qui est parallèle à la plaque </w:t>
      </w:r>
      <w:r w:rsidR="00910B33">
        <w:rPr>
          <w:lang w:val="fr-FR"/>
        </w:rPr>
        <w:t xml:space="preserve">et </w:t>
      </w:r>
      <w:r w:rsidRPr="00D05C85">
        <w:rPr>
          <w:lang w:val="fr-FR"/>
        </w:rPr>
        <w:t>qui est le plus éloigné de sa surface.</w:t>
      </w:r>
    </w:p>
    <w:p w14:paraId="43547985" w14:textId="77777777" w:rsidR="00AF2126" w:rsidRPr="00D05C85" w:rsidRDefault="00AF2126" w:rsidP="00AF2126">
      <w:pPr>
        <w:pStyle w:val="SingleTxtG"/>
        <w:ind w:left="2268"/>
        <w:rPr>
          <w:lang w:val="fr-FR"/>
        </w:rPr>
      </w:pPr>
      <w:r w:rsidRPr="00D05C85">
        <w:rPr>
          <w:lang w:val="fr-FR"/>
        </w:rPr>
        <w:tab/>
        <w:t>Le dispositif devra être conçu de façon qu’aucun rayon de lumière ne soit dirigé directement vers l’arrière, exception faite de rayons de lumière rouge dans le cas où le dispositif serait combiné ou groupé avec un feu arrière.</w:t>
      </w:r>
    </w:p>
    <w:p w14:paraId="1AC6BDC2" w14:textId="77777777" w:rsidR="00AF2126" w:rsidRPr="00D05C85" w:rsidRDefault="00AF2126" w:rsidP="00AF2126">
      <w:pPr>
        <w:pStyle w:val="SingleTxtG"/>
        <w:ind w:left="2268" w:hanging="1134"/>
        <w:rPr>
          <w:lang w:val="fr-FR"/>
        </w:rPr>
      </w:pPr>
      <w:r w:rsidRPr="00D05C85">
        <w:rPr>
          <w:lang w:val="fr-FR"/>
        </w:rPr>
        <w:t>5.11.6</w:t>
      </w:r>
      <w:r w:rsidRPr="00D05C85">
        <w:rPr>
          <w:lang w:val="fr-FR"/>
        </w:rPr>
        <w:tab/>
        <w:t>Dispositions applicables en cas de défaillance :</w:t>
      </w:r>
    </w:p>
    <w:p w14:paraId="556A782B" w14:textId="77777777" w:rsidR="00AF2126" w:rsidRPr="00D05C85" w:rsidRDefault="00AF2126" w:rsidP="00AF2126">
      <w:pPr>
        <w:pStyle w:val="SingleTxtG"/>
        <w:ind w:left="2268"/>
        <w:rPr>
          <w:lang w:val="fr-FR"/>
        </w:rPr>
      </w:pPr>
      <w:r w:rsidRPr="00D05C85">
        <w:rPr>
          <w:lang w:val="fr-FR"/>
        </w:rPr>
        <w:tab/>
        <w:t>Voir le paragraphe 4.6.</w:t>
      </w:r>
    </w:p>
    <w:p w14:paraId="7090E867" w14:textId="77777777" w:rsidR="00AF2126" w:rsidRPr="00D05C85" w:rsidRDefault="00AF2126" w:rsidP="00AF2126">
      <w:pPr>
        <w:pStyle w:val="SingleTxtG"/>
        <w:ind w:left="2268" w:hanging="1134"/>
        <w:rPr>
          <w:lang w:val="fr-FR"/>
        </w:rPr>
      </w:pPr>
      <w:r w:rsidRPr="00D05C85">
        <w:rPr>
          <w:lang w:val="fr-FR"/>
        </w:rPr>
        <w:t>5.11.7</w:t>
      </w:r>
      <w:r w:rsidRPr="00D05C85">
        <w:rPr>
          <w:lang w:val="fr-FR"/>
        </w:rPr>
        <w:tab/>
        <w:t>Couleur :</w:t>
      </w:r>
    </w:p>
    <w:p w14:paraId="0230AF02" w14:textId="77777777" w:rsidR="00AF2126" w:rsidRPr="00D05C85" w:rsidRDefault="00AF2126" w:rsidP="00AF2126">
      <w:pPr>
        <w:pStyle w:val="SingleTxtG"/>
        <w:ind w:left="2268"/>
        <w:rPr>
          <w:lang w:val="fr-FR"/>
        </w:rPr>
      </w:pPr>
      <w:r w:rsidRPr="00D05C85">
        <w:rPr>
          <w:lang w:val="fr-FR"/>
        </w:rPr>
        <w:tab/>
        <w:t>La lumière émise doit être suffisamment incolore pour ne pas modifier sensiblement la couleur de la plaque d’immatriculation.</w:t>
      </w:r>
    </w:p>
    <w:p w14:paraId="20B68F4F" w14:textId="77777777" w:rsidR="00AF2126" w:rsidRPr="00D05C85" w:rsidRDefault="00AF2126" w:rsidP="00AF2126">
      <w:pPr>
        <w:pStyle w:val="HChG"/>
        <w:tabs>
          <w:tab w:val="clear" w:pos="851"/>
          <w:tab w:val="right" w:pos="1134"/>
        </w:tabs>
        <w:ind w:left="2268"/>
        <w:outlineLvl w:val="0"/>
        <w:rPr>
          <w:rFonts w:eastAsia="Times New Roman"/>
          <w:b w:val="0"/>
          <w:bCs/>
          <w:szCs w:val="28"/>
          <w:lang w:val="fr-FR"/>
        </w:rPr>
      </w:pPr>
      <w:r w:rsidRPr="00D05C85">
        <w:rPr>
          <w:bCs/>
          <w:lang w:val="fr-FR"/>
        </w:rPr>
        <w:t>6.</w:t>
      </w:r>
      <w:r w:rsidRPr="00D05C85">
        <w:rPr>
          <w:lang w:val="fr-FR"/>
        </w:rPr>
        <w:tab/>
      </w:r>
      <w:r w:rsidRPr="00D05C85">
        <w:rPr>
          <w:bCs/>
          <w:lang w:val="fr-FR"/>
        </w:rPr>
        <w:t>Conformité de la production</w:t>
      </w:r>
    </w:p>
    <w:p w14:paraId="16A48A4B" w14:textId="77777777" w:rsidR="00AF2126" w:rsidRPr="00D05C85" w:rsidRDefault="00AF2126" w:rsidP="00AF2126">
      <w:pPr>
        <w:pStyle w:val="SingleTxtG"/>
        <w:ind w:left="2268" w:hanging="1134"/>
        <w:rPr>
          <w:lang w:val="fr-FR"/>
        </w:rPr>
      </w:pPr>
      <w:r w:rsidRPr="00D05C85">
        <w:rPr>
          <w:lang w:val="fr-FR"/>
        </w:rPr>
        <w:t>6.1</w:t>
      </w:r>
      <w:r w:rsidRPr="00D05C85">
        <w:rPr>
          <w:lang w:val="fr-FR"/>
        </w:rPr>
        <w:tab/>
        <w:t>Les feux doivent être fabriqués de façon à être conformes au type homologué en application du présent Règlement. Le respect des prescriptions du paragraphe 5 doit être vérifié comme suit :</w:t>
      </w:r>
    </w:p>
    <w:p w14:paraId="415A1964" w14:textId="77777777" w:rsidR="00AF2126" w:rsidRPr="00D05C85" w:rsidRDefault="00AF2126" w:rsidP="00AF2126">
      <w:pPr>
        <w:pStyle w:val="SingleTxtG"/>
        <w:ind w:left="2268" w:hanging="1134"/>
        <w:rPr>
          <w:rStyle w:val="Carpredefinitoparagrafo1"/>
          <w:bCs/>
          <w:lang w:val="fr-FR"/>
        </w:rPr>
      </w:pPr>
      <w:r w:rsidRPr="00D05C85">
        <w:rPr>
          <w:lang w:val="fr-FR"/>
        </w:rPr>
        <w:t>6.1.1</w:t>
      </w:r>
      <w:r w:rsidRPr="00D05C85">
        <w:rPr>
          <w:lang w:val="fr-FR"/>
        </w:rPr>
        <w:tab/>
        <w:t>Les prescriptions minimales concernant les procédures de contrôle de la conformité de la production énoncées à l’annexe 4 doivent être satisfaites ;</w:t>
      </w:r>
    </w:p>
    <w:p w14:paraId="388CE95F" w14:textId="52835071" w:rsidR="00AF2126" w:rsidRPr="00D05C85" w:rsidRDefault="00AF2126" w:rsidP="00AF2126">
      <w:pPr>
        <w:pStyle w:val="SingleTxtG"/>
        <w:ind w:left="2268" w:hanging="1134"/>
        <w:rPr>
          <w:rStyle w:val="Carpredefinitoparagrafo1"/>
          <w:bCs/>
          <w:lang w:val="fr-FR"/>
        </w:rPr>
      </w:pPr>
      <w:r w:rsidRPr="00D05C85">
        <w:rPr>
          <w:lang w:val="fr-FR"/>
        </w:rPr>
        <w:t>6.1.2</w:t>
      </w:r>
      <w:r w:rsidRPr="00D05C85">
        <w:rPr>
          <w:lang w:val="fr-FR"/>
        </w:rPr>
        <w:tab/>
        <w:t>Les prescriptions minimales concernant l’échantillonnage fait par un inspecteur, énoncées à l’annexe 5, doivent être satisfaites</w:t>
      </w:r>
      <w:r w:rsidR="00BF64F4" w:rsidRPr="00D05C85">
        <w:rPr>
          <w:lang w:val="fr-FR"/>
        </w:rPr>
        <w:t> ;</w:t>
      </w:r>
    </w:p>
    <w:p w14:paraId="10E1A566" w14:textId="77777777" w:rsidR="00AF2126" w:rsidRPr="00D05C85" w:rsidRDefault="00AF2126" w:rsidP="00AF2126">
      <w:pPr>
        <w:pStyle w:val="SingleTxtG"/>
        <w:ind w:left="2268" w:hanging="1134"/>
        <w:rPr>
          <w:lang w:val="fr-FR"/>
        </w:rPr>
      </w:pPr>
      <w:r w:rsidRPr="00D05C85">
        <w:rPr>
          <w:lang w:val="fr-FR"/>
        </w:rPr>
        <w:t>6.1.3</w:t>
      </w:r>
      <w:r w:rsidRPr="00D05C85">
        <w:rPr>
          <w:lang w:val="fr-FR"/>
        </w:rPr>
        <w:tab/>
        <w:t>Aucune valeur mesurée ne s’écarte, dans le sens défavorable, de plus de 20 % des valeurs prescrites dans le présent Règlement.</w:t>
      </w:r>
    </w:p>
    <w:p w14:paraId="3B930343" w14:textId="45C1B997" w:rsidR="00AF2126" w:rsidRPr="00D05C85" w:rsidRDefault="00AF2126" w:rsidP="00AF2126">
      <w:pPr>
        <w:pStyle w:val="SingleTxtG"/>
        <w:ind w:left="2268"/>
        <w:rPr>
          <w:lang w:val="fr-FR"/>
        </w:rPr>
      </w:pPr>
      <w:r w:rsidRPr="00D05C85">
        <w:rPr>
          <w:lang w:val="fr-FR"/>
        </w:rPr>
        <w:t xml:space="preserve">En ce qui concerne les valeurs minimales requises pour tous les champs précisés aux annexes 2 </w:t>
      </w:r>
      <w:r w:rsidR="00910B33">
        <w:rPr>
          <w:lang w:val="fr-FR"/>
        </w:rPr>
        <w:t xml:space="preserve">et </w:t>
      </w:r>
      <w:r w:rsidRPr="00D05C85">
        <w:rPr>
          <w:lang w:val="fr-FR"/>
        </w:rPr>
        <w:t>3, les valeurs mesurées doivent correspondre à celles qui sont indiquées dans le tableau 12</w:t>
      </w:r>
      <w:r w:rsidR="00BF64F4" w:rsidRPr="00D05C85">
        <w:rPr>
          <w:lang w:val="fr-FR"/>
        </w:rPr>
        <w:t> :</w:t>
      </w:r>
    </w:p>
    <w:p w14:paraId="11F0E694" w14:textId="0CED104E" w:rsidR="00AF2126" w:rsidRPr="00D05C85" w:rsidRDefault="00AF2126" w:rsidP="00AF2126">
      <w:pPr>
        <w:pStyle w:val="Titre1"/>
        <w:tabs>
          <w:tab w:val="left" w:pos="1701"/>
          <w:tab w:val="left" w:pos="2268"/>
          <w:tab w:val="left" w:pos="2835"/>
        </w:tabs>
        <w:spacing w:after="120"/>
        <w:ind w:left="2268"/>
        <w:rPr>
          <w:b/>
          <w:bCs/>
          <w:lang w:val="fr-FR"/>
        </w:rPr>
      </w:pPr>
      <w:r w:rsidRPr="00D05C85">
        <w:rPr>
          <w:lang w:val="fr-FR"/>
        </w:rPr>
        <w:t>Tableau 12</w:t>
      </w:r>
      <w:r w:rsidRPr="00D05C85">
        <w:rPr>
          <w:lang w:val="fr-FR"/>
        </w:rPr>
        <w:br/>
      </w:r>
      <w:r w:rsidRPr="00D05C85">
        <w:rPr>
          <w:b/>
          <w:bCs/>
          <w:lang w:val="fr-FR"/>
        </w:rPr>
        <w:t xml:space="preserve">Valeurs à 20 </w:t>
      </w:r>
      <w:r w:rsidR="00910B33">
        <w:rPr>
          <w:b/>
          <w:bCs/>
          <w:lang w:val="fr-FR"/>
        </w:rPr>
        <w:t xml:space="preserve">et </w:t>
      </w:r>
      <w:r w:rsidRPr="00D05C85">
        <w:rPr>
          <w:b/>
          <w:bCs/>
          <w:lang w:val="fr-FR"/>
        </w:rPr>
        <w:t>30 % pour la conformité de la production</w:t>
      </w:r>
    </w:p>
    <w:tbl>
      <w:tblPr>
        <w:tblStyle w:val="Grilledutableau"/>
        <w:tblW w:w="6237" w:type="dxa"/>
        <w:tblInd w:w="2263" w:type="dxa"/>
        <w:tblLayout w:type="fixed"/>
        <w:tblLook w:val="04A0" w:firstRow="1" w:lastRow="0" w:firstColumn="1" w:lastColumn="0" w:noHBand="0" w:noVBand="1"/>
      </w:tblPr>
      <w:tblGrid>
        <w:gridCol w:w="2268"/>
        <w:gridCol w:w="1985"/>
        <w:gridCol w:w="1984"/>
      </w:tblGrid>
      <w:tr w:rsidR="00AF2126" w:rsidRPr="00D05C85" w14:paraId="691986C7" w14:textId="77777777" w:rsidTr="00E70082">
        <w:trPr>
          <w:trHeight w:val="400"/>
        </w:trPr>
        <w:tc>
          <w:tcPr>
            <w:tcW w:w="2268" w:type="dxa"/>
            <w:vAlign w:val="bottom"/>
          </w:tcPr>
          <w:p w14:paraId="61CA68F2" w14:textId="77777777" w:rsidR="00AF2126" w:rsidRPr="00D05C85" w:rsidRDefault="00AF2126" w:rsidP="00E70082">
            <w:pPr>
              <w:pStyle w:val="SingleTxtG"/>
              <w:spacing w:before="80" w:after="80" w:line="200" w:lineRule="exact"/>
              <w:ind w:left="0" w:right="0"/>
              <w:jc w:val="center"/>
              <w:rPr>
                <w:b/>
                <w:bCs/>
                <w:i/>
                <w:iCs/>
                <w:sz w:val="16"/>
                <w:szCs w:val="16"/>
                <w:lang w:val="fr-FR"/>
              </w:rPr>
            </w:pPr>
            <w:r w:rsidRPr="00D05C85">
              <w:rPr>
                <w:b/>
                <w:bCs/>
                <w:i/>
                <w:iCs/>
                <w:sz w:val="16"/>
                <w:szCs w:val="16"/>
                <w:lang w:val="fr-FR"/>
              </w:rPr>
              <w:t>Valeur minimale requise / cd</w:t>
            </w:r>
          </w:p>
        </w:tc>
        <w:tc>
          <w:tcPr>
            <w:tcW w:w="1985" w:type="dxa"/>
            <w:vAlign w:val="bottom"/>
          </w:tcPr>
          <w:p w14:paraId="2D28FA0F" w14:textId="77777777" w:rsidR="00AF2126" w:rsidRPr="00D05C85" w:rsidRDefault="00AF2126" w:rsidP="00E70082">
            <w:pPr>
              <w:pStyle w:val="SingleTxtG"/>
              <w:spacing w:before="80" w:after="80" w:line="200" w:lineRule="exact"/>
              <w:ind w:left="0" w:right="0"/>
              <w:jc w:val="center"/>
              <w:rPr>
                <w:b/>
                <w:bCs/>
                <w:i/>
                <w:iCs/>
                <w:sz w:val="16"/>
                <w:szCs w:val="16"/>
                <w:lang w:val="fr-FR"/>
              </w:rPr>
            </w:pPr>
            <w:r w:rsidRPr="00D05C85">
              <w:rPr>
                <w:b/>
                <w:bCs/>
                <w:i/>
                <w:iCs/>
                <w:sz w:val="16"/>
                <w:szCs w:val="16"/>
                <w:lang w:val="fr-FR"/>
              </w:rPr>
              <w:t>Équivalent 20 % / cd</w:t>
            </w:r>
          </w:p>
        </w:tc>
        <w:tc>
          <w:tcPr>
            <w:tcW w:w="1984" w:type="dxa"/>
            <w:vAlign w:val="bottom"/>
          </w:tcPr>
          <w:p w14:paraId="180DEBBE" w14:textId="77777777" w:rsidR="00AF2126" w:rsidRPr="00D05C85" w:rsidRDefault="00AF2126" w:rsidP="00E70082">
            <w:pPr>
              <w:pStyle w:val="SingleTxtG"/>
              <w:spacing w:before="80" w:after="80" w:line="200" w:lineRule="exact"/>
              <w:ind w:left="0" w:right="0"/>
              <w:jc w:val="center"/>
              <w:rPr>
                <w:b/>
                <w:bCs/>
                <w:i/>
                <w:iCs/>
                <w:sz w:val="16"/>
                <w:szCs w:val="16"/>
                <w:lang w:val="fr-FR"/>
              </w:rPr>
            </w:pPr>
            <w:r w:rsidRPr="00D05C85">
              <w:rPr>
                <w:b/>
                <w:bCs/>
                <w:i/>
                <w:iCs/>
                <w:sz w:val="16"/>
                <w:szCs w:val="16"/>
                <w:lang w:val="fr-FR"/>
              </w:rPr>
              <w:t>Équivalent 30 % / cd</w:t>
            </w:r>
          </w:p>
        </w:tc>
      </w:tr>
      <w:tr w:rsidR="00AF2126" w:rsidRPr="00D05C85" w14:paraId="43BAB1F4" w14:textId="77777777" w:rsidTr="00E70082">
        <w:tc>
          <w:tcPr>
            <w:tcW w:w="2268" w:type="dxa"/>
            <w:vAlign w:val="center"/>
          </w:tcPr>
          <w:p w14:paraId="13546753"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7∙10</w:t>
            </w:r>
            <w:r w:rsidRPr="00D05C85">
              <w:rPr>
                <w:sz w:val="18"/>
                <w:szCs w:val="18"/>
                <w:vertAlign w:val="superscript"/>
                <w:lang w:val="fr-FR"/>
              </w:rPr>
              <w:t>-1</w:t>
            </w:r>
          </w:p>
        </w:tc>
        <w:tc>
          <w:tcPr>
            <w:tcW w:w="1985" w:type="dxa"/>
            <w:vAlign w:val="center"/>
          </w:tcPr>
          <w:p w14:paraId="280C8544"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5∙10</w:t>
            </w:r>
            <w:r w:rsidRPr="00D05C85">
              <w:rPr>
                <w:sz w:val="18"/>
                <w:szCs w:val="18"/>
                <w:vertAlign w:val="superscript"/>
                <w:lang w:val="fr-FR"/>
              </w:rPr>
              <w:t>-1</w:t>
            </w:r>
          </w:p>
        </w:tc>
        <w:tc>
          <w:tcPr>
            <w:tcW w:w="1984" w:type="dxa"/>
            <w:vAlign w:val="center"/>
          </w:tcPr>
          <w:p w14:paraId="03613854"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3∙10</w:t>
            </w:r>
            <w:r w:rsidRPr="00D05C85">
              <w:rPr>
                <w:sz w:val="18"/>
                <w:szCs w:val="18"/>
                <w:vertAlign w:val="superscript"/>
                <w:lang w:val="fr-FR"/>
              </w:rPr>
              <w:t>-1</w:t>
            </w:r>
          </w:p>
        </w:tc>
      </w:tr>
      <w:tr w:rsidR="00AF2126" w:rsidRPr="00D05C85" w14:paraId="1578B268" w14:textId="77777777" w:rsidTr="00E70082">
        <w:tc>
          <w:tcPr>
            <w:tcW w:w="2268" w:type="dxa"/>
            <w:vAlign w:val="center"/>
          </w:tcPr>
          <w:p w14:paraId="6C49A366"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6∙10</w:t>
            </w:r>
            <w:r w:rsidRPr="00D05C85">
              <w:rPr>
                <w:sz w:val="18"/>
                <w:szCs w:val="18"/>
                <w:vertAlign w:val="superscript"/>
                <w:lang w:val="fr-FR"/>
              </w:rPr>
              <w:t>-1</w:t>
            </w:r>
          </w:p>
        </w:tc>
        <w:tc>
          <w:tcPr>
            <w:tcW w:w="1985" w:type="dxa"/>
            <w:vAlign w:val="center"/>
          </w:tcPr>
          <w:p w14:paraId="600E5E03"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4∙10</w:t>
            </w:r>
            <w:r w:rsidRPr="00D05C85">
              <w:rPr>
                <w:sz w:val="18"/>
                <w:szCs w:val="18"/>
                <w:vertAlign w:val="superscript"/>
                <w:lang w:val="fr-FR"/>
              </w:rPr>
              <w:t>-1</w:t>
            </w:r>
          </w:p>
        </w:tc>
        <w:tc>
          <w:tcPr>
            <w:tcW w:w="1984" w:type="dxa"/>
            <w:vAlign w:val="center"/>
          </w:tcPr>
          <w:p w14:paraId="223990E7"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2∙10</w:t>
            </w:r>
            <w:r w:rsidRPr="00D05C85">
              <w:rPr>
                <w:sz w:val="18"/>
                <w:szCs w:val="18"/>
                <w:vertAlign w:val="superscript"/>
                <w:lang w:val="fr-FR"/>
              </w:rPr>
              <w:t>-1</w:t>
            </w:r>
          </w:p>
        </w:tc>
      </w:tr>
      <w:tr w:rsidR="00AF2126" w:rsidRPr="00D05C85" w14:paraId="687EADFD" w14:textId="77777777" w:rsidTr="00E70082">
        <w:tc>
          <w:tcPr>
            <w:tcW w:w="2268" w:type="dxa"/>
            <w:vAlign w:val="center"/>
          </w:tcPr>
          <w:p w14:paraId="5260F401"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3∙10</w:t>
            </w:r>
            <w:r w:rsidRPr="00D05C85">
              <w:rPr>
                <w:sz w:val="18"/>
                <w:szCs w:val="18"/>
                <w:vertAlign w:val="superscript"/>
                <w:lang w:val="fr-FR"/>
              </w:rPr>
              <w:t>-1</w:t>
            </w:r>
          </w:p>
        </w:tc>
        <w:tc>
          <w:tcPr>
            <w:tcW w:w="1985" w:type="dxa"/>
            <w:vAlign w:val="center"/>
          </w:tcPr>
          <w:p w14:paraId="6C7DBB5A"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2∙10</w:t>
            </w:r>
            <w:r w:rsidRPr="00D05C85">
              <w:rPr>
                <w:sz w:val="18"/>
                <w:szCs w:val="18"/>
                <w:vertAlign w:val="superscript"/>
                <w:lang w:val="fr-FR"/>
              </w:rPr>
              <w:t>-1</w:t>
            </w:r>
          </w:p>
        </w:tc>
        <w:tc>
          <w:tcPr>
            <w:tcW w:w="1984" w:type="dxa"/>
            <w:vAlign w:val="center"/>
          </w:tcPr>
          <w:p w14:paraId="2E89689A"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1∙10</w:t>
            </w:r>
            <w:r w:rsidRPr="00D05C85">
              <w:rPr>
                <w:sz w:val="18"/>
                <w:szCs w:val="18"/>
                <w:vertAlign w:val="superscript"/>
                <w:lang w:val="fr-FR"/>
              </w:rPr>
              <w:t>-1</w:t>
            </w:r>
          </w:p>
        </w:tc>
      </w:tr>
      <w:tr w:rsidR="00AF2126" w:rsidRPr="00D05C85" w14:paraId="2F33186C" w14:textId="77777777" w:rsidTr="00E70082">
        <w:tc>
          <w:tcPr>
            <w:tcW w:w="2268" w:type="dxa"/>
            <w:vAlign w:val="center"/>
          </w:tcPr>
          <w:p w14:paraId="5EE5BF24"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7∙10</w:t>
            </w:r>
            <w:r w:rsidRPr="00D05C85">
              <w:rPr>
                <w:sz w:val="18"/>
                <w:szCs w:val="18"/>
                <w:vertAlign w:val="superscript"/>
                <w:lang w:val="fr-FR"/>
              </w:rPr>
              <w:t>-2</w:t>
            </w:r>
          </w:p>
        </w:tc>
        <w:tc>
          <w:tcPr>
            <w:tcW w:w="1985" w:type="dxa"/>
            <w:vAlign w:val="center"/>
          </w:tcPr>
          <w:p w14:paraId="2EE2A810"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5∙10</w:t>
            </w:r>
            <w:r w:rsidRPr="00D05C85">
              <w:rPr>
                <w:sz w:val="18"/>
                <w:szCs w:val="18"/>
                <w:vertAlign w:val="superscript"/>
                <w:lang w:val="fr-FR"/>
              </w:rPr>
              <w:t>-2</w:t>
            </w:r>
          </w:p>
        </w:tc>
        <w:tc>
          <w:tcPr>
            <w:tcW w:w="1984" w:type="dxa"/>
            <w:vAlign w:val="center"/>
          </w:tcPr>
          <w:p w14:paraId="48563B70"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3∙10</w:t>
            </w:r>
            <w:r w:rsidRPr="00D05C85">
              <w:rPr>
                <w:sz w:val="18"/>
                <w:szCs w:val="18"/>
                <w:vertAlign w:val="superscript"/>
                <w:lang w:val="fr-FR"/>
              </w:rPr>
              <w:t>-2</w:t>
            </w:r>
          </w:p>
        </w:tc>
      </w:tr>
      <w:tr w:rsidR="00AF2126" w:rsidRPr="00D05C85" w14:paraId="334054DD" w14:textId="77777777" w:rsidTr="00E70082">
        <w:tc>
          <w:tcPr>
            <w:tcW w:w="2268" w:type="dxa"/>
            <w:vAlign w:val="center"/>
          </w:tcPr>
          <w:p w14:paraId="563CADD1"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5∙10</w:t>
            </w:r>
            <w:r w:rsidRPr="00D05C85">
              <w:rPr>
                <w:sz w:val="18"/>
                <w:szCs w:val="18"/>
                <w:vertAlign w:val="superscript"/>
                <w:lang w:val="fr-FR"/>
              </w:rPr>
              <w:t>-2</w:t>
            </w:r>
          </w:p>
        </w:tc>
        <w:tc>
          <w:tcPr>
            <w:tcW w:w="1985" w:type="dxa"/>
            <w:vAlign w:val="center"/>
          </w:tcPr>
          <w:p w14:paraId="70E508CF"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3∙10</w:t>
            </w:r>
            <w:r w:rsidRPr="00D05C85">
              <w:rPr>
                <w:sz w:val="18"/>
                <w:szCs w:val="18"/>
                <w:vertAlign w:val="superscript"/>
                <w:lang w:val="fr-FR"/>
              </w:rPr>
              <w:t>-2</w:t>
            </w:r>
          </w:p>
        </w:tc>
        <w:tc>
          <w:tcPr>
            <w:tcW w:w="1984" w:type="dxa"/>
            <w:vAlign w:val="center"/>
          </w:tcPr>
          <w:p w14:paraId="1D8FDDE5"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2∙10</w:t>
            </w:r>
            <w:r w:rsidRPr="00D05C85">
              <w:rPr>
                <w:sz w:val="18"/>
                <w:szCs w:val="18"/>
                <w:vertAlign w:val="superscript"/>
                <w:lang w:val="fr-FR"/>
              </w:rPr>
              <w:t>-2</w:t>
            </w:r>
          </w:p>
        </w:tc>
      </w:tr>
    </w:tbl>
    <w:p w14:paraId="46045E61" w14:textId="38B86C0C" w:rsidR="00AF2126" w:rsidRPr="00D05C85" w:rsidRDefault="00AF2126" w:rsidP="00AF2126">
      <w:pPr>
        <w:pStyle w:val="SingleTxtG"/>
        <w:spacing w:before="240"/>
        <w:ind w:left="2268" w:hanging="1134"/>
        <w:rPr>
          <w:rStyle w:val="Carpredefinitoparagrafo1"/>
          <w:rFonts w:eastAsia="MS PMincho"/>
          <w:lang w:val="fr-FR"/>
        </w:rPr>
      </w:pPr>
      <w:r w:rsidRPr="00D05C85">
        <w:rPr>
          <w:lang w:val="fr-FR"/>
        </w:rPr>
        <w:t>6.1.3.1</w:t>
      </w:r>
      <w:r w:rsidRPr="00D05C85">
        <w:rPr>
          <w:lang w:val="fr-FR"/>
        </w:rPr>
        <w:tab/>
        <w:t xml:space="preserve">Toutefois, dans le cas d’un feu de circulation diurne destiné à être monté sur des véhicules de la catégorie L3 </w:t>
      </w:r>
      <w:r w:rsidR="00910B33">
        <w:rPr>
          <w:lang w:val="fr-FR"/>
        </w:rPr>
        <w:t xml:space="preserve">et </w:t>
      </w:r>
      <w:r w:rsidRPr="00D05C85">
        <w:rPr>
          <w:lang w:val="fr-FR"/>
        </w:rPr>
        <w:t>dont l’intensité lumineuse maximale théorique ne dépasse pas 7,00∙10</w:t>
      </w:r>
      <w:r w:rsidRPr="00D05C85">
        <w:rPr>
          <w:vertAlign w:val="superscript"/>
          <w:lang w:val="fr-FR"/>
        </w:rPr>
        <w:t>2</w:t>
      </w:r>
      <w:r w:rsidRPr="00D05C85">
        <w:rPr>
          <w:lang w:val="fr-FR"/>
        </w:rPr>
        <w:t xml:space="preserve"> cd, comme indiqué à l’annexe 1, l’intensité lumineuse maximale doit être fixée à 7,00∙10</w:t>
      </w:r>
      <w:r w:rsidRPr="00D05C85">
        <w:rPr>
          <w:vertAlign w:val="superscript"/>
          <w:lang w:val="fr-FR"/>
        </w:rPr>
        <w:t>2</w:t>
      </w:r>
      <w:r w:rsidRPr="00D05C85">
        <w:rPr>
          <w:lang w:val="fr-FR"/>
        </w:rPr>
        <w:t xml:space="preserve"> cd dans le cadre des procédures de contrôle de la conformité de la production décrites aux annexes 4 </w:t>
      </w:r>
      <w:r w:rsidR="00910B33">
        <w:rPr>
          <w:lang w:val="fr-FR"/>
        </w:rPr>
        <w:t xml:space="preserve">et </w:t>
      </w:r>
      <w:r w:rsidRPr="00D05C85">
        <w:rPr>
          <w:lang w:val="fr-FR"/>
        </w:rPr>
        <w:t>5.</w:t>
      </w:r>
    </w:p>
    <w:p w14:paraId="30A57CA4" w14:textId="0951606E" w:rsidR="00AF2126" w:rsidRPr="00D05C85" w:rsidRDefault="00AF2126" w:rsidP="00AF2126">
      <w:pPr>
        <w:pStyle w:val="SingleTxtG"/>
        <w:ind w:left="2268" w:hanging="1134"/>
        <w:rPr>
          <w:rStyle w:val="Carpredefinitoparagrafo1"/>
          <w:rFonts w:eastAsia="MS PMincho"/>
          <w:lang w:val="fr-FR"/>
        </w:rPr>
      </w:pPr>
      <w:r w:rsidRPr="00D05C85">
        <w:rPr>
          <w:lang w:val="fr-FR"/>
        </w:rPr>
        <w:lastRenderedPageBreak/>
        <w:t>6.1.3.2</w:t>
      </w:r>
      <w:r w:rsidRPr="00D05C85">
        <w:rPr>
          <w:lang w:val="fr-FR"/>
        </w:rPr>
        <w:tab/>
        <w:t>Pour les feux d’éclairage de la plaque d’immatriculation arrière, en ce qui concerne le gradient de la luminance, l’écart dans le sens défavorable doit correspondre à celui qui est indiqué dans le tableau 13</w:t>
      </w:r>
      <w:r w:rsidR="00BF64F4" w:rsidRPr="00D05C85">
        <w:rPr>
          <w:lang w:val="fr-FR"/>
        </w:rPr>
        <w:t> :</w:t>
      </w:r>
    </w:p>
    <w:p w14:paraId="57AB6B68" w14:textId="5E20EC64" w:rsidR="00AF2126" w:rsidRPr="00D05C85" w:rsidRDefault="00AF2126" w:rsidP="00AF2126">
      <w:pPr>
        <w:pStyle w:val="Titre1"/>
        <w:tabs>
          <w:tab w:val="left" w:pos="1701"/>
          <w:tab w:val="left" w:pos="2268"/>
          <w:tab w:val="left" w:pos="2835"/>
        </w:tabs>
        <w:spacing w:after="120"/>
        <w:ind w:left="2268" w:right="1134"/>
        <w:rPr>
          <w:b/>
          <w:bCs/>
          <w:lang w:val="fr-FR"/>
        </w:rPr>
      </w:pPr>
      <w:r w:rsidRPr="00D05C85">
        <w:rPr>
          <w:lang w:val="fr-FR"/>
        </w:rPr>
        <w:t>Tableau 13</w:t>
      </w:r>
      <w:r w:rsidRPr="00D05C85">
        <w:rPr>
          <w:lang w:val="fr-FR"/>
        </w:rPr>
        <w:br/>
      </w:r>
      <w:r w:rsidRPr="00D05C85">
        <w:rPr>
          <w:b/>
          <w:bCs/>
          <w:lang w:val="fr-FR"/>
        </w:rPr>
        <w:t xml:space="preserve">Valeurs à 20 </w:t>
      </w:r>
      <w:r w:rsidR="00910B33">
        <w:rPr>
          <w:b/>
          <w:bCs/>
          <w:lang w:val="fr-FR"/>
        </w:rPr>
        <w:t xml:space="preserve">et </w:t>
      </w:r>
      <w:r w:rsidRPr="00D05C85">
        <w:rPr>
          <w:b/>
          <w:bCs/>
          <w:lang w:val="fr-FR"/>
        </w:rPr>
        <w:t>30 % pour la conformité de la production, feux d’éclairage de la plaque d’immatriculation arrière</w:t>
      </w:r>
    </w:p>
    <w:tbl>
      <w:tblPr>
        <w:tblStyle w:val="Grilledutableau"/>
        <w:tblW w:w="6237" w:type="dxa"/>
        <w:tblInd w:w="2263" w:type="dxa"/>
        <w:tblLayout w:type="fixed"/>
        <w:tblLook w:val="04A0" w:firstRow="1" w:lastRow="0" w:firstColumn="1" w:lastColumn="0" w:noHBand="0" w:noVBand="1"/>
      </w:tblPr>
      <w:tblGrid>
        <w:gridCol w:w="2268"/>
        <w:gridCol w:w="1985"/>
        <w:gridCol w:w="1984"/>
      </w:tblGrid>
      <w:tr w:rsidR="00AF2126" w:rsidRPr="00D05C85" w14:paraId="64808754" w14:textId="77777777" w:rsidTr="00E70082">
        <w:tc>
          <w:tcPr>
            <w:tcW w:w="6237" w:type="dxa"/>
            <w:gridSpan w:val="3"/>
          </w:tcPr>
          <w:p w14:paraId="664447BA" w14:textId="77777777" w:rsidR="00AF2126" w:rsidRPr="00D05C85" w:rsidRDefault="00AF2126" w:rsidP="00E70082">
            <w:pPr>
              <w:pStyle w:val="SingleTxtG"/>
              <w:spacing w:before="80" w:after="80" w:line="200" w:lineRule="exact"/>
              <w:ind w:left="0" w:right="0"/>
              <w:jc w:val="center"/>
              <w:rPr>
                <w:b/>
                <w:bCs/>
                <w:i/>
                <w:iCs/>
                <w:sz w:val="16"/>
                <w:szCs w:val="16"/>
                <w:lang w:val="fr-FR"/>
              </w:rPr>
            </w:pPr>
            <w:r w:rsidRPr="00D05C85">
              <w:rPr>
                <w:b/>
                <w:bCs/>
                <w:i/>
                <w:iCs/>
                <w:sz w:val="16"/>
                <w:szCs w:val="16"/>
                <w:lang w:val="fr-FR"/>
              </w:rPr>
              <w:t>Écart défavorable</w:t>
            </w:r>
          </w:p>
        </w:tc>
      </w:tr>
      <w:tr w:rsidR="00AF2126" w:rsidRPr="00D05C85" w14:paraId="7EA776CF" w14:textId="77777777" w:rsidTr="00E70082">
        <w:tc>
          <w:tcPr>
            <w:tcW w:w="2268" w:type="dxa"/>
          </w:tcPr>
          <w:p w14:paraId="31D49CC6"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2,5 x Bo/cm</w:t>
            </w:r>
          </w:p>
        </w:tc>
        <w:tc>
          <w:tcPr>
            <w:tcW w:w="1985" w:type="dxa"/>
          </w:tcPr>
          <w:p w14:paraId="448F2A0D" w14:textId="77777777" w:rsidR="00AF2126" w:rsidRPr="00D05C85" w:rsidRDefault="00AF2126" w:rsidP="00E70082">
            <w:pPr>
              <w:pStyle w:val="SingleTxtG"/>
              <w:spacing w:before="40" w:after="40" w:line="220" w:lineRule="exact"/>
              <w:ind w:left="0" w:right="0"/>
              <w:jc w:val="center"/>
              <w:rPr>
                <w:sz w:val="18"/>
                <w:szCs w:val="18"/>
                <w:lang w:val="fr-FR"/>
              </w:rPr>
            </w:pPr>
            <w:r w:rsidRPr="00D05C85">
              <w:rPr>
                <w:sz w:val="18"/>
                <w:szCs w:val="18"/>
                <w:lang w:val="fr-FR"/>
              </w:rPr>
              <w:t>Comparable à</w:t>
            </w:r>
          </w:p>
        </w:tc>
        <w:tc>
          <w:tcPr>
            <w:tcW w:w="1984" w:type="dxa"/>
          </w:tcPr>
          <w:p w14:paraId="434D118F" w14:textId="77777777" w:rsidR="00AF2126" w:rsidRPr="00D05C85" w:rsidRDefault="00AF2126" w:rsidP="00E70082">
            <w:pPr>
              <w:pStyle w:val="SingleTxtG"/>
              <w:spacing w:before="40" w:after="40" w:line="220" w:lineRule="exact"/>
              <w:ind w:left="0" w:right="0"/>
              <w:jc w:val="center"/>
              <w:rPr>
                <w:sz w:val="18"/>
                <w:szCs w:val="18"/>
                <w:lang w:val="fr-FR"/>
              </w:rPr>
            </w:pPr>
            <w:r w:rsidRPr="00D05C85">
              <w:rPr>
                <w:sz w:val="18"/>
                <w:szCs w:val="18"/>
                <w:lang w:val="fr-FR"/>
              </w:rPr>
              <w:t>20 %</w:t>
            </w:r>
          </w:p>
        </w:tc>
      </w:tr>
      <w:tr w:rsidR="00AF2126" w:rsidRPr="00D05C85" w14:paraId="7687EE55" w14:textId="77777777" w:rsidTr="00E70082">
        <w:tc>
          <w:tcPr>
            <w:tcW w:w="2268" w:type="dxa"/>
          </w:tcPr>
          <w:p w14:paraId="7985D78F" w14:textId="77777777" w:rsidR="00AF2126" w:rsidRPr="00D05C85" w:rsidRDefault="00AF2126" w:rsidP="00E70082">
            <w:pPr>
              <w:pStyle w:val="SingleTxtG"/>
              <w:spacing w:before="40" w:after="40" w:line="220" w:lineRule="exact"/>
              <w:ind w:left="0" w:right="0"/>
              <w:jc w:val="center"/>
              <w:rPr>
                <w:b/>
                <w:bCs/>
                <w:sz w:val="18"/>
                <w:szCs w:val="18"/>
                <w:lang w:val="fr-FR"/>
              </w:rPr>
            </w:pPr>
            <w:r w:rsidRPr="00D05C85">
              <w:rPr>
                <w:sz w:val="18"/>
                <w:szCs w:val="18"/>
                <w:lang w:val="fr-FR"/>
              </w:rPr>
              <w:t>3,0 x Bo/cm</w:t>
            </w:r>
          </w:p>
        </w:tc>
        <w:tc>
          <w:tcPr>
            <w:tcW w:w="1985" w:type="dxa"/>
          </w:tcPr>
          <w:p w14:paraId="1EAB8C9A" w14:textId="77777777" w:rsidR="00AF2126" w:rsidRPr="00D05C85" w:rsidRDefault="00AF2126" w:rsidP="00E70082">
            <w:pPr>
              <w:pStyle w:val="SingleTxtG"/>
              <w:spacing w:before="40" w:after="40" w:line="220" w:lineRule="exact"/>
              <w:ind w:left="0" w:right="0"/>
              <w:jc w:val="center"/>
              <w:rPr>
                <w:sz w:val="18"/>
                <w:szCs w:val="18"/>
                <w:lang w:val="fr-FR"/>
              </w:rPr>
            </w:pPr>
            <w:r w:rsidRPr="00D05C85">
              <w:rPr>
                <w:sz w:val="18"/>
                <w:szCs w:val="18"/>
                <w:lang w:val="fr-FR"/>
              </w:rPr>
              <w:t>Comparable à</w:t>
            </w:r>
          </w:p>
        </w:tc>
        <w:tc>
          <w:tcPr>
            <w:tcW w:w="1984" w:type="dxa"/>
          </w:tcPr>
          <w:p w14:paraId="363DA8F7" w14:textId="77777777" w:rsidR="00AF2126" w:rsidRPr="00D05C85" w:rsidRDefault="00AF2126" w:rsidP="00E70082">
            <w:pPr>
              <w:pStyle w:val="SingleTxtG"/>
              <w:spacing w:before="40" w:after="40" w:line="220" w:lineRule="exact"/>
              <w:ind w:left="0" w:right="0"/>
              <w:jc w:val="center"/>
              <w:rPr>
                <w:sz w:val="18"/>
                <w:szCs w:val="18"/>
                <w:lang w:val="fr-FR"/>
              </w:rPr>
            </w:pPr>
            <w:r w:rsidRPr="00D05C85">
              <w:rPr>
                <w:sz w:val="18"/>
                <w:szCs w:val="18"/>
                <w:lang w:val="fr-FR"/>
              </w:rPr>
              <w:t>30 %</w:t>
            </w:r>
          </w:p>
        </w:tc>
      </w:tr>
    </w:tbl>
    <w:p w14:paraId="57CF3494" w14:textId="77777777" w:rsidR="00AF2126" w:rsidRPr="00D05C85" w:rsidRDefault="00AF2126" w:rsidP="00AF2126">
      <w:pPr>
        <w:pStyle w:val="SingleTxtG"/>
        <w:spacing w:before="240"/>
        <w:ind w:left="2268" w:hanging="1134"/>
        <w:rPr>
          <w:rStyle w:val="Carpredefinitoparagrafo1"/>
          <w:bCs/>
          <w:lang w:val="fr-FR"/>
        </w:rPr>
      </w:pPr>
      <w:r w:rsidRPr="00D05C85">
        <w:rPr>
          <w:lang w:val="fr-FR"/>
        </w:rPr>
        <w:t>6.2</w:t>
      </w:r>
      <w:r w:rsidRPr="00D05C85">
        <w:rPr>
          <w:lang w:val="fr-FR"/>
        </w:rPr>
        <w:tab/>
        <w:t>L’autorité qui a délivré l’homologation de type peut vérifier à tout moment les méthodes de contrôle de la conformité appliquées dans chaque unité de production. La fréquence normale de ces vérifications est d’une fois tous les deux ans.</w:t>
      </w:r>
    </w:p>
    <w:p w14:paraId="4320FBCA" w14:textId="77777777" w:rsidR="00AF2126" w:rsidRPr="00D05C85" w:rsidRDefault="00AF2126" w:rsidP="00AF2126">
      <w:pPr>
        <w:pStyle w:val="SingleTxtG"/>
        <w:ind w:left="2268" w:hanging="1134"/>
        <w:rPr>
          <w:lang w:val="fr-FR"/>
        </w:rPr>
      </w:pPr>
      <w:r w:rsidRPr="00D05C85">
        <w:rPr>
          <w:lang w:val="fr-FR"/>
        </w:rPr>
        <w:t>6.3</w:t>
      </w:r>
      <w:r w:rsidRPr="00D05C85">
        <w:rPr>
          <w:lang w:val="fr-FR"/>
        </w:rPr>
        <w:tab/>
        <w:t>En cas de doute quant à la conformité de la ou des sources lumineuses à incandescence non remplaçables avec les exigences en matière de durée de vie et/ou, dans le cas de sources lumineuses à incandescence colorisées, par rapport aux prescriptions en matière de stabilité des couleurs, qui sont énoncées au paragraphe 4.11 de la publication CEI 60809, quatrième édition, la conformité doit être vérifiée comme spécifié au paragraphe 4.11 de la publication CEI 60809, quatrième édition.</w:t>
      </w:r>
    </w:p>
    <w:p w14:paraId="63684F0B" w14:textId="77777777" w:rsidR="00AF2126" w:rsidRPr="00D05C85" w:rsidRDefault="00AF2126" w:rsidP="00AF2126">
      <w:pPr>
        <w:pStyle w:val="SingleTxtG"/>
        <w:ind w:left="2268" w:hanging="1134"/>
        <w:rPr>
          <w:lang w:val="fr-FR"/>
        </w:rPr>
      </w:pPr>
      <w:r w:rsidRPr="00D05C85">
        <w:rPr>
          <w:lang w:val="fr-FR"/>
        </w:rPr>
        <w:t>6.4</w:t>
      </w:r>
      <w:r w:rsidRPr="00D05C85">
        <w:rPr>
          <w:lang w:val="fr-FR"/>
        </w:rPr>
        <w:tab/>
      </w:r>
      <w:r w:rsidRPr="00D05C85">
        <w:rPr>
          <w:lang w:val="fr-FR"/>
        </w:rPr>
        <w:tab/>
        <w:t>Les essais menés avec des sources lumineuses à DEL de substitution ne font pas partie de la procédure de contrôle de la conformité de la production.</w:t>
      </w:r>
    </w:p>
    <w:p w14:paraId="33AD50F5" w14:textId="77777777" w:rsidR="00AF2126" w:rsidRPr="00D05C85" w:rsidRDefault="00AF2126" w:rsidP="00AF2126">
      <w:pPr>
        <w:pStyle w:val="HChG"/>
        <w:tabs>
          <w:tab w:val="clear" w:pos="851"/>
          <w:tab w:val="right" w:pos="1134"/>
        </w:tabs>
        <w:ind w:left="2268"/>
        <w:outlineLvl w:val="0"/>
        <w:rPr>
          <w:rFonts w:eastAsia="Times New Roman"/>
          <w:b w:val="0"/>
          <w:bCs/>
          <w:szCs w:val="28"/>
          <w:lang w:val="fr-FR"/>
        </w:rPr>
      </w:pPr>
      <w:r w:rsidRPr="00D05C85">
        <w:rPr>
          <w:bCs/>
          <w:lang w:val="fr-FR"/>
        </w:rPr>
        <w:t>7.</w:t>
      </w:r>
      <w:r w:rsidRPr="00D05C85">
        <w:rPr>
          <w:lang w:val="fr-FR"/>
        </w:rPr>
        <w:tab/>
      </w:r>
      <w:r w:rsidRPr="00D05C85">
        <w:rPr>
          <w:bCs/>
          <w:lang w:val="fr-FR"/>
        </w:rPr>
        <w:t>Dispositions transitoires</w:t>
      </w:r>
    </w:p>
    <w:p w14:paraId="1B07996D" w14:textId="77777777" w:rsidR="00AF2126" w:rsidRPr="00D05C85" w:rsidRDefault="00AF2126" w:rsidP="00AF2126">
      <w:pPr>
        <w:pStyle w:val="SingleTxtG"/>
        <w:ind w:left="2268" w:hanging="1134"/>
        <w:rPr>
          <w:lang w:val="fr-FR"/>
        </w:rPr>
      </w:pPr>
      <w:r w:rsidRPr="00D05C85">
        <w:rPr>
          <w:lang w:val="fr-FR"/>
        </w:rPr>
        <w:t>7.1</w:t>
      </w:r>
      <w:r w:rsidRPr="00D05C85">
        <w:rPr>
          <w:lang w:val="fr-FR"/>
        </w:rPr>
        <w:tab/>
        <w:t>Généralités</w:t>
      </w:r>
    </w:p>
    <w:p w14:paraId="0D95BCF2" w14:textId="77777777" w:rsidR="00AF2126" w:rsidRPr="00D05C85" w:rsidRDefault="00AF2126" w:rsidP="00AF2126">
      <w:pPr>
        <w:pStyle w:val="SingleTxtG"/>
        <w:ind w:left="2268" w:hanging="1134"/>
        <w:rPr>
          <w:lang w:val="fr-FR"/>
        </w:rPr>
      </w:pPr>
      <w:r w:rsidRPr="00D05C85">
        <w:rPr>
          <w:lang w:val="fr-FR"/>
        </w:rPr>
        <w:t>7.1.1</w:t>
      </w:r>
      <w:r w:rsidRPr="00D05C85">
        <w:rPr>
          <w:lang w:val="fr-FR"/>
        </w:rPr>
        <w:tab/>
        <w:t>Les Parties contractantes appliquant le présent Règlement ONU doivent continuer d’accepter les homologations de type ONU, délivrées en vertu de l’une quelconque des séries précédentes d’amendements au présent Règlement ONU, de feux (fonctions) qui ne sont pas concernés par les modifications introduites par la dernière série d’amendements.</w:t>
      </w:r>
    </w:p>
    <w:p w14:paraId="447E5B4B" w14:textId="77777777" w:rsidR="00AF2126" w:rsidRPr="00D05C85" w:rsidRDefault="00AF2126" w:rsidP="00AF2126">
      <w:pPr>
        <w:pStyle w:val="SingleTxtG"/>
        <w:ind w:left="2268"/>
        <w:rPr>
          <w:lang w:val="fr-FR"/>
        </w:rPr>
      </w:pPr>
      <w:r w:rsidRPr="00D05C85">
        <w:rPr>
          <w:lang w:val="fr-FR"/>
        </w:rPr>
        <w:tab/>
        <w:t>Il est considéré que cela est vérifié si l’indice applicable au feu (fonction) concerné ne diffère pas de l’indice indiqué pour ce feu (fonction) dans la dernière série d’amendements.</w:t>
      </w:r>
    </w:p>
    <w:p w14:paraId="3E811BBF" w14:textId="77777777" w:rsidR="00AF2126" w:rsidRPr="00D05C85" w:rsidRDefault="00AF2126" w:rsidP="00AF2126">
      <w:pPr>
        <w:pStyle w:val="SingleTxtG"/>
        <w:ind w:left="2268" w:hanging="1134"/>
        <w:rPr>
          <w:lang w:val="fr-FR"/>
        </w:rPr>
      </w:pPr>
      <w:r w:rsidRPr="00D05C85">
        <w:rPr>
          <w:lang w:val="fr-FR"/>
        </w:rPr>
        <w:t>7.1.2</w:t>
      </w:r>
      <w:r w:rsidRPr="00D05C85">
        <w:rPr>
          <w:lang w:val="fr-FR"/>
        </w:rPr>
        <w:tab/>
        <w:t>Les Parties contractantes appliquant le présent Règlement ne doivent pas refuser d’accorder des extensions aux homologations de type ONU délivrées en vertu d’une série précédente d’amendements au présent Règlement.</w:t>
      </w:r>
    </w:p>
    <w:p w14:paraId="7A123D82" w14:textId="77777777" w:rsidR="00AF2126" w:rsidRPr="00D05C85" w:rsidRDefault="00AF2126" w:rsidP="00AF2126">
      <w:pPr>
        <w:pStyle w:val="SingleTxtG"/>
        <w:ind w:left="2268" w:hanging="1134"/>
        <w:rPr>
          <w:lang w:val="fr-FR"/>
        </w:rPr>
      </w:pPr>
      <w:r w:rsidRPr="00D05C85">
        <w:rPr>
          <w:lang w:val="fr-FR"/>
        </w:rPr>
        <w:t>7.2</w:t>
      </w:r>
      <w:r w:rsidRPr="00D05C85">
        <w:rPr>
          <w:lang w:val="fr-FR"/>
        </w:rPr>
        <w:tab/>
        <w:t>Pour la série 01 d’amendements</w:t>
      </w:r>
    </w:p>
    <w:p w14:paraId="28CE9D3D" w14:textId="77777777" w:rsidR="00AF2126" w:rsidRPr="00D05C85" w:rsidRDefault="00AF2126" w:rsidP="00AF2126">
      <w:pPr>
        <w:pStyle w:val="SingleTxtG"/>
        <w:ind w:left="2268" w:hanging="1134"/>
        <w:rPr>
          <w:lang w:val="fr-FR"/>
        </w:rPr>
      </w:pPr>
      <w:r w:rsidRPr="00D05C85">
        <w:rPr>
          <w:lang w:val="fr-FR"/>
        </w:rPr>
        <w:t>7.2.1</w:t>
      </w:r>
      <w:r w:rsidRPr="00D05C85">
        <w:rPr>
          <w:lang w:val="fr-FR"/>
        </w:rPr>
        <w:tab/>
        <w:t>À compter de la date officielle d’entrée en vigueur de la série 01 d’amendements, aucune Partie contractante appliquant le présent Règlement ne pourra refuser d’accorder ou d’accepter une homologation de type ONU en vertu dudit Règlement tel que modifié par la série 01 d’amendements.</w:t>
      </w:r>
    </w:p>
    <w:p w14:paraId="1972EE20" w14:textId="268F000B" w:rsidR="00AF2126" w:rsidRPr="00D05C85" w:rsidRDefault="00AF2126" w:rsidP="00AF2126">
      <w:pPr>
        <w:pStyle w:val="SingleTxtG"/>
        <w:ind w:left="2268" w:hanging="1134"/>
        <w:rPr>
          <w:lang w:val="fr-FR"/>
        </w:rPr>
      </w:pPr>
      <w:r w:rsidRPr="00D05C85">
        <w:rPr>
          <w:lang w:val="fr-FR"/>
        </w:rPr>
        <w:t>7.2.2</w:t>
      </w:r>
      <w:r w:rsidRPr="00D05C85">
        <w:rPr>
          <w:lang w:val="fr-FR"/>
        </w:rPr>
        <w:tab/>
        <w:t>À compter du 1</w:t>
      </w:r>
      <w:r w:rsidRPr="00D05C85">
        <w:rPr>
          <w:vertAlign w:val="superscript"/>
          <w:lang w:val="fr-FR"/>
        </w:rPr>
        <w:t>er</w:t>
      </w:r>
      <w:r w:rsidR="00BF64F4" w:rsidRPr="00D05C85">
        <w:rPr>
          <w:lang w:val="fr-FR"/>
        </w:rPr>
        <w:t> </w:t>
      </w:r>
      <w:r w:rsidRPr="00D05C85">
        <w:rPr>
          <w:lang w:val="fr-FR"/>
        </w:rPr>
        <w:t>septembre 2026, les Parties contractantes appliquant le présent Règlement ne seront plus tenues d’accepter les homologations de type ONU établies conformément aux précédentes séries d’amendements, délivrées pour la première fois après le 1</w:t>
      </w:r>
      <w:r w:rsidRPr="00D05C85">
        <w:rPr>
          <w:vertAlign w:val="superscript"/>
          <w:lang w:val="fr-FR"/>
        </w:rPr>
        <w:t>er</w:t>
      </w:r>
      <w:r w:rsidR="00BF64F4" w:rsidRPr="00D05C85">
        <w:rPr>
          <w:lang w:val="fr-FR"/>
        </w:rPr>
        <w:t> </w:t>
      </w:r>
      <w:r w:rsidRPr="00D05C85">
        <w:rPr>
          <w:lang w:val="fr-FR"/>
        </w:rPr>
        <w:t>septembre 2026.</w:t>
      </w:r>
    </w:p>
    <w:p w14:paraId="6926079B" w14:textId="77777777" w:rsidR="00AF2126" w:rsidRPr="00D05C85" w:rsidRDefault="00AF2126" w:rsidP="00AF2126">
      <w:pPr>
        <w:pStyle w:val="SingleTxtG"/>
        <w:ind w:left="2268" w:hanging="1134"/>
        <w:rPr>
          <w:lang w:val="fr-FR"/>
        </w:rPr>
      </w:pPr>
      <w:r w:rsidRPr="00D05C85">
        <w:rPr>
          <w:lang w:val="fr-FR"/>
        </w:rPr>
        <w:t>7.2.3</w:t>
      </w:r>
      <w:r w:rsidRPr="00D05C85">
        <w:rPr>
          <w:lang w:val="fr-FR"/>
        </w:rPr>
        <w:tab/>
        <w:t>Les Parties contractantes appliquant le présent Règlement seront tenues de continuer d’accepter les homologations de type établies conformément aux précédentes séries d’amendements, délivrées pour la première fois avant le 1</w:t>
      </w:r>
      <w:r w:rsidRPr="00D05C85">
        <w:rPr>
          <w:vertAlign w:val="superscript"/>
          <w:lang w:val="fr-FR"/>
        </w:rPr>
        <w:t>er</w:t>
      </w:r>
      <w:r w:rsidRPr="00D05C85">
        <w:rPr>
          <w:lang w:val="fr-FR"/>
        </w:rPr>
        <w:t> septembre 2026.</w:t>
      </w:r>
    </w:p>
    <w:p w14:paraId="72FEB82C" w14:textId="43B0376E" w:rsidR="00AF2126" w:rsidRPr="00D05C85" w:rsidRDefault="00AF2126" w:rsidP="00AF2126">
      <w:pPr>
        <w:pStyle w:val="SingleTxtG"/>
        <w:ind w:left="2268" w:hanging="1134"/>
        <w:rPr>
          <w:lang w:val="fr-FR"/>
        </w:rPr>
      </w:pPr>
      <w:r w:rsidRPr="00D05C85">
        <w:rPr>
          <w:lang w:val="fr-FR"/>
        </w:rPr>
        <w:lastRenderedPageBreak/>
        <w:t>7.2.4</w:t>
      </w:r>
      <w:r w:rsidRPr="00D05C85">
        <w:rPr>
          <w:lang w:val="fr-FR"/>
        </w:rPr>
        <w:tab/>
        <w:t xml:space="preserve">Les Parties contractantes appliquant le présent Règlement seront tenues de continuer de délivrer </w:t>
      </w:r>
      <w:r w:rsidR="00910B33">
        <w:rPr>
          <w:lang w:val="fr-FR"/>
        </w:rPr>
        <w:t xml:space="preserve">et </w:t>
      </w:r>
      <w:r w:rsidRPr="00D05C85">
        <w:rPr>
          <w:lang w:val="fr-FR"/>
        </w:rPr>
        <w:t xml:space="preserve">d’accepter les homologations établies pour des dispositifs (équipements </w:t>
      </w:r>
      <w:r w:rsidR="00910B33">
        <w:rPr>
          <w:lang w:val="fr-FR"/>
        </w:rPr>
        <w:t xml:space="preserve">et </w:t>
      </w:r>
      <w:r w:rsidRPr="00D05C85">
        <w:rPr>
          <w:lang w:val="fr-FR"/>
        </w:rPr>
        <w:t xml:space="preserve">pièces) conformément à l’une quelconque des précédentes séries d’amendements, à condition que lesdits dispositifs soient destinés à servir de pièces de rechange sur des véhicules en service </w:t>
      </w:r>
      <w:r w:rsidR="00910B33">
        <w:rPr>
          <w:lang w:val="fr-FR"/>
        </w:rPr>
        <w:t xml:space="preserve">et </w:t>
      </w:r>
      <w:r w:rsidRPr="00D05C85">
        <w:rPr>
          <w:lang w:val="fr-FR"/>
        </w:rPr>
        <w:t>qu’il ne soit pas techniquement possible pour ces dispositifs de satisfaire aux nouvelles prescriptions du présent Règlement tel que modifié par la série 01 d’amendements.</w:t>
      </w:r>
    </w:p>
    <w:p w14:paraId="30EC5B48" w14:textId="77777777" w:rsidR="00AF2126" w:rsidRPr="00D05C85" w:rsidRDefault="00AF2126" w:rsidP="00AF2126">
      <w:pPr>
        <w:pStyle w:val="SingleTxtG"/>
        <w:ind w:left="2268" w:hanging="1134"/>
        <w:rPr>
          <w:lang w:val="fr-FR"/>
        </w:rPr>
      </w:pPr>
      <w:r w:rsidRPr="00D05C85">
        <w:rPr>
          <w:lang w:val="fr-FR"/>
        </w:rPr>
        <w:t>7.2.5</w:t>
      </w:r>
      <w:r w:rsidRPr="00D05C85">
        <w:rPr>
          <w:lang w:val="fr-FR"/>
        </w:rPr>
        <w:tab/>
        <w:t>Nonobstant les dispositions transitoires ci-dessus, les Parties contractantes pour lesquelles le présent Règlement entre en vigueur à une date ultérieure par rapport à la série 01 d’amendements ne sont pas tenues d’accepter les homologations de type ONU accordées en vertu de l’une quelconque des précédentes séries d’amendements.</w:t>
      </w:r>
    </w:p>
    <w:p w14:paraId="7676B730" w14:textId="77777777" w:rsidR="00AF2126" w:rsidRPr="00D05C85" w:rsidRDefault="00AF2126" w:rsidP="00AF2126">
      <w:pPr>
        <w:pStyle w:val="SingleTxtG"/>
        <w:ind w:left="2268" w:hanging="1134"/>
        <w:rPr>
          <w:lang w:val="fr-FR"/>
        </w:rPr>
      </w:pPr>
      <w:r w:rsidRPr="00D05C85">
        <w:rPr>
          <w:lang w:val="fr-FR"/>
        </w:rPr>
        <w:t>7.2.6</w:t>
      </w:r>
      <w:r w:rsidRPr="00D05C85">
        <w:rPr>
          <w:lang w:val="fr-FR"/>
        </w:rPr>
        <w:tab/>
        <w:t>Les Parties contractantes appliquant le présent Règlement seront tenues de continuer d’accepter les homologations de type ONU établies conformément aux précédentes séries d’amendements pour les équipements ou pièces non concernés par les modifications apportées par la série 01 d’amendements.</w:t>
      </w:r>
    </w:p>
    <w:p w14:paraId="435EAB11" w14:textId="77777777" w:rsidR="00AF2126" w:rsidRPr="00D05C85" w:rsidRDefault="00AF2126" w:rsidP="00AF2126">
      <w:pPr>
        <w:pStyle w:val="SingleTxtG"/>
        <w:ind w:left="2268" w:hanging="1134"/>
        <w:rPr>
          <w:lang w:val="fr-FR"/>
        </w:rPr>
      </w:pPr>
      <w:r w:rsidRPr="00D05C85">
        <w:rPr>
          <w:lang w:val="fr-FR"/>
        </w:rPr>
        <w:t>7.2.7</w:t>
      </w:r>
      <w:r w:rsidRPr="00D05C85">
        <w:rPr>
          <w:lang w:val="fr-FR"/>
        </w:rPr>
        <w:tab/>
        <w:t>Les Parties contractantes appliquant le présent Règlement ne pourront refuser d’accorder des homologations de type en vertu de l’une quelconque des précédentes séries d’amendements audit Règlement, ou d’accorder des extensions pour les homologations en question.</w:t>
      </w:r>
    </w:p>
    <w:p w14:paraId="21D5841E" w14:textId="77777777" w:rsidR="00AF2126" w:rsidRPr="00D05C85" w:rsidRDefault="00AF2126" w:rsidP="00AF2126">
      <w:pPr>
        <w:suppressAutoHyphens w:val="0"/>
        <w:kinsoku/>
        <w:overflowPunct/>
        <w:autoSpaceDE/>
        <w:autoSpaceDN/>
        <w:adjustRightInd/>
        <w:snapToGrid/>
        <w:spacing w:after="200" w:line="276" w:lineRule="auto"/>
        <w:rPr>
          <w:lang w:val="fr-FR"/>
        </w:rPr>
      </w:pPr>
      <w:r w:rsidRPr="00D05C85">
        <w:rPr>
          <w:lang w:val="fr-FR"/>
        </w:rPr>
        <w:br w:type="page"/>
      </w:r>
    </w:p>
    <w:p w14:paraId="173A3DAE" w14:textId="77777777" w:rsidR="00AF2126" w:rsidRPr="00D05C85" w:rsidRDefault="00AF2126" w:rsidP="00AF2126">
      <w:pPr>
        <w:pStyle w:val="HChG"/>
        <w:rPr>
          <w:lang w:val="fr-FR"/>
        </w:rPr>
      </w:pPr>
      <w:r w:rsidRPr="00D05C85">
        <w:rPr>
          <w:lang w:val="fr-FR"/>
        </w:rPr>
        <w:lastRenderedPageBreak/>
        <w:t>Annexe 1</w:t>
      </w:r>
    </w:p>
    <w:p w14:paraId="305CFA54" w14:textId="77777777" w:rsidR="00AF2126" w:rsidRPr="00D05C85" w:rsidRDefault="00AF2126" w:rsidP="00AF2126">
      <w:pPr>
        <w:pStyle w:val="HChG"/>
        <w:rPr>
          <w:lang w:val="fr-FR"/>
        </w:rPr>
      </w:pPr>
      <w:r w:rsidRPr="00D05C85">
        <w:rPr>
          <w:lang w:val="fr-FR"/>
        </w:rPr>
        <w:tab/>
      </w:r>
      <w:r w:rsidRPr="00D05C85">
        <w:rPr>
          <w:lang w:val="fr-FR"/>
        </w:rPr>
        <w:tab/>
        <w:t>Communication</w:t>
      </w:r>
    </w:p>
    <w:p w14:paraId="79FC323E" w14:textId="77777777" w:rsidR="00AF2126" w:rsidRPr="00D05C85" w:rsidRDefault="00AF2126" w:rsidP="00AF2126">
      <w:pPr>
        <w:pStyle w:val="SingleTxtG"/>
        <w:rPr>
          <w:lang w:val="fr-FR"/>
        </w:rPr>
      </w:pPr>
      <w:r w:rsidRPr="00D05C85">
        <w:rPr>
          <w:lang w:val="fr-FR"/>
        </w:rPr>
        <w:t>(Format maximal : A4 (210 x 297 mm))</w:t>
      </w:r>
    </w:p>
    <w:tbl>
      <w:tblPr>
        <w:tblW w:w="8505" w:type="dxa"/>
        <w:tblInd w:w="1134" w:type="dxa"/>
        <w:tblLayout w:type="fixed"/>
        <w:tblCellMar>
          <w:left w:w="0" w:type="dxa"/>
          <w:right w:w="0" w:type="dxa"/>
        </w:tblCellMar>
        <w:tblLook w:val="0000" w:firstRow="0" w:lastRow="0" w:firstColumn="0" w:lastColumn="0" w:noHBand="0" w:noVBand="0"/>
      </w:tblPr>
      <w:tblGrid>
        <w:gridCol w:w="1668"/>
        <w:gridCol w:w="736"/>
        <w:gridCol w:w="1463"/>
        <w:gridCol w:w="2442"/>
        <w:gridCol w:w="2196"/>
      </w:tblGrid>
      <w:tr w:rsidR="00AF2126" w:rsidRPr="00D05C85" w14:paraId="1CAC597B" w14:textId="77777777" w:rsidTr="00E70082">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6A89" w14:textId="77777777" w:rsidR="00AF2126" w:rsidRPr="00D05C85" w:rsidRDefault="00AF2126" w:rsidP="00E70082">
            <w:pPr>
              <w:spacing w:before="40" w:after="120"/>
              <w:ind w:left="57" w:right="57"/>
              <w:jc w:val="center"/>
              <w:rPr>
                <w:lang w:val="fr-FR"/>
              </w:rPr>
            </w:pPr>
            <w:r w:rsidRPr="00D05C85">
              <w:rPr>
                <w:noProof/>
                <w:lang w:val="fr-FR" w:eastAsia="en-GB"/>
              </w:rPr>
              <w:drawing>
                <wp:inline distT="0" distB="0" distL="0" distR="0" wp14:anchorId="52FE4922" wp14:editId="004870D3">
                  <wp:extent cx="901799" cy="901799"/>
                  <wp:effectExtent l="0" t="0" r="0" b="0"/>
                  <wp:docPr id="5"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901799" cy="901799"/>
                          </a:xfrm>
                          <a:prstGeom prst="rect">
                            <a:avLst/>
                          </a:prstGeom>
                          <a:noFill/>
                          <a:ln>
                            <a:noFill/>
                            <a:prstDash/>
                          </a:ln>
                        </pic:spPr>
                      </pic:pic>
                    </a:graphicData>
                  </a:graphic>
                </wp:inline>
              </w:drawing>
            </w:r>
            <w:r w:rsidRPr="00D05C85">
              <w:rPr>
                <w:rStyle w:val="Appelnotedebasdep"/>
                <w:lang w:val="fr-FR"/>
              </w:rPr>
              <w:footnoteReference w:id="5"/>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E6E9" w14:textId="77777777" w:rsidR="00AF2126" w:rsidRPr="00D05C85" w:rsidRDefault="00AF2126" w:rsidP="00E70082">
            <w:pPr>
              <w:spacing w:before="40" w:after="120"/>
              <w:ind w:left="57" w:right="57"/>
              <w:jc w:val="right"/>
              <w:rPr>
                <w:lang w:val="fr-FR"/>
              </w:rPr>
            </w:pPr>
            <w:r w:rsidRPr="00D05C85">
              <w:rPr>
                <w:lang w:val="fr-FR"/>
              </w:rPr>
              <w:t>Émanant de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E23A6"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Nom de l’administration :</w:t>
            </w:r>
          </w:p>
          <w:p w14:paraId="140AA18D" w14:textId="77777777" w:rsidR="00AF2126" w:rsidRPr="00D05C85" w:rsidRDefault="00AF2126" w:rsidP="00E70082">
            <w:pPr>
              <w:tabs>
                <w:tab w:val="left" w:leader="dot" w:pos="8505"/>
              </w:tabs>
              <w:spacing w:before="40" w:after="120"/>
              <w:ind w:left="57" w:right="57"/>
              <w:jc w:val="both"/>
              <w:rPr>
                <w:lang w:val="fr-FR"/>
              </w:rPr>
            </w:pPr>
            <w:r w:rsidRPr="00D05C85">
              <w:rPr>
                <w:lang w:val="fr-FR"/>
              </w:rPr>
              <w:tab/>
            </w:r>
          </w:p>
          <w:p w14:paraId="76E456A4" w14:textId="77777777" w:rsidR="00AF2126" w:rsidRPr="00D05C85" w:rsidRDefault="00AF2126" w:rsidP="00E70082">
            <w:pPr>
              <w:tabs>
                <w:tab w:val="left" w:leader="dot" w:pos="8505"/>
              </w:tabs>
              <w:spacing w:before="40" w:after="120"/>
              <w:ind w:left="57" w:right="57"/>
              <w:jc w:val="both"/>
              <w:rPr>
                <w:lang w:val="fr-FR"/>
              </w:rPr>
            </w:pPr>
            <w:r w:rsidRPr="00D05C85">
              <w:rPr>
                <w:lang w:val="fr-FR"/>
              </w:rPr>
              <w:tab/>
            </w:r>
          </w:p>
          <w:p w14:paraId="30DCC92A" w14:textId="77777777" w:rsidR="00AF2126" w:rsidRPr="00D05C85" w:rsidRDefault="00AF2126" w:rsidP="00E70082">
            <w:pPr>
              <w:tabs>
                <w:tab w:val="left" w:leader="dot" w:pos="8505"/>
              </w:tabs>
              <w:spacing w:before="40" w:after="120"/>
              <w:ind w:left="57" w:right="57"/>
              <w:jc w:val="both"/>
              <w:rPr>
                <w:lang w:val="fr-FR"/>
              </w:rPr>
            </w:pPr>
            <w:r w:rsidRPr="00D05C85">
              <w:rPr>
                <w:lang w:val="fr-FR"/>
              </w:rPr>
              <w:tab/>
            </w:r>
          </w:p>
          <w:p w14:paraId="211E2634" w14:textId="77777777" w:rsidR="00AF2126" w:rsidRPr="00D05C85" w:rsidRDefault="00AF2126" w:rsidP="00E70082">
            <w:pPr>
              <w:tabs>
                <w:tab w:val="left" w:leader="dot" w:pos="8505"/>
              </w:tabs>
              <w:spacing w:before="40" w:after="120"/>
              <w:ind w:left="57" w:right="57"/>
              <w:jc w:val="both"/>
              <w:rPr>
                <w:lang w:val="fr-FR"/>
              </w:rPr>
            </w:pPr>
            <w:r w:rsidRPr="00D05C85">
              <w:rPr>
                <w:lang w:val="fr-FR"/>
              </w:rPr>
              <w:tab/>
            </w:r>
          </w:p>
        </w:tc>
      </w:tr>
      <w:tr w:rsidR="00AF2126" w:rsidRPr="00D05C85" w14:paraId="6C5D8887" w14:textId="77777777" w:rsidTr="00E70082">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8D31" w14:textId="77777777" w:rsidR="00AF2126" w:rsidRPr="00D05C85" w:rsidRDefault="00AF2126" w:rsidP="00E70082">
            <w:pPr>
              <w:spacing w:before="40" w:after="120"/>
              <w:ind w:left="57" w:right="57"/>
              <w:jc w:val="right"/>
              <w:rPr>
                <w:lang w:val="fr-FR"/>
              </w:rPr>
            </w:pPr>
            <w:r w:rsidRPr="00D05C85">
              <w:rPr>
                <w:lang w:val="fr-FR"/>
              </w:rPr>
              <w:t>Concernant</w:t>
            </w:r>
            <w:r w:rsidRPr="00D05C85">
              <w:rPr>
                <w:vertAlign w:val="superscript"/>
                <w:lang w:val="fr-FR"/>
              </w:rPr>
              <w:t>2</w:t>
            </w:r>
            <w:r w:rsidRPr="00D05C85">
              <w:rPr>
                <w:lang w:val="fr-FR"/>
              </w:rPr>
              <w:t>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24B8B"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Délivrance d’une homologation</w:t>
            </w:r>
          </w:p>
          <w:p w14:paraId="1BD8FCEC" w14:textId="570175CB"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Extension d’homologation</w:t>
            </w:r>
          </w:p>
          <w:p w14:paraId="6E6BB303" w14:textId="6E10D7BE"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Refus d’homologation</w:t>
            </w:r>
          </w:p>
          <w:p w14:paraId="34BF6CA8" w14:textId="17317C8D"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Retrait d’homologation</w:t>
            </w:r>
          </w:p>
          <w:p w14:paraId="2EB83888" w14:textId="6083EFAF"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Arrêt définitif de la production</w:t>
            </w:r>
          </w:p>
        </w:tc>
      </w:tr>
      <w:tr w:rsidR="00AF2126" w:rsidRPr="00D05C85" w14:paraId="7EAE860C" w14:textId="77777777" w:rsidTr="00E70082">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B9C0D"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spacing w:val="-4"/>
                <w:lang w:val="fr-FR"/>
              </w:rPr>
            </w:pPr>
            <w:r w:rsidRPr="00D05C85">
              <w:rPr>
                <w:spacing w:val="-4"/>
                <w:lang w:val="fr-FR"/>
              </w:rPr>
              <w:t>d’un type de feu en application du Règlement ONU n</w:t>
            </w:r>
            <w:r w:rsidRPr="00D05C85">
              <w:rPr>
                <w:spacing w:val="-4"/>
                <w:vertAlign w:val="superscript"/>
                <w:lang w:val="fr-FR"/>
              </w:rPr>
              <w:t>o</w:t>
            </w:r>
            <w:r w:rsidRPr="00D05C85">
              <w:rPr>
                <w:spacing w:val="-4"/>
                <w:lang w:val="fr-FR"/>
              </w:rPr>
              <w:t xml:space="preserve"> 148 sur les dispositifs de signalisation lumineuse</w:t>
            </w:r>
          </w:p>
        </w:tc>
      </w:tr>
      <w:tr w:rsidR="00AF2126" w:rsidRPr="00D05C85" w14:paraId="758CCC7A" w14:textId="77777777" w:rsidTr="00E70082">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966B6" w14:textId="77777777" w:rsidR="00AF2126" w:rsidRPr="00D05C85" w:rsidRDefault="00AF2126" w:rsidP="00E70082">
            <w:pPr>
              <w:tabs>
                <w:tab w:val="left" w:pos="-720"/>
              </w:tabs>
              <w:spacing w:after="120"/>
              <w:ind w:left="57" w:right="57"/>
              <w:jc w:val="right"/>
              <w:rPr>
                <w:lang w:val="fr-FR"/>
              </w:rPr>
            </w:pPr>
            <w:r w:rsidRPr="00D05C85">
              <w:rPr>
                <w:lang w:val="fr-FR"/>
              </w:rPr>
              <w:t>Feu</w:t>
            </w:r>
            <w:r w:rsidRPr="00D05C85">
              <w:rPr>
                <w:sz w:val="18"/>
                <w:szCs w:val="18"/>
                <w:vertAlign w:val="superscript"/>
                <w:lang w:val="fr-FR"/>
              </w:rPr>
              <w:t>2</w:t>
            </w:r>
            <w:r w:rsidRPr="00D05C85">
              <w:rPr>
                <w:lang w:val="fr-FR"/>
              </w:rPr>
              <w:t>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5FA67"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d’éclairage de la plaque d’immatriculation arrière</w:t>
            </w:r>
          </w:p>
          <w:p w14:paraId="0E243AA8"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indicateur de direction</w:t>
            </w:r>
          </w:p>
          <w:p w14:paraId="1EEAEE77"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Feu-stop</w:t>
            </w:r>
          </w:p>
          <w:p w14:paraId="35CAFDE2"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de position</w:t>
            </w:r>
          </w:p>
          <w:p w14:paraId="477A98D9"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d’encombrement</w:t>
            </w:r>
          </w:p>
          <w:p w14:paraId="45469D31"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de marche arrière</w:t>
            </w:r>
          </w:p>
          <w:p w14:paraId="41092AE8"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de manœuvre</w:t>
            </w:r>
          </w:p>
          <w:p w14:paraId="17BFD269"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de brouillard arrière</w:t>
            </w:r>
          </w:p>
          <w:p w14:paraId="34F7CE9A"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de stationnement</w:t>
            </w:r>
          </w:p>
          <w:p w14:paraId="21BDB639"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de circulation diurne</w:t>
            </w:r>
          </w:p>
          <w:p w14:paraId="06047F1A" w14:textId="77777777" w:rsidR="00AF2126" w:rsidRPr="00D05C85" w:rsidRDefault="00AF2126" w:rsidP="00E7008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D05C85">
              <w:rPr>
                <w:lang w:val="fr-FR"/>
              </w:rPr>
              <w:t>Feu de position latéral</w:t>
            </w:r>
          </w:p>
        </w:tc>
      </w:tr>
      <w:tr w:rsidR="00AF2126" w:rsidRPr="00D05C85" w14:paraId="34A35104" w14:textId="77777777" w:rsidTr="00E70082">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D61D3" w14:textId="77777777" w:rsidR="00AF2126" w:rsidRPr="00D05C85" w:rsidRDefault="00AF2126" w:rsidP="00E70082">
            <w:pPr>
              <w:tabs>
                <w:tab w:val="left" w:pos="-720"/>
                <w:tab w:val="left" w:pos="-142"/>
              </w:tabs>
              <w:spacing w:before="40" w:after="40"/>
              <w:ind w:left="57" w:right="57"/>
              <w:jc w:val="right"/>
              <w:rPr>
                <w:lang w:val="fr-FR"/>
              </w:rPr>
            </w:pPr>
            <w:r w:rsidRPr="00D05C85">
              <w:rPr>
                <w:lang w:val="fr-FR"/>
              </w:rPr>
              <w:t>Catégorie du feu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EBF16" w14:textId="77777777" w:rsidR="00AF2126" w:rsidRPr="00D05C85" w:rsidRDefault="00AF2126" w:rsidP="00E70082">
            <w:pPr>
              <w:tabs>
                <w:tab w:val="left" w:pos="-720"/>
                <w:tab w:val="left" w:pos="-142"/>
              </w:tabs>
              <w:spacing w:before="40" w:after="40"/>
              <w:ind w:left="57" w:right="57"/>
              <w:jc w:val="center"/>
              <w:rPr>
                <w:lang w:val="fr-FR"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563E4" w14:textId="77777777" w:rsidR="00AF2126" w:rsidRPr="00D05C85" w:rsidRDefault="00AF2126" w:rsidP="00E70082">
            <w:pPr>
              <w:tabs>
                <w:tab w:val="left" w:pos="-720"/>
                <w:tab w:val="left" w:pos="-142"/>
              </w:tabs>
              <w:spacing w:before="40" w:after="40"/>
              <w:ind w:left="57" w:right="57"/>
              <w:jc w:val="right"/>
              <w:rPr>
                <w:lang w:val="fr-FR"/>
              </w:rPr>
            </w:pPr>
            <w:r w:rsidRPr="00D05C85">
              <w:rPr>
                <w:lang w:val="fr-FR"/>
              </w:rPr>
              <w:t>Indice :</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604CE" w14:textId="77777777" w:rsidR="00AF2126" w:rsidRPr="00D05C85" w:rsidRDefault="00AF2126" w:rsidP="00E70082">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40"/>
              <w:ind w:left="57" w:right="57"/>
              <w:jc w:val="center"/>
              <w:rPr>
                <w:lang w:val="fr-FR" w:eastAsia="fr-FR"/>
              </w:rPr>
            </w:pPr>
          </w:p>
        </w:tc>
      </w:tr>
      <w:tr w:rsidR="00AF2126" w:rsidRPr="00D05C85" w14:paraId="3E1AF292" w14:textId="77777777" w:rsidTr="00E70082">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DBCB" w14:textId="77777777" w:rsidR="00AF2126" w:rsidRPr="00D05C85" w:rsidRDefault="00AF2126" w:rsidP="00E70082">
            <w:pPr>
              <w:tabs>
                <w:tab w:val="left" w:pos="-433"/>
                <w:tab w:val="left" w:pos="208"/>
              </w:tabs>
              <w:spacing w:before="40" w:after="40"/>
              <w:ind w:left="57" w:right="57"/>
              <w:jc w:val="right"/>
              <w:rPr>
                <w:lang w:val="fr-FR"/>
              </w:rPr>
            </w:pPr>
            <w:r w:rsidRPr="00D05C85">
              <w:rPr>
                <w:lang w:val="fr-FR"/>
              </w:rPr>
              <w:t>N</w:t>
            </w:r>
            <w:r w:rsidRPr="00D05C85">
              <w:rPr>
                <w:vertAlign w:val="superscript"/>
                <w:lang w:val="fr-FR"/>
              </w:rPr>
              <w:t>o</w:t>
            </w:r>
            <w:r w:rsidRPr="00D05C85">
              <w:rPr>
                <w:lang w:val="fr-FR"/>
              </w:rPr>
              <w:t xml:space="preserve"> d’homologation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7F6AD" w14:textId="77777777" w:rsidR="00AF2126" w:rsidRPr="00D05C85" w:rsidRDefault="00AF2126" w:rsidP="00E70082">
            <w:pPr>
              <w:tabs>
                <w:tab w:val="left" w:pos="-720"/>
                <w:tab w:val="left" w:pos="-79"/>
              </w:tabs>
              <w:spacing w:before="40" w:after="40"/>
              <w:ind w:left="57" w:right="57"/>
              <w:jc w:val="center"/>
              <w:rPr>
                <w:lang w:val="fr-FR"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F3579" w14:textId="40112F7A" w:rsidR="00AF2126" w:rsidRPr="00D05C85" w:rsidRDefault="00AF2126" w:rsidP="00E70082">
            <w:pPr>
              <w:tabs>
                <w:tab w:val="left" w:pos="-720"/>
                <w:tab w:val="left" w:pos="-142"/>
              </w:tabs>
              <w:spacing w:before="40" w:after="40"/>
              <w:ind w:left="57" w:right="57"/>
              <w:jc w:val="right"/>
              <w:rPr>
                <w:lang w:val="fr-FR"/>
              </w:rPr>
            </w:pPr>
            <w:r w:rsidRPr="00D05C85">
              <w:rPr>
                <w:lang w:val="fr-FR"/>
              </w:rPr>
              <w:t xml:space="preserve">Identifiant unique </w:t>
            </w:r>
            <w:r w:rsidR="00D05C85" w:rsidRPr="00D05C85">
              <w:rPr>
                <w:lang w:val="fr-FR"/>
              </w:rPr>
              <w:br/>
            </w:r>
            <w:r w:rsidRPr="00D05C85">
              <w:rPr>
                <w:lang w:val="fr-FR"/>
              </w:rPr>
              <w:t>(le cas échéant) :</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328A3" w14:textId="77777777" w:rsidR="00AF2126" w:rsidRPr="00D05C85" w:rsidRDefault="00AF2126" w:rsidP="00E70082">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40"/>
              <w:ind w:left="57" w:right="57"/>
              <w:jc w:val="center"/>
              <w:rPr>
                <w:lang w:val="fr-FR" w:eastAsia="fr-FR"/>
              </w:rPr>
            </w:pPr>
          </w:p>
        </w:tc>
      </w:tr>
    </w:tbl>
    <w:p w14:paraId="2AD8A089" w14:textId="77777777" w:rsidR="00AF2126" w:rsidRPr="00D05C85" w:rsidRDefault="00AF2126" w:rsidP="00AF2126">
      <w:pPr>
        <w:tabs>
          <w:tab w:val="left" w:pos="5100"/>
          <w:tab w:val="left" w:leader="dot" w:pos="8505"/>
        </w:tabs>
        <w:spacing w:before="240" w:after="120"/>
        <w:ind w:left="2268" w:right="1134" w:hanging="1134"/>
        <w:jc w:val="both"/>
        <w:rPr>
          <w:lang w:val="fr-FR"/>
        </w:rPr>
      </w:pPr>
      <w:r w:rsidRPr="00D05C85">
        <w:rPr>
          <w:lang w:val="fr-FR"/>
        </w:rPr>
        <w:t>1.</w:t>
      </w:r>
      <w:r w:rsidRPr="00D05C85">
        <w:rPr>
          <w:lang w:val="fr-FR"/>
        </w:rPr>
        <w:tab/>
        <w:t xml:space="preserve">Marque de fabrique ou de commerce du feu : </w:t>
      </w:r>
      <w:r w:rsidRPr="00D05C85">
        <w:rPr>
          <w:lang w:val="fr-FR"/>
        </w:rPr>
        <w:tab/>
      </w:r>
      <w:r w:rsidRPr="00D05C85">
        <w:rPr>
          <w:lang w:val="fr-FR"/>
        </w:rPr>
        <w:tab/>
      </w:r>
    </w:p>
    <w:p w14:paraId="539364E9"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2.</w:t>
      </w:r>
      <w:r w:rsidRPr="00D05C85">
        <w:rPr>
          <w:lang w:val="fr-FR"/>
        </w:rPr>
        <w:tab/>
        <w:t>Désignation du type de feu par le fabricant :</w:t>
      </w:r>
      <w:r w:rsidRPr="00D05C85">
        <w:rPr>
          <w:lang w:val="fr-FR"/>
        </w:rPr>
        <w:tab/>
      </w:r>
      <w:r w:rsidRPr="00D05C85">
        <w:rPr>
          <w:lang w:val="fr-FR"/>
        </w:rPr>
        <w:tab/>
      </w:r>
    </w:p>
    <w:p w14:paraId="589320E0" w14:textId="13AA39B4" w:rsidR="00AF2126" w:rsidRPr="00D05C85" w:rsidRDefault="00AF2126" w:rsidP="00AF2126">
      <w:pPr>
        <w:tabs>
          <w:tab w:val="left" w:leader="dot" w:pos="8505"/>
        </w:tabs>
        <w:spacing w:after="120"/>
        <w:ind w:left="2268" w:right="1134" w:hanging="1134"/>
        <w:jc w:val="both"/>
        <w:rPr>
          <w:lang w:val="fr-FR"/>
        </w:rPr>
      </w:pPr>
      <w:r w:rsidRPr="00D05C85">
        <w:rPr>
          <w:lang w:val="fr-FR"/>
        </w:rPr>
        <w:t>3.</w:t>
      </w:r>
      <w:r w:rsidRPr="00D05C85">
        <w:rPr>
          <w:lang w:val="fr-FR"/>
        </w:rPr>
        <w:tab/>
        <w:t xml:space="preserve">Nom </w:t>
      </w:r>
      <w:r w:rsidR="00910B33">
        <w:rPr>
          <w:lang w:val="fr-FR"/>
        </w:rPr>
        <w:t xml:space="preserve">et </w:t>
      </w:r>
      <w:r w:rsidRPr="00D05C85">
        <w:rPr>
          <w:lang w:val="fr-FR"/>
        </w:rPr>
        <w:t>adresse du fabricant :</w:t>
      </w:r>
      <w:r w:rsidRPr="00D05C85">
        <w:rPr>
          <w:lang w:val="fr-FR"/>
        </w:rPr>
        <w:tab/>
      </w:r>
    </w:p>
    <w:p w14:paraId="1F61103D" w14:textId="01008622"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4.</w:t>
      </w:r>
      <w:r w:rsidRPr="00D05C85">
        <w:rPr>
          <w:lang w:val="fr-FR"/>
        </w:rPr>
        <w:tab/>
        <w:t xml:space="preserve">Le cas échéant, nom </w:t>
      </w:r>
      <w:r w:rsidR="00910B33">
        <w:rPr>
          <w:lang w:val="fr-FR"/>
        </w:rPr>
        <w:t xml:space="preserve">et </w:t>
      </w:r>
      <w:r w:rsidRPr="00D05C85">
        <w:rPr>
          <w:lang w:val="fr-FR"/>
        </w:rPr>
        <w:t>adresse du représentant du fabricant :</w:t>
      </w:r>
      <w:r w:rsidRPr="00D05C85">
        <w:rPr>
          <w:lang w:val="fr-FR"/>
        </w:rPr>
        <w:tab/>
      </w:r>
    </w:p>
    <w:p w14:paraId="69B8A5FC"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ab/>
      </w:r>
      <w:r w:rsidRPr="00D05C85">
        <w:rPr>
          <w:lang w:val="fr-FR"/>
        </w:rPr>
        <w:tab/>
      </w:r>
    </w:p>
    <w:p w14:paraId="6BC4ACBB" w14:textId="77777777" w:rsidR="00AF2126" w:rsidRPr="00D05C85" w:rsidRDefault="00AF2126" w:rsidP="00AF2126">
      <w:pPr>
        <w:tabs>
          <w:tab w:val="left" w:leader="dot" w:pos="8505"/>
        </w:tabs>
        <w:spacing w:after="120"/>
        <w:ind w:left="2268" w:right="1134" w:hanging="1134"/>
        <w:jc w:val="both"/>
        <w:rPr>
          <w:lang w:val="fr-FR"/>
        </w:rPr>
      </w:pPr>
      <w:r w:rsidRPr="00D05C85">
        <w:rPr>
          <w:lang w:val="fr-FR"/>
        </w:rPr>
        <w:t>5.</w:t>
      </w:r>
      <w:r w:rsidRPr="00D05C85">
        <w:rPr>
          <w:lang w:val="fr-FR"/>
        </w:rPr>
        <w:tab/>
        <w:t>Feu présenté à l’homologation le :</w:t>
      </w:r>
      <w:r w:rsidRPr="00D05C85">
        <w:rPr>
          <w:lang w:val="fr-FR"/>
        </w:rPr>
        <w:tab/>
      </w:r>
      <w:r w:rsidRPr="00D05C85">
        <w:rPr>
          <w:lang w:val="fr-FR"/>
        </w:rPr>
        <w:tab/>
      </w:r>
    </w:p>
    <w:p w14:paraId="73236942"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lastRenderedPageBreak/>
        <w:t>6.</w:t>
      </w:r>
      <w:r w:rsidRPr="00D05C85">
        <w:rPr>
          <w:lang w:val="fr-FR"/>
        </w:rPr>
        <w:tab/>
        <w:t>Service technique chargé des essais d’homologation :</w:t>
      </w:r>
      <w:r w:rsidRPr="00D05C85">
        <w:rPr>
          <w:lang w:val="fr-FR"/>
        </w:rPr>
        <w:tab/>
      </w:r>
      <w:r w:rsidRPr="00D05C85">
        <w:rPr>
          <w:lang w:val="fr-FR"/>
        </w:rPr>
        <w:tab/>
      </w:r>
    </w:p>
    <w:p w14:paraId="3089F566"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7.</w:t>
      </w:r>
      <w:r w:rsidRPr="00D05C85">
        <w:rPr>
          <w:lang w:val="fr-FR"/>
        </w:rPr>
        <w:tab/>
        <w:t>Date du procès-verbal délivré par ce service :</w:t>
      </w:r>
      <w:r w:rsidRPr="00D05C85">
        <w:rPr>
          <w:lang w:val="fr-FR"/>
        </w:rPr>
        <w:tab/>
      </w:r>
      <w:r w:rsidRPr="00D05C85">
        <w:rPr>
          <w:lang w:val="fr-FR"/>
        </w:rPr>
        <w:tab/>
      </w:r>
    </w:p>
    <w:p w14:paraId="37981D9A"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8.</w:t>
      </w:r>
      <w:r w:rsidRPr="00D05C85">
        <w:rPr>
          <w:lang w:val="fr-FR"/>
        </w:rPr>
        <w:tab/>
        <w:t>Numéro du procès-verbal délivré par ce service :</w:t>
      </w:r>
      <w:r w:rsidRPr="00D05C85">
        <w:rPr>
          <w:lang w:val="fr-FR"/>
        </w:rPr>
        <w:tab/>
      </w:r>
      <w:r w:rsidRPr="00D05C85">
        <w:rPr>
          <w:lang w:val="fr-FR"/>
        </w:rPr>
        <w:tab/>
      </w:r>
    </w:p>
    <w:p w14:paraId="61B464BA"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9.</w:t>
      </w:r>
      <w:r w:rsidRPr="00D05C85">
        <w:rPr>
          <w:lang w:val="fr-FR"/>
        </w:rPr>
        <w:tab/>
        <w:t>Description succincte :</w:t>
      </w:r>
    </w:p>
    <w:p w14:paraId="60890DDB"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9.1</w:t>
      </w:r>
      <w:r w:rsidRPr="00D05C85">
        <w:rPr>
          <w:lang w:val="fr-FR"/>
        </w:rPr>
        <w:tab/>
        <w:t xml:space="preserve">Dans le cas d’un : </w:t>
      </w:r>
    </w:p>
    <w:p w14:paraId="04E5860B"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9.1.1</w:t>
      </w:r>
      <w:r w:rsidRPr="00D05C85">
        <w:rPr>
          <w:lang w:val="fr-FR"/>
        </w:rPr>
        <w:tab/>
        <w:t>Feu d’éclairage de la plaque d’immatriculation arrière :</w:t>
      </w:r>
      <w:r w:rsidRPr="00D05C85">
        <w:rPr>
          <w:lang w:val="fr-FR"/>
        </w:rPr>
        <w:tab/>
      </w:r>
    </w:p>
    <w:p w14:paraId="745414A8" w14:textId="32557C2C" w:rsidR="00AF2126" w:rsidRPr="00D05C85" w:rsidRDefault="00AF2126" w:rsidP="00AF2126">
      <w:pPr>
        <w:tabs>
          <w:tab w:val="left" w:pos="2000"/>
          <w:tab w:val="left" w:leader="dot" w:pos="8505"/>
        </w:tabs>
        <w:spacing w:after="120"/>
        <w:ind w:left="2268" w:right="1134"/>
        <w:jc w:val="both"/>
        <w:rPr>
          <w:lang w:val="fr-FR"/>
        </w:rPr>
      </w:pPr>
      <w:r w:rsidRPr="00D05C85">
        <w:rPr>
          <w:lang w:val="fr-FR"/>
        </w:rPr>
        <w:t xml:space="preserve">Conditions géométriques de montage (position(s) </w:t>
      </w:r>
      <w:r w:rsidR="00910B33">
        <w:rPr>
          <w:lang w:val="fr-FR"/>
        </w:rPr>
        <w:t xml:space="preserve">et </w:t>
      </w:r>
      <w:r w:rsidRPr="00D05C85">
        <w:rPr>
          <w:lang w:val="fr-FR"/>
        </w:rPr>
        <w:t>inclinaison(s) du dispositif par rapport à l’emplacement occupé par la plaque d’immatriculation et/ou inclinaisons diverses de c</w:t>
      </w:r>
      <w:r w:rsidR="00910B33">
        <w:rPr>
          <w:lang w:val="fr-FR"/>
        </w:rPr>
        <w:t xml:space="preserve">et </w:t>
      </w:r>
      <w:r w:rsidRPr="00D05C85">
        <w:rPr>
          <w:lang w:val="fr-FR"/>
        </w:rPr>
        <w:t>emplacement) :</w:t>
      </w:r>
      <w:r w:rsidRPr="00D05C85">
        <w:rPr>
          <w:lang w:val="fr-FR"/>
        </w:rPr>
        <w:tab/>
      </w:r>
      <w:r w:rsidRPr="00D05C85">
        <w:rPr>
          <w:lang w:val="fr-FR"/>
        </w:rPr>
        <w:tab/>
      </w:r>
    </w:p>
    <w:p w14:paraId="58A967DE" w14:textId="77777777" w:rsidR="00AF2126" w:rsidRPr="00D05C85" w:rsidRDefault="00AF2126" w:rsidP="00AF2126">
      <w:pPr>
        <w:tabs>
          <w:tab w:val="left" w:pos="5100"/>
          <w:tab w:val="left" w:leader="dot" w:pos="8505"/>
        </w:tabs>
        <w:spacing w:after="120"/>
        <w:ind w:left="2268" w:right="1134" w:hanging="1134"/>
        <w:jc w:val="both"/>
        <w:rPr>
          <w:bCs/>
          <w:lang w:val="fr-FR"/>
        </w:rPr>
      </w:pPr>
      <w:r w:rsidRPr="00D05C85">
        <w:rPr>
          <w:lang w:val="fr-FR"/>
        </w:rPr>
        <w:t>9.1.1.1</w:t>
      </w:r>
      <w:r w:rsidRPr="00D05C85">
        <w:rPr>
          <w:lang w:val="fr-FR"/>
        </w:rPr>
        <w:tab/>
        <w:t>Catégorie(s) de la zone éclairée : 1a, 1b, 1c, 2a, 2b, 1 et/ou 2²</w:t>
      </w:r>
    </w:p>
    <w:p w14:paraId="76028CC8" w14:textId="77777777" w:rsidR="00AF2126" w:rsidRPr="00D05C85" w:rsidRDefault="00AF2126" w:rsidP="00AF2126">
      <w:pPr>
        <w:tabs>
          <w:tab w:val="left" w:leader="dot" w:pos="8505"/>
        </w:tabs>
        <w:spacing w:after="120"/>
        <w:ind w:left="2268" w:right="1134" w:hanging="1134"/>
        <w:jc w:val="both"/>
        <w:rPr>
          <w:lang w:val="fr-FR"/>
        </w:rPr>
      </w:pPr>
      <w:r w:rsidRPr="00D05C85">
        <w:rPr>
          <w:lang w:val="fr-FR"/>
        </w:rPr>
        <w:t>9.1.2</w:t>
      </w:r>
      <w:r w:rsidRPr="00D05C85">
        <w:rPr>
          <w:lang w:val="fr-FR"/>
        </w:rPr>
        <w:tab/>
        <w:t>Feu indicateur de direction :</w:t>
      </w:r>
      <w:r w:rsidRPr="00D05C85">
        <w:rPr>
          <w:lang w:val="fr-FR"/>
        </w:rPr>
        <w:tab/>
      </w:r>
      <w:r w:rsidRPr="00D05C85">
        <w:rPr>
          <w:lang w:val="fr-FR"/>
        </w:rPr>
        <w:tab/>
      </w:r>
    </w:p>
    <w:p w14:paraId="5ADFCC64"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Activation séquentielle des sources lumineuses : oui/non</w:t>
      </w:r>
      <w:r w:rsidRPr="00D05C85">
        <w:rPr>
          <w:sz w:val="18"/>
          <w:szCs w:val="18"/>
          <w:vertAlign w:val="superscript"/>
          <w:lang w:val="fr-FR"/>
        </w:rPr>
        <w:t>2</w:t>
      </w:r>
    </w:p>
    <w:p w14:paraId="56B0FC5B"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9.1.3</w:t>
      </w:r>
      <w:r w:rsidRPr="00D05C85">
        <w:rPr>
          <w:lang w:val="fr-FR"/>
        </w:rPr>
        <w:tab/>
        <w:t>Feu de marche arrière :</w:t>
      </w:r>
    </w:p>
    <w:p w14:paraId="5ECE1BB4" w14:textId="77777777" w:rsidR="00AF2126" w:rsidRPr="00D05C85" w:rsidRDefault="00AF2126" w:rsidP="00AF2126">
      <w:pPr>
        <w:tabs>
          <w:tab w:val="left" w:pos="2000"/>
          <w:tab w:val="left" w:leader="dot" w:pos="8505"/>
        </w:tabs>
        <w:spacing w:after="120"/>
        <w:ind w:left="2268" w:right="1134"/>
        <w:jc w:val="both"/>
        <w:rPr>
          <w:rStyle w:val="FootnoteCharacters"/>
          <w:rFonts w:eastAsiaTheme="minorEastAsia"/>
          <w:vertAlign w:val="baseline"/>
          <w:lang w:val="fr-FR"/>
        </w:rPr>
      </w:pPr>
      <w:r w:rsidRPr="00D05C85">
        <w:rPr>
          <w:lang w:val="fr-FR"/>
        </w:rPr>
        <w:t>Le feu ne doit être installé sur un véhicule que par paire de feux : oui/non</w:t>
      </w:r>
      <w:r w:rsidRPr="00D05C85">
        <w:rPr>
          <w:sz w:val="18"/>
          <w:szCs w:val="18"/>
          <w:vertAlign w:val="superscript"/>
          <w:lang w:val="fr-FR"/>
        </w:rPr>
        <w:t>2</w:t>
      </w:r>
    </w:p>
    <w:p w14:paraId="2409B0C5"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9.1.4</w:t>
      </w:r>
      <w:r w:rsidRPr="00D05C85">
        <w:rPr>
          <w:lang w:val="fr-FR"/>
        </w:rPr>
        <w:tab/>
        <w:t>Feu de manœuvre :</w:t>
      </w:r>
    </w:p>
    <w:p w14:paraId="22CF2A05"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Hauteur maximale de montage :</w:t>
      </w:r>
      <w:r w:rsidRPr="00D05C85">
        <w:rPr>
          <w:lang w:val="fr-FR"/>
        </w:rPr>
        <w:tab/>
      </w:r>
    </w:p>
    <w:p w14:paraId="008BBAFE"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9.1.5</w:t>
      </w:r>
      <w:r w:rsidRPr="00D05C85">
        <w:rPr>
          <w:lang w:val="fr-FR"/>
        </w:rPr>
        <w:tab/>
        <w:t>Feu de circulation diurne :</w:t>
      </w:r>
    </w:p>
    <w:p w14:paraId="0B914618" w14:textId="7853E8D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 xml:space="preserve">Le feu de circulation diurne est destiné à être monté exclusivement sur des véhicules de la catégorie L3 </w:t>
      </w:r>
      <w:r w:rsidR="00910B33">
        <w:rPr>
          <w:lang w:val="fr-FR"/>
        </w:rPr>
        <w:t xml:space="preserve">et </w:t>
      </w:r>
      <w:r w:rsidRPr="00D05C85">
        <w:rPr>
          <w:lang w:val="fr-FR"/>
        </w:rPr>
        <w:t>son intensité lumineuse maximale théorique ne dépasse pas 7,00∙10</w:t>
      </w:r>
      <w:r w:rsidRPr="00D05C85">
        <w:rPr>
          <w:vertAlign w:val="superscript"/>
          <w:lang w:val="fr-FR"/>
        </w:rPr>
        <w:t>2</w:t>
      </w:r>
      <w:r w:rsidRPr="00D05C85">
        <w:rPr>
          <w:lang w:val="fr-FR"/>
        </w:rPr>
        <w:t xml:space="preserve"> cd : oui/non</w:t>
      </w:r>
      <w:r w:rsidRPr="00D05C85">
        <w:rPr>
          <w:sz w:val="18"/>
          <w:szCs w:val="18"/>
          <w:vertAlign w:val="superscript"/>
          <w:lang w:val="fr-FR"/>
        </w:rPr>
        <w:t>2</w:t>
      </w:r>
      <w:r w:rsidRPr="00D05C85">
        <w:rPr>
          <w:lang w:val="fr-FR"/>
        </w:rPr>
        <w:t xml:space="preserve"> </w:t>
      </w:r>
    </w:p>
    <w:p w14:paraId="5F3AB373"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9.1.6</w:t>
      </w:r>
      <w:r w:rsidRPr="00D05C85">
        <w:rPr>
          <w:lang w:val="fr-FR"/>
        </w:rPr>
        <w:tab/>
        <w:t>Dans le cas d’un feu de position arrière mutuellement incorporé avec un feu</w:t>
      </w:r>
      <w:r w:rsidRPr="00D05C85">
        <w:rPr>
          <w:lang w:val="fr-FR"/>
        </w:rPr>
        <w:noBreakHyphen/>
        <w:t>stop, les deux fonctions sont assurées par de multiples sources lumineuses : oui/non</w:t>
      </w:r>
      <w:r w:rsidRPr="00D05C85">
        <w:rPr>
          <w:sz w:val="18"/>
          <w:szCs w:val="18"/>
          <w:vertAlign w:val="superscript"/>
          <w:lang w:val="fr-FR"/>
        </w:rPr>
        <w:t>2</w:t>
      </w:r>
    </w:p>
    <w:p w14:paraId="6A0338F9" w14:textId="344CF0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9.2</w:t>
      </w:r>
      <w:r w:rsidRPr="00D05C85">
        <w:rPr>
          <w:lang w:val="fr-FR"/>
        </w:rPr>
        <w:tab/>
        <w:t xml:space="preserve">Par fonction de signalisation lumineuse </w:t>
      </w:r>
      <w:r w:rsidR="00910B33">
        <w:rPr>
          <w:lang w:val="fr-FR"/>
        </w:rPr>
        <w:t xml:space="preserve">et </w:t>
      </w:r>
      <w:r w:rsidRPr="00D05C85">
        <w:rPr>
          <w:lang w:val="fr-FR"/>
        </w:rPr>
        <w:t>catégorie :</w:t>
      </w:r>
    </w:p>
    <w:p w14:paraId="18ADAA16"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Pour montage à l’extérieur ou à l’intérieur, ou les deux</w:t>
      </w:r>
      <w:r w:rsidRPr="00D05C85">
        <w:rPr>
          <w:sz w:val="18"/>
          <w:szCs w:val="18"/>
          <w:vertAlign w:val="superscript"/>
          <w:lang w:val="fr-FR"/>
        </w:rPr>
        <w:t>2</w:t>
      </w:r>
    </w:p>
    <w:p w14:paraId="5962CA9C" w14:textId="08D35D99" w:rsidR="00AF2126" w:rsidRPr="00D05C85" w:rsidRDefault="00AF2126" w:rsidP="00AF2126">
      <w:pPr>
        <w:tabs>
          <w:tab w:val="left" w:pos="2000"/>
          <w:tab w:val="left" w:leader="dot" w:pos="8505"/>
        </w:tabs>
        <w:spacing w:after="120"/>
        <w:ind w:left="2268" w:right="1134"/>
        <w:jc w:val="both"/>
        <w:rPr>
          <w:lang w:val="fr-FR"/>
        </w:rPr>
      </w:pPr>
      <w:r w:rsidRPr="00D05C85">
        <w:rPr>
          <w:lang w:val="fr-FR"/>
        </w:rPr>
        <w:t>Couleur de la lumière émise : rouge/blanc/jaune-auto/incolore</w:t>
      </w:r>
      <w:r w:rsidR="00D05C85" w:rsidRPr="00D05C85">
        <w:rPr>
          <w:sz w:val="18"/>
          <w:szCs w:val="18"/>
          <w:vertAlign w:val="superscript"/>
          <w:lang w:val="fr-FR"/>
        </w:rPr>
        <w:t>2</w:t>
      </w:r>
    </w:p>
    <w:p w14:paraId="3E039A7D" w14:textId="6FCD7276" w:rsidR="00AF2126" w:rsidRPr="00D05C85" w:rsidRDefault="00AF2126" w:rsidP="00AF2126">
      <w:pPr>
        <w:tabs>
          <w:tab w:val="left" w:pos="2000"/>
          <w:tab w:val="left" w:leader="dot" w:pos="8505"/>
        </w:tabs>
        <w:spacing w:after="120"/>
        <w:ind w:left="2268" w:right="1134"/>
        <w:jc w:val="both"/>
        <w:rPr>
          <w:lang w:val="fr-FR"/>
        </w:rPr>
      </w:pPr>
      <w:r w:rsidRPr="00D05C85">
        <w:rPr>
          <w:lang w:val="fr-FR"/>
        </w:rPr>
        <w:t xml:space="preserve">Nombre, catégorie </w:t>
      </w:r>
      <w:r w:rsidR="00910B33">
        <w:rPr>
          <w:lang w:val="fr-FR"/>
        </w:rPr>
        <w:t xml:space="preserve">et </w:t>
      </w:r>
      <w:r w:rsidRPr="00D05C85">
        <w:rPr>
          <w:lang w:val="fr-FR"/>
        </w:rPr>
        <w:t>type de source(s) lumineuse(s) :</w:t>
      </w:r>
      <w:r w:rsidRPr="00D05C85">
        <w:rPr>
          <w:lang w:val="fr-FR"/>
        </w:rPr>
        <w:tab/>
      </w:r>
      <w:r w:rsidRPr="00D05C85">
        <w:rPr>
          <w:lang w:val="fr-FR"/>
        </w:rPr>
        <w:tab/>
      </w:r>
    </w:p>
    <w:p w14:paraId="2B4A82C1" w14:textId="1C055B51" w:rsidR="00AF2126" w:rsidRPr="00D05C85" w:rsidRDefault="00AF2126" w:rsidP="00AF2126">
      <w:pPr>
        <w:tabs>
          <w:tab w:val="left" w:pos="2000"/>
          <w:tab w:val="left" w:leader="dot" w:pos="8505"/>
        </w:tabs>
        <w:spacing w:after="120"/>
        <w:ind w:left="2268" w:right="1134"/>
        <w:jc w:val="both"/>
        <w:rPr>
          <w:lang w:val="fr-FR"/>
        </w:rPr>
      </w:pPr>
      <w:r w:rsidRPr="00D05C85">
        <w:rPr>
          <w:lang w:val="fr-FR"/>
        </w:rPr>
        <w:t>Feu homologué pour une ou plusieurs sources lumineuses à DEL de substitution : oui/non</w:t>
      </w:r>
      <w:r w:rsidR="00D05C85" w:rsidRPr="00D05C85">
        <w:rPr>
          <w:sz w:val="18"/>
          <w:szCs w:val="18"/>
          <w:vertAlign w:val="superscript"/>
          <w:lang w:val="fr-FR"/>
        </w:rPr>
        <w:t>2</w:t>
      </w:r>
    </w:p>
    <w:p w14:paraId="6486FBAE" w14:textId="148CFE85" w:rsidR="00AF2126" w:rsidRPr="00D05C85" w:rsidRDefault="00AF2126" w:rsidP="00AF2126">
      <w:pPr>
        <w:tabs>
          <w:tab w:val="left" w:pos="2000"/>
          <w:tab w:val="left" w:leader="dot" w:pos="8505"/>
        </w:tabs>
        <w:spacing w:after="120"/>
        <w:ind w:left="2268" w:right="1134"/>
        <w:jc w:val="both"/>
        <w:rPr>
          <w:lang w:val="fr-FR"/>
        </w:rPr>
      </w:pPr>
      <w:r w:rsidRPr="00D05C85">
        <w:rPr>
          <w:lang w:val="fr-FR"/>
        </w:rPr>
        <w:t>Dans l’affirmative, catégorie de la ou des sources lumineuses à DEL de substitution :</w:t>
      </w:r>
      <w:r w:rsidRPr="00D05C85">
        <w:rPr>
          <w:lang w:val="fr-FR"/>
        </w:rPr>
        <w:tab/>
      </w:r>
    </w:p>
    <w:p w14:paraId="29722CB0"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Tension nominale ou plage de tension :</w:t>
      </w:r>
      <w:r w:rsidRPr="00D05C85">
        <w:rPr>
          <w:lang w:val="fr-FR"/>
        </w:rPr>
        <w:tab/>
      </w:r>
      <w:r w:rsidRPr="00D05C85">
        <w:rPr>
          <w:lang w:val="fr-FR"/>
        </w:rPr>
        <w:tab/>
      </w:r>
    </w:p>
    <w:p w14:paraId="1C2913B0" w14:textId="09E47B55" w:rsidR="00AF2126" w:rsidRPr="00D05C85" w:rsidRDefault="00AF2126" w:rsidP="00AF2126">
      <w:pPr>
        <w:tabs>
          <w:tab w:val="left" w:pos="2000"/>
          <w:tab w:val="left" w:leader="dot" w:pos="8505"/>
        </w:tabs>
        <w:spacing w:after="120"/>
        <w:ind w:left="2268" w:right="1134"/>
        <w:jc w:val="both"/>
        <w:rPr>
          <w:lang w:val="fr-FR"/>
        </w:rPr>
      </w:pPr>
      <w:r w:rsidRPr="00D05C85">
        <w:rPr>
          <w:lang w:val="fr-FR"/>
        </w:rPr>
        <w:t>Module d’éclairage : oui/non</w:t>
      </w:r>
      <w:r w:rsidR="00D05C85" w:rsidRPr="00D05C85">
        <w:rPr>
          <w:sz w:val="18"/>
          <w:szCs w:val="18"/>
          <w:vertAlign w:val="superscript"/>
          <w:lang w:val="fr-FR"/>
        </w:rPr>
        <w:t>2</w:t>
      </w:r>
    </w:p>
    <w:p w14:paraId="6EE4FFCE"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Code d’identification propre au module d’éclairage :</w:t>
      </w:r>
      <w:r w:rsidRPr="00D05C85">
        <w:rPr>
          <w:lang w:val="fr-FR"/>
        </w:rPr>
        <w:tab/>
      </w:r>
      <w:r w:rsidRPr="00D05C85">
        <w:rPr>
          <w:lang w:val="fr-FR"/>
        </w:rPr>
        <w:tab/>
      </w:r>
    </w:p>
    <w:p w14:paraId="62367CDE" w14:textId="71A05BA8" w:rsidR="00AF2126" w:rsidRPr="00D05C85" w:rsidRDefault="00AF2126" w:rsidP="00AF2126">
      <w:pPr>
        <w:tabs>
          <w:tab w:val="left" w:pos="2000"/>
          <w:tab w:val="left" w:leader="dot" w:pos="8505"/>
        </w:tabs>
        <w:spacing w:after="120"/>
        <w:ind w:left="2268" w:right="1134"/>
        <w:jc w:val="both"/>
        <w:rPr>
          <w:lang w:val="fr-FR"/>
        </w:rPr>
      </w:pPr>
      <w:r w:rsidRPr="00D05C85">
        <w:rPr>
          <w:lang w:val="fr-FR"/>
        </w:rPr>
        <w:t>Uniquement pour une hauteur de montage limitée, égale ou inférieure à 750 mm au-dessus du sol, le cas échéant : oui/non</w:t>
      </w:r>
      <w:r w:rsidR="00D05C85" w:rsidRPr="00D05C85">
        <w:rPr>
          <w:sz w:val="18"/>
          <w:szCs w:val="18"/>
          <w:vertAlign w:val="superscript"/>
          <w:lang w:val="fr-FR"/>
        </w:rPr>
        <w:t>2</w:t>
      </w:r>
    </w:p>
    <w:p w14:paraId="5F613460" w14:textId="02D365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 xml:space="preserve">Caractéristiques géométriques de montage </w:t>
      </w:r>
      <w:r w:rsidR="00910B33">
        <w:rPr>
          <w:lang w:val="fr-FR"/>
        </w:rPr>
        <w:t xml:space="preserve">et </w:t>
      </w:r>
      <w:r w:rsidRPr="00D05C85">
        <w:rPr>
          <w:lang w:val="fr-FR"/>
        </w:rPr>
        <w:t>variantes éventuelles :</w:t>
      </w:r>
      <w:r w:rsidRPr="00D05C85">
        <w:rPr>
          <w:lang w:val="fr-FR"/>
        </w:rPr>
        <w:tab/>
      </w:r>
      <w:r w:rsidRPr="00D05C85">
        <w:rPr>
          <w:lang w:val="fr-FR"/>
        </w:rPr>
        <w:tab/>
      </w:r>
    </w:p>
    <w:p w14:paraId="2F233E03" w14:textId="21E0C798" w:rsidR="00AF2126" w:rsidRPr="00D05C85" w:rsidRDefault="00AF2126" w:rsidP="00AF2126">
      <w:pPr>
        <w:tabs>
          <w:tab w:val="left" w:pos="2000"/>
          <w:tab w:val="left" w:leader="dot" w:pos="8505"/>
        </w:tabs>
        <w:spacing w:after="120"/>
        <w:ind w:left="2268" w:right="1134"/>
        <w:jc w:val="both"/>
        <w:rPr>
          <w:lang w:val="fr-FR"/>
        </w:rPr>
      </w:pPr>
      <w:r w:rsidRPr="00D05C85">
        <w:rPr>
          <w:lang w:val="fr-FR"/>
        </w:rPr>
        <w:t xml:space="preserve">Un module électronique de régulation de source lumineuse ou un régulateur d’intensité est utilisé </w:t>
      </w:r>
      <w:r w:rsidR="00910B33">
        <w:rPr>
          <w:lang w:val="fr-FR"/>
        </w:rPr>
        <w:t xml:space="preserve">et </w:t>
      </w:r>
      <w:r w:rsidRPr="00D05C85">
        <w:rPr>
          <w:lang w:val="fr-FR"/>
        </w:rPr>
        <w:t>:</w:t>
      </w:r>
    </w:p>
    <w:p w14:paraId="760ECB95" w14:textId="1F26593D" w:rsidR="00AF2126" w:rsidRPr="00D05C85" w:rsidRDefault="00AF2126" w:rsidP="00AF2126">
      <w:pPr>
        <w:tabs>
          <w:tab w:val="left" w:pos="2000"/>
          <w:tab w:val="left" w:pos="2800"/>
          <w:tab w:val="left" w:leader="dot" w:pos="8505"/>
        </w:tabs>
        <w:spacing w:after="120"/>
        <w:ind w:left="2268" w:right="1134"/>
        <w:jc w:val="both"/>
        <w:rPr>
          <w:lang w:val="fr-FR"/>
        </w:rPr>
      </w:pPr>
      <w:r w:rsidRPr="00D05C85">
        <w:rPr>
          <w:lang w:val="fr-FR"/>
        </w:rPr>
        <w:t>a)</w:t>
      </w:r>
      <w:r w:rsidRPr="00D05C85">
        <w:rPr>
          <w:lang w:val="fr-FR"/>
        </w:rPr>
        <w:tab/>
        <w:t>Fait partie du feu : oui/non</w:t>
      </w:r>
      <w:r w:rsidR="00D05C85" w:rsidRPr="00D05C85">
        <w:rPr>
          <w:sz w:val="18"/>
          <w:szCs w:val="18"/>
          <w:vertAlign w:val="superscript"/>
          <w:lang w:val="fr-FR"/>
        </w:rPr>
        <w:t>2</w:t>
      </w:r>
    </w:p>
    <w:p w14:paraId="30A512CF" w14:textId="5B875E1E" w:rsidR="00AF2126" w:rsidRPr="00D05C85" w:rsidRDefault="00AF2126" w:rsidP="00AF2126">
      <w:pPr>
        <w:tabs>
          <w:tab w:val="left" w:pos="2000"/>
          <w:tab w:val="left" w:pos="2800"/>
          <w:tab w:val="left" w:leader="dot" w:pos="8505"/>
        </w:tabs>
        <w:spacing w:after="120"/>
        <w:ind w:left="2268" w:right="1134"/>
        <w:jc w:val="both"/>
        <w:rPr>
          <w:lang w:val="fr-FR"/>
        </w:rPr>
      </w:pPr>
      <w:r w:rsidRPr="00D05C85">
        <w:rPr>
          <w:lang w:val="fr-FR"/>
        </w:rPr>
        <w:t>b)</w:t>
      </w:r>
      <w:r w:rsidRPr="00D05C85">
        <w:rPr>
          <w:lang w:val="fr-FR"/>
        </w:rPr>
        <w:tab/>
        <w:t>Ne fait pas partie du feu : oui/non</w:t>
      </w:r>
      <w:r w:rsidR="00D05C85" w:rsidRPr="00D05C85">
        <w:rPr>
          <w:sz w:val="18"/>
          <w:szCs w:val="18"/>
          <w:vertAlign w:val="superscript"/>
          <w:lang w:val="fr-FR"/>
        </w:rPr>
        <w:t>2</w:t>
      </w:r>
    </w:p>
    <w:p w14:paraId="47CF5675"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Tension(s) d’alimentation du module électronique de régulation de source lumineuse ou du régulateur d’intensité :</w:t>
      </w:r>
      <w:r w:rsidRPr="00D05C85">
        <w:rPr>
          <w:lang w:val="fr-FR"/>
        </w:rPr>
        <w:tab/>
      </w:r>
      <w:r w:rsidRPr="00D05C85">
        <w:rPr>
          <w:lang w:val="fr-FR"/>
        </w:rPr>
        <w:tab/>
      </w:r>
    </w:p>
    <w:p w14:paraId="78349660" w14:textId="43BE3C9A" w:rsidR="00AF2126" w:rsidRPr="00D05C85" w:rsidRDefault="00AF2126" w:rsidP="00AF2126">
      <w:pPr>
        <w:tabs>
          <w:tab w:val="left" w:pos="2000"/>
          <w:tab w:val="left" w:leader="dot" w:pos="8505"/>
        </w:tabs>
        <w:spacing w:after="120"/>
        <w:ind w:left="2268" w:right="1134"/>
        <w:jc w:val="both"/>
        <w:rPr>
          <w:lang w:val="fr-FR"/>
        </w:rPr>
      </w:pPr>
      <w:r w:rsidRPr="00D05C85">
        <w:rPr>
          <w:lang w:val="fr-FR"/>
        </w:rPr>
        <w:lastRenderedPageBreak/>
        <w:t xml:space="preserve">Nom du fabricant </w:t>
      </w:r>
      <w:r w:rsidR="00910B33">
        <w:rPr>
          <w:lang w:val="fr-FR"/>
        </w:rPr>
        <w:t xml:space="preserve">et </w:t>
      </w:r>
      <w:r w:rsidRPr="00D05C85">
        <w:rPr>
          <w:lang w:val="fr-FR"/>
        </w:rPr>
        <w:t>numéro d’identification du module électronique de régulation de source lumineuse ou du régulateur d’intensité (lorsque le module de régulation de source lumineuse fait partie du feu mais n’est pas incorporé dans son boîtier) :</w:t>
      </w:r>
      <w:r w:rsidRPr="00D05C85">
        <w:rPr>
          <w:lang w:val="fr-FR"/>
        </w:rPr>
        <w:tab/>
      </w:r>
      <w:r w:rsidRPr="00D05C85">
        <w:rPr>
          <w:lang w:val="fr-FR"/>
        </w:rPr>
        <w:tab/>
      </w:r>
    </w:p>
    <w:p w14:paraId="1479D2D8" w14:textId="77149DB6" w:rsidR="00AF2126" w:rsidRPr="00D05C85" w:rsidRDefault="00AF2126" w:rsidP="00AF2126">
      <w:pPr>
        <w:tabs>
          <w:tab w:val="left" w:pos="2000"/>
          <w:tab w:val="left" w:leader="dot" w:pos="8505"/>
        </w:tabs>
        <w:spacing w:after="120"/>
        <w:ind w:left="2268" w:right="1134"/>
        <w:jc w:val="both"/>
        <w:rPr>
          <w:lang w:val="fr-FR"/>
        </w:rPr>
      </w:pPr>
      <w:r w:rsidRPr="00D05C85">
        <w:rPr>
          <w:lang w:val="fr-FR"/>
        </w:rPr>
        <w:t>Intensité lumineuse variable : oui/non</w:t>
      </w:r>
      <w:r w:rsidR="00D05C85" w:rsidRPr="00D05C85">
        <w:rPr>
          <w:sz w:val="18"/>
          <w:szCs w:val="18"/>
          <w:vertAlign w:val="superscript"/>
          <w:lang w:val="fr-FR"/>
        </w:rPr>
        <w:t>2</w:t>
      </w:r>
    </w:p>
    <w:p w14:paraId="209A6696"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Fonction(s) d’un feu interdépendant faisant partie d’un système de feux interdépendants, le cas échéant :</w:t>
      </w:r>
      <w:r w:rsidRPr="00D05C85">
        <w:rPr>
          <w:lang w:val="fr-FR"/>
        </w:rPr>
        <w:tab/>
      </w:r>
    </w:p>
    <w:p w14:paraId="5E5E5238" w14:textId="32CA28CC"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9.3</w:t>
      </w:r>
      <w:r w:rsidRPr="00D05C85">
        <w:rPr>
          <w:lang w:val="fr-FR"/>
        </w:rPr>
        <w:tab/>
        <w:t>Les feux de position avant</w:t>
      </w:r>
      <w:r w:rsidR="00D05C85" w:rsidRPr="00D05C85">
        <w:rPr>
          <w:sz w:val="18"/>
          <w:szCs w:val="18"/>
          <w:vertAlign w:val="superscript"/>
          <w:lang w:val="fr-FR"/>
        </w:rPr>
        <w:t>2</w:t>
      </w:r>
      <w:r w:rsidRPr="00D05C85">
        <w:rPr>
          <w:lang w:val="fr-FR"/>
        </w:rPr>
        <w:t>, les feux de position arrière</w:t>
      </w:r>
      <w:r w:rsidR="00D05C85" w:rsidRPr="00D05C85">
        <w:rPr>
          <w:sz w:val="18"/>
          <w:szCs w:val="18"/>
          <w:vertAlign w:val="superscript"/>
          <w:lang w:val="fr-FR"/>
        </w:rPr>
        <w:t>2</w:t>
      </w:r>
      <w:r w:rsidRPr="00D05C85">
        <w:rPr>
          <w:lang w:val="fr-FR"/>
        </w:rPr>
        <w:t>, les feux-stop</w:t>
      </w:r>
      <w:r w:rsidR="00D05C85" w:rsidRPr="00D05C85">
        <w:rPr>
          <w:sz w:val="18"/>
          <w:szCs w:val="18"/>
          <w:vertAlign w:val="superscript"/>
          <w:lang w:val="fr-FR"/>
        </w:rPr>
        <w:t>2</w:t>
      </w:r>
      <w:r w:rsidRPr="00D05C85">
        <w:rPr>
          <w:lang w:val="fr-FR"/>
        </w:rPr>
        <w:t>, les feux d’encombrement</w:t>
      </w:r>
      <w:r w:rsidR="00D05C85" w:rsidRPr="00D05C85">
        <w:rPr>
          <w:sz w:val="18"/>
          <w:szCs w:val="18"/>
          <w:vertAlign w:val="superscript"/>
          <w:lang w:val="fr-FR"/>
        </w:rPr>
        <w:t>2</w:t>
      </w:r>
      <w:r w:rsidRPr="00D05C85">
        <w:rPr>
          <w:lang w:val="fr-FR"/>
        </w:rPr>
        <w:t>, les feux de circulation diurne</w:t>
      </w:r>
      <w:r w:rsidR="00D05C85" w:rsidRPr="00D05C85">
        <w:rPr>
          <w:sz w:val="18"/>
          <w:szCs w:val="18"/>
          <w:vertAlign w:val="superscript"/>
          <w:lang w:val="fr-FR"/>
        </w:rPr>
        <w:t>2</w:t>
      </w:r>
      <w:r w:rsidRPr="00D05C85">
        <w:rPr>
          <w:lang w:val="fr-FR"/>
        </w:rPr>
        <w:t xml:space="preserve"> </w:t>
      </w:r>
      <w:r w:rsidR="00910B33">
        <w:rPr>
          <w:lang w:val="fr-FR"/>
        </w:rPr>
        <w:t xml:space="preserve">et </w:t>
      </w:r>
      <w:r w:rsidRPr="00D05C85">
        <w:rPr>
          <w:lang w:val="fr-FR"/>
        </w:rPr>
        <w:t>les feux de stationnement</w:t>
      </w:r>
      <w:r w:rsidR="00D05C85" w:rsidRPr="00D05C85">
        <w:rPr>
          <w:sz w:val="18"/>
          <w:szCs w:val="18"/>
          <w:vertAlign w:val="superscript"/>
          <w:lang w:val="fr-FR"/>
        </w:rPr>
        <w:t>2</w:t>
      </w:r>
      <w:r w:rsidRPr="00D05C85">
        <w:rPr>
          <w:lang w:val="fr-FR"/>
        </w:rPr>
        <w:t xml:space="preserve"> sont réservés aux véhicules équipés d’un témoin de défaillance : oui/non</w:t>
      </w:r>
      <w:r w:rsidR="00D05C85" w:rsidRPr="00D05C85">
        <w:rPr>
          <w:sz w:val="18"/>
          <w:szCs w:val="18"/>
          <w:vertAlign w:val="superscript"/>
          <w:lang w:val="fr-FR"/>
        </w:rPr>
        <w:t>2</w:t>
      </w:r>
    </w:p>
    <w:p w14:paraId="6385245B" w14:textId="1B78A39E" w:rsidR="00AF2126" w:rsidRPr="00D05C85" w:rsidRDefault="00AF2126" w:rsidP="00AF2126">
      <w:pPr>
        <w:tabs>
          <w:tab w:val="left" w:pos="5100"/>
          <w:tab w:val="left" w:leader="dot" w:pos="8505"/>
        </w:tabs>
        <w:spacing w:after="120"/>
        <w:ind w:left="2268" w:right="1134" w:hanging="1134"/>
        <w:jc w:val="both"/>
        <w:rPr>
          <w:bCs/>
          <w:lang w:val="fr-FR"/>
        </w:rPr>
      </w:pPr>
      <w:r w:rsidRPr="00D05C85">
        <w:rPr>
          <w:lang w:val="fr-FR"/>
        </w:rPr>
        <w:t>9.4</w:t>
      </w:r>
      <w:r w:rsidRPr="00D05C85">
        <w:rPr>
          <w:lang w:val="fr-FR"/>
        </w:rPr>
        <w:tab/>
        <w:t>Un essai supplémentaire est mené conformément au paragraphe 4.8.3.1.1 du présent Règlement : oui/non</w:t>
      </w:r>
      <w:r w:rsidR="00D05C85" w:rsidRPr="00D05C85">
        <w:rPr>
          <w:sz w:val="18"/>
          <w:szCs w:val="18"/>
          <w:vertAlign w:val="superscript"/>
          <w:lang w:val="fr-FR"/>
        </w:rPr>
        <w:t>2</w:t>
      </w:r>
    </w:p>
    <w:p w14:paraId="05D09420" w14:textId="77777777" w:rsidR="00AF2126" w:rsidRPr="00D05C85" w:rsidRDefault="00AF2126" w:rsidP="00AF2126">
      <w:pPr>
        <w:tabs>
          <w:tab w:val="left" w:leader="dot" w:pos="8505"/>
        </w:tabs>
        <w:spacing w:after="120"/>
        <w:ind w:left="2268" w:right="1134" w:hanging="1134"/>
        <w:jc w:val="both"/>
        <w:rPr>
          <w:lang w:val="fr-FR"/>
        </w:rPr>
      </w:pPr>
      <w:r w:rsidRPr="00D05C85">
        <w:rPr>
          <w:lang w:val="fr-FR"/>
        </w:rPr>
        <w:t>10.</w:t>
      </w:r>
      <w:r w:rsidRPr="00D05C85">
        <w:rPr>
          <w:lang w:val="fr-FR"/>
        </w:rPr>
        <w:tab/>
        <w:t>Position de la marque d’homologation ou de l’identifiant unique :</w:t>
      </w:r>
      <w:r w:rsidRPr="00D05C85">
        <w:rPr>
          <w:lang w:val="fr-FR"/>
        </w:rPr>
        <w:tab/>
      </w:r>
    </w:p>
    <w:p w14:paraId="2DCF33AB" w14:textId="77777777" w:rsidR="00AF2126" w:rsidRPr="00D05C85" w:rsidRDefault="00AF2126" w:rsidP="00AF2126">
      <w:pPr>
        <w:tabs>
          <w:tab w:val="left" w:leader="dot" w:pos="8505"/>
        </w:tabs>
        <w:spacing w:after="120"/>
        <w:ind w:left="2268" w:right="1134" w:hanging="1134"/>
        <w:jc w:val="both"/>
        <w:rPr>
          <w:lang w:val="fr-FR"/>
        </w:rPr>
      </w:pPr>
      <w:r w:rsidRPr="00D05C85">
        <w:rPr>
          <w:lang w:val="fr-FR"/>
        </w:rPr>
        <w:t>11.</w:t>
      </w:r>
      <w:r w:rsidRPr="00D05C85">
        <w:rPr>
          <w:lang w:val="fr-FR"/>
        </w:rPr>
        <w:tab/>
        <w:t>Motif(s) de l’extension d’homologation (le cas échéant) :</w:t>
      </w:r>
      <w:r w:rsidRPr="00D05C85">
        <w:rPr>
          <w:lang w:val="fr-FR"/>
        </w:rPr>
        <w:tab/>
      </w:r>
      <w:r w:rsidRPr="00D05C85">
        <w:rPr>
          <w:lang w:val="fr-FR"/>
        </w:rPr>
        <w:tab/>
      </w:r>
    </w:p>
    <w:p w14:paraId="00FDE8C3"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ab/>
      </w:r>
    </w:p>
    <w:p w14:paraId="27D738D0" w14:textId="4F7C375D" w:rsidR="00AF2126" w:rsidRPr="00D05C85" w:rsidRDefault="00AF2126" w:rsidP="00AF2126">
      <w:pPr>
        <w:tabs>
          <w:tab w:val="left" w:leader="dot" w:pos="8505"/>
        </w:tabs>
        <w:spacing w:after="120"/>
        <w:ind w:left="2268" w:right="1134" w:hanging="1134"/>
        <w:jc w:val="both"/>
        <w:rPr>
          <w:lang w:val="fr-FR"/>
        </w:rPr>
      </w:pPr>
      <w:r w:rsidRPr="00D05C85">
        <w:rPr>
          <w:lang w:val="fr-FR"/>
        </w:rPr>
        <w:t>12.</w:t>
      </w:r>
      <w:r w:rsidRPr="00D05C85">
        <w:rPr>
          <w:lang w:val="fr-FR"/>
        </w:rPr>
        <w:tab/>
        <w:t>Homologation accordée/prorogée/refusée/retirée</w:t>
      </w:r>
      <w:r w:rsidR="00D05C85" w:rsidRPr="00D05C85">
        <w:rPr>
          <w:sz w:val="18"/>
          <w:szCs w:val="18"/>
          <w:vertAlign w:val="superscript"/>
          <w:lang w:val="fr-FR"/>
        </w:rPr>
        <w:t>2</w:t>
      </w:r>
      <w:r w:rsidRPr="00D05C85">
        <w:rPr>
          <w:lang w:val="fr-FR"/>
        </w:rPr>
        <w:t> :</w:t>
      </w:r>
      <w:r w:rsidRPr="00D05C85">
        <w:rPr>
          <w:lang w:val="fr-FR"/>
        </w:rPr>
        <w:tab/>
      </w:r>
    </w:p>
    <w:p w14:paraId="06AB5158" w14:textId="1268105B"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13.</w:t>
      </w:r>
      <w:r w:rsidRPr="00D05C85">
        <w:rPr>
          <w:lang w:val="fr-FR"/>
        </w:rPr>
        <w:tab/>
        <w:t>Homologation délivrée pour les dispositifs destinés à être utilisés uniquement sur les véhicules déjà en service : oui/non</w:t>
      </w:r>
      <w:r w:rsidR="00D05C85" w:rsidRPr="00D05C85">
        <w:rPr>
          <w:sz w:val="18"/>
          <w:szCs w:val="18"/>
          <w:vertAlign w:val="superscript"/>
          <w:lang w:val="fr-FR"/>
        </w:rPr>
        <w:t>2</w:t>
      </w:r>
    </w:p>
    <w:p w14:paraId="755C4A69" w14:textId="77777777" w:rsidR="00AF2126" w:rsidRPr="00D05C85" w:rsidRDefault="00AF2126" w:rsidP="00AF2126">
      <w:pPr>
        <w:tabs>
          <w:tab w:val="left" w:leader="dot" w:pos="8505"/>
        </w:tabs>
        <w:spacing w:after="120"/>
        <w:ind w:left="2268" w:right="1134" w:hanging="1134"/>
        <w:jc w:val="both"/>
        <w:rPr>
          <w:lang w:val="fr-FR"/>
        </w:rPr>
      </w:pPr>
      <w:r w:rsidRPr="00D05C85">
        <w:rPr>
          <w:lang w:val="fr-FR"/>
        </w:rPr>
        <w:t>14.</w:t>
      </w:r>
      <w:r w:rsidRPr="00D05C85">
        <w:rPr>
          <w:lang w:val="fr-FR"/>
        </w:rPr>
        <w:tab/>
        <w:t>Lieu :</w:t>
      </w:r>
      <w:r w:rsidRPr="00D05C85">
        <w:rPr>
          <w:lang w:val="fr-FR"/>
        </w:rPr>
        <w:tab/>
      </w:r>
    </w:p>
    <w:p w14:paraId="709F917E" w14:textId="77777777" w:rsidR="00AF2126" w:rsidRPr="00D05C85" w:rsidRDefault="00AF2126" w:rsidP="00AF2126">
      <w:pPr>
        <w:tabs>
          <w:tab w:val="left" w:leader="dot" w:pos="8505"/>
        </w:tabs>
        <w:spacing w:after="120"/>
        <w:ind w:left="2268" w:right="1134" w:hanging="1134"/>
        <w:jc w:val="both"/>
        <w:rPr>
          <w:lang w:val="fr-FR"/>
        </w:rPr>
      </w:pPr>
      <w:r w:rsidRPr="00D05C85">
        <w:rPr>
          <w:lang w:val="fr-FR"/>
        </w:rPr>
        <w:t>15.</w:t>
      </w:r>
      <w:r w:rsidRPr="00D05C85">
        <w:rPr>
          <w:lang w:val="fr-FR"/>
        </w:rPr>
        <w:tab/>
        <w:t>Date :</w:t>
      </w:r>
      <w:r w:rsidRPr="00D05C85">
        <w:rPr>
          <w:lang w:val="fr-FR"/>
        </w:rPr>
        <w:tab/>
      </w:r>
    </w:p>
    <w:p w14:paraId="349D9439" w14:textId="77777777" w:rsidR="00AF2126" w:rsidRPr="00D05C85" w:rsidRDefault="00AF2126" w:rsidP="00AF2126">
      <w:pPr>
        <w:tabs>
          <w:tab w:val="left" w:leader="dot" w:pos="8505"/>
        </w:tabs>
        <w:spacing w:after="120"/>
        <w:ind w:left="2268" w:right="1134" w:hanging="1134"/>
        <w:jc w:val="both"/>
        <w:rPr>
          <w:lang w:val="fr-FR"/>
        </w:rPr>
      </w:pPr>
      <w:r w:rsidRPr="00D05C85">
        <w:rPr>
          <w:lang w:val="fr-FR"/>
        </w:rPr>
        <w:t>16.</w:t>
      </w:r>
      <w:r w:rsidRPr="00D05C85">
        <w:rPr>
          <w:lang w:val="fr-FR"/>
        </w:rPr>
        <w:tab/>
        <w:t>Signature :</w:t>
      </w:r>
      <w:r w:rsidRPr="00D05C85">
        <w:rPr>
          <w:lang w:val="fr-FR"/>
        </w:rPr>
        <w:tab/>
      </w:r>
    </w:p>
    <w:p w14:paraId="1C4C1584" w14:textId="77777777" w:rsidR="00AF2126" w:rsidRPr="00D05C85" w:rsidRDefault="00AF2126" w:rsidP="00AF2126">
      <w:pPr>
        <w:tabs>
          <w:tab w:val="left" w:pos="5100"/>
          <w:tab w:val="left" w:leader="dot" w:pos="8505"/>
        </w:tabs>
        <w:spacing w:after="120"/>
        <w:ind w:left="2268" w:right="1134" w:hanging="1134"/>
        <w:jc w:val="both"/>
        <w:rPr>
          <w:lang w:val="fr-FR"/>
        </w:rPr>
      </w:pPr>
      <w:r w:rsidRPr="00D05C85">
        <w:rPr>
          <w:lang w:val="fr-FR"/>
        </w:rPr>
        <w:t>17.</w:t>
      </w:r>
      <w:r w:rsidRPr="00D05C85">
        <w:rPr>
          <w:lang w:val="fr-FR"/>
        </w:rPr>
        <w:tab/>
        <w:t>La liste annexée à la présente communication énumère les documents déposés auprès de l’autorité d’homologation de type ayant accordé l’homologation, qui peuvent être obtenus sur demande.</w:t>
      </w:r>
    </w:p>
    <w:p w14:paraId="2DE23562"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ab/>
      </w:r>
      <w:r w:rsidRPr="00D05C85">
        <w:rPr>
          <w:lang w:val="fr-FR"/>
        </w:rPr>
        <w:tab/>
      </w:r>
    </w:p>
    <w:p w14:paraId="5A26AE91"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ab/>
      </w:r>
    </w:p>
    <w:p w14:paraId="1903D2D6"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ab/>
      </w:r>
    </w:p>
    <w:p w14:paraId="42BC0D45"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ab/>
      </w:r>
    </w:p>
    <w:p w14:paraId="4355EC61" w14:textId="77777777" w:rsidR="00AF2126" w:rsidRPr="00D05C85" w:rsidRDefault="00AF2126" w:rsidP="00AF2126">
      <w:pPr>
        <w:tabs>
          <w:tab w:val="left" w:pos="2000"/>
          <w:tab w:val="left" w:leader="dot" w:pos="8505"/>
        </w:tabs>
        <w:spacing w:after="120"/>
        <w:ind w:left="2268" w:right="1134"/>
        <w:jc w:val="both"/>
        <w:rPr>
          <w:lang w:val="fr-FR"/>
        </w:rPr>
      </w:pPr>
      <w:r w:rsidRPr="00D05C85">
        <w:rPr>
          <w:lang w:val="fr-FR"/>
        </w:rPr>
        <w:tab/>
      </w:r>
    </w:p>
    <w:p w14:paraId="525A16AF" w14:textId="77777777" w:rsidR="00AF2126" w:rsidRPr="00D05C85" w:rsidRDefault="00AF2126" w:rsidP="00AF2126">
      <w:pPr>
        <w:suppressAutoHyphens w:val="0"/>
        <w:kinsoku/>
        <w:overflowPunct/>
        <w:autoSpaceDE/>
        <w:autoSpaceDN/>
        <w:adjustRightInd/>
        <w:snapToGrid/>
        <w:spacing w:after="200" w:line="276" w:lineRule="auto"/>
        <w:rPr>
          <w:lang w:val="fr-FR"/>
        </w:rPr>
      </w:pPr>
      <w:r w:rsidRPr="00D05C85">
        <w:rPr>
          <w:lang w:val="fr-FR"/>
        </w:rPr>
        <w:br w:type="page"/>
      </w:r>
    </w:p>
    <w:p w14:paraId="6525226C" w14:textId="77777777" w:rsidR="00AF2126" w:rsidRPr="00D05C85" w:rsidRDefault="00AF2126" w:rsidP="00AF2126">
      <w:pPr>
        <w:pStyle w:val="HChG"/>
        <w:rPr>
          <w:rFonts w:eastAsia="Times New Roman"/>
          <w:lang w:val="fr-FR"/>
        </w:rPr>
      </w:pPr>
      <w:r w:rsidRPr="00D05C85">
        <w:rPr>
          <w:lang w:val="fr-FR"/>
        </w:rPr>
        <w:lastRenderedPageBreak/>
        <w:t>Annexe 2</w:t>
      </w:r>
    </w:p>
    <w:p w14:paraId="5CA663D2" w14:textId="77777777" w:rsidR="00AF2126" w:rsidRPr="00D05C85" w:rsidRDefault="00AF2126" w:rsidP="00AF2126">
      <w:pPr>
        <w:pStyle w:val="HChG"/>
        <w:rPr>
          <w:lang w:val="fr-FR"/>
        </w:rPr>
      </w:pPr>
      <w:bookmarkStart w:id="18" w:name="_Hlk68784458"/>
      <w:r w:rsidRPr="00D05C85">
        <w:rPr>
          <w:lang w:val="fr-FR"/>
        </w:rPr>
        <w:tab/>
      </w:r>
      <w:r w:rsidRPr="00D05C85">
        <w:rPr>
          <w:lang w:val="fr-FR"/>
        </w:rPr>
        <w:tab/>
        <w:t>Angles de visibilité géométrique</w:t>
      </w:r>
      <w:bookmarkEnd w:id="18"/>
    </w:p>
    <w:p w14:paraId="76506047" w14:textId="77777777" w:rsidR="00AF2126" w:rsidRPr="00D05C85" w:rsidRDefault="00AF2126" w:rsidP="00AF2126">
      <w:pPr>
        <w:pStyle w:val="SingleTxtG"/>
        <w:rPr>
          <w:lang w:val="fr-FR"/>
        </w:rPr>
      </w:pPr>
      <w:r w:rsidRPr="00D05C85">
        <w:rPr>
          <w:lang w:val="fr-FR"/>
        </w:rPr>
        <w:tab/>
      </w:r>
      <w:r w:rsidRPr="00D05C85">
        <w:rPr>
          <w:lang w:val="fr-FR"/>
        </w:rPr>
        <w:tab/>
        <w:t>Les angles figurant dans ces schémas correspondent à des feux destinés à être montés sur le côté droit du véhicule.</w:t>
      </w:r>
    </w:p>
    <w:p w14:paraId="048A80B4" w14:textId="405BC18E" w:rsidR="00AF2126" w:rsidRPr="00D05C85" w:rsidRDefault="00AF2126" w:rsidP="00AF2126">
      <w:pPr>
        <w:pStyle w:val="H1G"/>
        <w:ind w:left="2268"/>
        <w:rPr>
          <w:lang w:val="fr-FR"/>
        </w:rPr>
      </w:pPr>
      <w:bookmarkStart w:id="19" w:name="_Toc473483472"/>
      <w:r w:rsidRPr="00D05C85">
        <w:rPr>
          <w:bCs/>
          <w:lang w:val="fr-FR"/>
        </w:rPr>
        <w:t>Partie A :</w:t>
      </w:r>
      <w:r w:rsidRPr="00D05C85">
        <w:rPr>
          <w:lang w:val="fr-FR"/>
        </w:rPr>
        <w:tab/>
      </w:r>
      <w:r w:rsidRPr="00D05C85">
        <w:rPr>
          <w:bCs/>
          <w:lang w:val="fr-FR"/>
        </w:rPr>
        <w:t xml:space="preserve">Feux de position, feux d’encombrement, feux-stop, </w:t>
      </w:r>
      <w:r w:rsidRPr="00D05C85">
        <w:rPr>
          <w:bCs/>
          <w:lang w:val="fr-FR"/>
        </w:rPr>
        <w:br/>
        <w:t xml:space="preserve">feux indicateurs de direction avant </w:t>
      </w:r>
      <w:r w:rsidR="00910B33">
        <w:rPr>
          <w:bCs/>
          <w:lang w:val="fr-FR"/>
        </w:rPr>
        <w:t xml:space="preserve">et </w:t>
      </w:r>
      <w:r w:rsidRPr="00D05C85">
        <w:rPr>
          <w:bCs/>
          <w:lang w:val="fr-FR"/>
        </w:rPr>
        <w:t xml:space="preserve">arrière, feux </w:t>
      </w:r>
      <w:r w:rsidRPr="00D05C85">
        <w:rPr>
          <w:bCs/>
          <w:lang w:val="fr-FR"/>
        </w:rPr>
        <w:br/>
        <w:t xml:space="preserve">de circulation diurne </w:t>
      </w:r>
      <w:r w:rsidR="00910B33">
        <w:rPr>
          <w:bCs/>
          <w:lang w:val="fr-FR"/>
        </w:rPr>
        <w:t xml:space="preserve">et </w:t>
      </w:r>
      <w:r w:rsidRPr="00D05C85">
        <w:rPr>
          <w:bCs/>
          <w:lang w:val="fr-FR"/>
        </w:rPr>
        <w:t xml:space="preserve">feux de stationnement </w:t>
      </w:r>
      <w:r w:rsidRPr="00D05C85">
        <w:rPr>
          <w:bCs/>
          <w:lang w:val="fr-FR"/>
        </w:rPr>
        <w:br/>
        <w:t xml:space="preserve">avant </w:t>
      </w:r>
      <w:r w:rsidR="00910B33">
        <w:rPr>
          <w:bCs/>
          <w:lang w:val="fr-FR"/>
        </w:rPr>
        <w:t xml:space="preserve">et </w:t>
      </w:r>
      <w:r w:rsidRPr="00D05C85">
        <w:rPr>
          <w:bCs/>
          <w:lang w:val="fr-FR"/>
        </w:rPr>
        <w:t>arrière</w:t>
      </w:r>
      <w:bookmarkEnd w:id="19"/>
    </w:p>
    <w:p w14:paraId="50782513" w14:textId="48C051FF" w:rsidR="00AF2126" w:rsidRPr="00D05C85" w:rsidRDefault="00AF2126" w:rsidP="00AF2126">
      <w:pPr>
        <w:pStyle w:val="Titre1"/>
        <w:tabs>
          <w:tab w:val="left" w:pos="1701"/>
          <w:tab w:val="left" w:pos="2268"/>
          <w:tab w:val="left" w:pos="2835"/>
        </w:tabs>
        <w:spacing w:after="120"/>
        <w:rPr>
          <w:lang w:val="fr-FR"/>
        </w:rPr>
      </w:pPr>
      <w:r w:rsidRPr="00D05C85">
        <w:rPr>
          <w:lang w:val="fr-FR"/>
        </w:rPr>
        <w:t>Figure A2-I</w:t>
      </w:r>
      <w:r w:rsidRPr="00D05C85">
        <w:rPr>
          <w:lang w:val="fr-FR"/>
        </w:rPr>
        <w:br/>
      </w:r>
      <w:r w:rsidRPr="00D05C85">
        <w:rPr>
          <w:b/>
          <w:bCs/>
          <w:lang w:val="fr-FR"/>
        </w:rPr>
        <w:t xml:space="preserve">Angles de visibilité géométrique horizontaux </w:t>
      </w:r>
      <w:r w:rsidR="00910B33">
        <w:rPr>
          <w:b/>
          <w:bCs/>
          <w:lang w:val="fr-FR"/>
        </w:rPr>
        <w:t xml:space="preserve">et </w:t>
      </w:r>
      <w:r w:rsidRPr="00D05C85">
        <w:rPr>
          <w:b/>
          <w:bCs/>
          <w:lang w:val="fr-FR"/>
        </w:rPr>
        <w:t>verticaux</w:t>
      </w: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AF2126" w:rsidRPr="00D05C85" w14:paraId="578CF6D9" w14:textId="77777777" w:rsidTr="00E70082">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31FC6" w14:textId="77777777" w:rsidR="00AF2126" w:rsidRPr="00D05C85" w:rsidRDefault="00AF2126" w:rsidP="00E70082">
            <w:pPr>
              <w:spacing w:after="120"/>
              <w:rPr>
                <w:lang w:val="fr-FR"/>
              </w:rPr>
            </w:pPr>
            <w:r w:rsidRPr="00D05C85">
              <w:rPr>
                <w:noProof/>
                <w:lang w:val="fr-FR"/>
              </w:rPr>
              <w:drawing>
                <wp:inline distT="0" distB="0" distL="0" distR="0" wp14:anchorId="761D0F76" wp14:editId="53E726A4">
                  <wp:extent cx="2705735" cy="357060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735" cy="3570605"/>
                          </a:xfrm>
                          <a:prstGeom prst="rect">
                            <a:avLst/>
                          </a:prstGeom>
                          <a:noFill/>
                          <a:ln>
                            <a:noFill/>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6A88D" w14:textId="77777777" w:rsidR="00AF2126" w:rsidRPr="00D05C85" w:rsidRDefault="00AF2126" w:rsidP="00E70082">
            <w:pPr>
              <w:spacing w:after="120"/>
              <w:rPr>
                <w:lang w:val="fr-FR"/>
              </w:rPr>
            </w:pPr>
            <w:r w:rsidRPr="00D05C85">
              <w:rPr>
                <w:noProof/>
                <w:lang w:val="fr-FR"/>
              </w:rPr>
              <w:drawing>
                <wp:inline distT="0" distB="0" distL="0" distR="0" wp14:anchorId="65C244B5" wp14:editId="68D2B981">
                  <wp:extent cx="2414270" cy="1216660"/>
                  <wp:effectExtent l="0" t="0" r="5080"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1216660"/>
                          </a:xfrm>
                          <a:prstGeom prst="rect">
                            <a:avLst/>
                          </a:prstGeom>
                          <a:noFill/>
                          <a:ln>
                            <a:noFill/>
                          </a:ln>
                        </pic:spPr>
                      </pic:pic>
                    </a:graphicData>
                  </a:graphic>
                </wp:inline>
              </w:drawing>
            </w:r>
          </w:p>
        </w:tc>
      </w:tr>
      <w:tr w:rsidR="00AF2126" w:rsidRPr="00D05C85" w14:paraId="62EBB9DC" w14:textId="77777777" w:rsidTr="00E70082">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6C390" w14:textId="77777777" w:rsidR="00AF2126" w:rsidRPr="00D05C85" w:rsidRDefault="00AF2126" w:rsidP="00E70082">
            <w:pPr>
              <w:spacing w:after="120"/>
              <w:jc w:val="center"/>
              <w:rPr>
                <w:lang w:val="fr-FR"/>
              </w:rPr>
            </w:pPr>
            <w:r w:rsidRPr="00D05C85">
              <w:rPr>
                <w:b/>
                <w:bCs/>
                <w:lang w:val="fr-FR"/>
              </w:rPr>
              <w:t>Angles horizontaux</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95843" w14:textId="77777777" w:rsidR="00AF2126" w:rsidRPr="00D05C85" w:rsidRDefault="00AF2126" w:rsidP="00E70082">
            <w:pPr>
              <w:spacing w:after="120"/>
              <w:jc w:val="center"/>
              <w:rPr>
                <w:lang w:val="fr-FR"/>
              </w:rPr>
            </w:pPr>
            <w:r w:rsidRPr="00D05C85">
              <w:rPr>
                <w:b/>
                <w:bCs/>
                <w:lang w:val="fr-FR"/>
              </w:rPr>
              <w:t>Angles verticaux</w:t>
            </w:r>
          </w:p>
        </w:tc>
      </w:tr>
    </w:tbl>
    <w:p w14:paraId="08461D9E" w14:textId="77777777" w:rsidR="00AF2126" w:rsidRPr="00D05C85" w:rsidRDefault="00AF2126" w:rsidP="00AF2126">
      <w:pPr>
        <w:spacing w:after="120"/>
        <w:ind w:left="1134"/>
        <w:rPr>
          <w:lang w:val="fr-FR"/>
        </w:rPr>
      </w:pPr>
    </w:p>
    <w:p w14:paraId="04EAF112" w14:textId="77777777" w:rsidR="00AF2126" w:rsidRPr="00D05C85" w:rsidRDefault="00AF2126" w:rsidP="00AF2126">
      <w:pPr>
        <w:suppressAutoHyphens w:val="0"/>
        <w:spacing w:line="240" w:lineRule="auto"/>
        <w:rPr>
          <w:lang w:val="fr-FR"/>
        </w:rPr>
      </w:pPr>
      <w:r w:rsidRPr="00D05C85">
        <w:rPr>
          <w:lang w:val="fr-FR"/>
        </w:rPr>
        <w:br w:type="page"/>
      </w:r>
    </w:p>
    <w:p w14:paraId="442EFBA2" w14:textId="1DB2A225" w:rsidR="00AF2126" w:rsidRPr="00D05C85" w:rsidRDefault="00AF2126" w:rsidP="00AF2126">
      <w:pPr>
        <w:pStyle w:val="Titre1"/>
        <w:tabs>
          <w:tab w:val="left" w:pos="1701"/>
          <w:tab w:val="left" w:pos="2268"/>
          <w:tab w:val="left" w:pos="2835"/>
        </w:tabs>
        <w:spacing w:after="120"/>
        <w:rPr>
          <w:lang w:val="fr-FR"/>
        </w:rPr>
      </w:pPr>
      <w:r w:rsidRPr="00D05C85">
        <w:rPr>
          <w:lang w:val="fr-FR"/>
        </w:rPr>
        <w:lastRenderedPageBreak/>
        <w:t>Tableau A2-1</w:t>
      </w:r>
      <w:r w:rsidRPr="00D05C85">
        <w:rPr>
          <w:lang w:val="fr-FR"/>
        </w:rPr>
        <w:br/>
      </w:r>
      <w:r w:rsidRPr="00D05C85">
        <w:rPr>
          <w:b/>
          <w:bCs/>
          <w:lang w:val="fr-FR"/>
        </w:rPr>
        <w:t xml:space="preserve">Angles de visibilité géométrique horizontaux </w:t>
      </w:r>
      <w:r w:rsidR="00910B33">
        <w:rPr>
          <w:b/>
          <w:bCs/>
          <w:lang w:val="fr-FR"/>
        </w:rPr>
        <w:t xml:space="preserve">et </w:t>
      </w:r>
      <w:r w:rsidRPr="00D05C85">
        <w:rPr>
          <w:b/>
          <w:bCs/>
          <w:lang w:val="fr-FR"/>
        </w:rPr>
        <w:t>verticaux</w:t>
      </w:r>
    </w:p>
    <w:tbl>
      <w:tblPr>
        <w:tblStyle w:val="Grilledutableau"/>
        <w:tblW w:w="8505" w:type="dxa"/>
        <w:tblInd w:w="1134" w:type="dxa"/>
        <w:tblLayout w:type="fixed"/>
        <w:tblLook w:val="04A0" w:firstRow="1" w:lastRow="0" w:firstColumn="1" w:lastColumn="0" w:noHBand="0" w:noVBand="1"/>
      </w:tblPr>
      <w:tblGrid>
        <w:gridCol w:w="3449"/>
        <w:gridCol w:w="2084"/>
        <w:gridCol w:w="1701"/>
        <w:gridCol w:w="1271"/>
      </w:tblGrid>
      <w:tr w:rsidR="00AF2126" w:rsidRPr="00D05C85" w14:paraId="2DF4CDD2" w14:textId="77777777" w:rsidTr="00E70082">
        <w:tc>
          <w:tcPr>
            <w:tcW w:w="3445" w:type="dxa"/>
            <w:vAlign w:val="bottom"/>
          </w:tcPr>
          <w:p w14:paraId="59784340" w14:textId="77777777" w:rsidR="00AF2126" w:rsidRPr="00D05C85" w:rsidRDefault="00AF2126" w:rsidP="00E70082">
            <w:pPr>
              <w:tabs>
                <w:tab w:val="left" w:pos="9639"/>
              </w:tabs>
              <w:spacing w:before="80" w:after="80" w:line="200" w:lineRule="exact"/>
              <w:ind w:left="57" w:right="57"/>
              <w:rPr>
                <w:b/>
                <w:color w:val="000000"/>
                <w:sz w:val="16"/>
                <w:szCs w:val="16"/>
                <w:lang w:val="fr-FR"/>
              </w:rPr>
            </w:pPr>
            <w:r w:rsidRPr="00D05C85">
              <w:rPr>
                <w:b/>
                <w:bCs/>
                <w:i/>
                <w:iCs/>
                <w:sz w:val="16"/>
                <w:szCs w:val="16"/>
                <w:lang w:val="fr-FR"/>
              </w:rPr>
              <w:t>Feu</w:t>
            </w:r>
          </w:p>
        </w:tc>
        <w:tc>
          <w:tcPr>
            <w:tcW w:w="2081" w:type="dxa"/>
            <w:vAlign w:val="bottom"/>
          </w:tcPr>
          <w:p w14:paraId="75B8E070" w14:textId="77777777" w:rsidR="00AF2126" w:rsidRPr="00D05C85" w:rsidRDefault="00AF2126" w:rsidP="00E70082">
            <w:pPr>
              <w:tabs>
                <w:tab w:val="left" w:pos="9639"/>
              </w:tabs>
              <w:spacing w:before="80" w:after="80" w:line="200" w:lineRule="exact"/>
              <w:ind w:left="57" w:right="57"/>
              <w:jc w:val="center"/>
              <w:rPr>
                <w:b/>
                <w:color w:val="000000"/>
                <w:sz w:val="16"/>
                <w:szCs w:val="16"/>
                <w:lang w:val="fr-FR"/>
              </w:rPr>
            </w:pPr>
            <w:r w:rsidRPr="00D05C85">
              <w:rPr>
                <w:b/>
                <w:bCs/>
                <w:i/>
                <w:iCs/>
                <w:sz w:val="16"/>
                <w:szCs w:val="16"/>
                <w:lang w:val="fr-FR"/>
              </w:rPr>
              <w:t>Angles horizontaux minimaux (intérieurs/extérieurs)</w:t>
            </w:r>
          </w:p>
        </w:tc>
        <w:tc>
          <w:tcPr>
            <w:tcW w:w="1699" w:type="dxa"/>
            <w:vAlign w:val="bottom"/>
          </w:tcPr>
          <w:p w14:paraId="508721FF" w14:textId="77777777" w:rsidR="00AF2126" w:rsidRPr="00D05C85" w:rsidRDefault="00AF2126" w:rsidP="00E70082">
            <w:pPr>
              <w:tabs>
                <w:tab w:val="left" w:pos="9639"/>
              </w:tabs>
              <w:spacing w:before="80" w:after="80" w:line="200" w:lineRule="exact"/>
              <w:ind w:left="57" w:right="57"/>
              <w:jc w:val="center"/>
              <w:rPr>
                <w:b/>
                <w:color w:val="000000"/>
                <w:sz w:val="16"/>
                <w:szCs w:val="16"/>
                <w:lang w:val="fr-FR"/>
              </w:rPr>
            </w:pPr>
            <w:r w:rsidRPr="00D05C85">
              <w:rPr>
                <w:b/>
                <w:bCs/>
                <w:i/>
                <w:iCs/>
                <w:sz w:val="16"/>
                <w:szCs w:val="16"/>
                <w:lang w:val="fr-FR"/>
              </w:rPr>
              <w:t>Angles verticaux minimaux (supérieurs/inférieurs)</w:t>
            </w:r>
          </w:p>
        </w:tc>
        <w:tc>
          <w:tcPr>
            <w:tcW w:w="1269" w:type="dxa"/>
            <w:vAlign w:val="bottom"/>
          </w:tcPr>
          <w:p w14:paraId="6B301078" w14:textId="77777777" w:rsidR="00AF2126" w:rsidRPr="00D05C85" w:rsidRDefault="00AF2126" w:rsidP="00E70082">
            <w:pPr>
              <w:tabs>
                <w:tab w:val="left" w:pos="9639"/>
              </w:tabs>
              <w:spacing w:before="80" w:after="80" w:line="200" w:lineRule="exact"/>
              <w:ind w:left="57" w:right="57"/>
              <w:jc w:val="center"/>
              <w:rPr>
                <w:b/>
                <w:color w:val="000000"/>
                <w:sz w:val="16"/>
                <w:szCs w:val="16"/>
                <w:lang w:val="fr-FR"/>
              </w:rPr>
            </w:pPr>
            <w:r w:rsidRPr="00D05C85">
              <w:rPr>
                <w:b/>
                <w:bCs/>
                <w:i/>
                <w:iCs/>
                <w:sz w:val="16"/>
                <w:szCs w:val="16"/>
                <w:lang w:val="fr-FR"/>
              </w:rPr>
              <w:t>Renseignements complémentaires</w:t>
            </w:r>
          </w:p>
        </w:tc>
      </w:tr>
      <w:tr w:rsidR="00AF2126" w:rsidRPr="00D05C85" w14:paraId="1CB99660" w14:textId="77777777" w:rsidTr="00E70082">
        <w:tc>
          <w:tcPr>
            <w:tcW w:w="3445" w:type="dxa"/>
            <w:vAlign w:val="center"/>
          </w:tcPr>
          <w:p w14:paraId="2388BF71" w14:textId="5196208E" w:rsidR="00AF2126" w:rsidRPr="00D05C85" w:rsidRDefault="00AF2126" w:rsidP="00E70082">
            <w:pPr>
              <w:tabs>
                <w:tab w:val="left" w:pos="9639"/>
              </w:tabs>
              <w:spacing w:before="40" w:after="40" w:line="220" w:lineRule="exact"/>
              <w:ind w:left="57" w:right="57"/>
              <w:rPr>
                <w:color w:val="000000"/>
                <w:sz w:val="18"/>
                <w:szCs w:val="18"/>
                <w:lang w:val="fr-FR"/>
              </w:rPr>
            </w:pPr>
            <w:r w:rsidRPr="00D05C85">
              <w:rPr>
                <w:sz w:val="18"/>
                <w:szCs w:val="18"/>
                <w:lang w:val="fr-FR"/>
              </w:rPr>
              <w:t xml:space="preserve">Feu indicateur de direction avant </w:t>
            </w:r>
            <w:r w:rsidR="00D05C85" w:rsidRPr="00D05C85">
              <w:rPr>
                <w:sz w:val="18"/>
                <w:szCs w:val="18"/>
                <w:lang w:val="fr-FR"/>
              </w:rPr>
              <w:br/>
            </w:r>
            <w:r w:rsidRPr="00D05C85">
              <w:rPr>
                <w:sz w:val="18"/>
                <w:szCs w:val="18"/>
                <w:lang w:val="fr-FR"/>
              </w:rPr>
              <w:t>(1, 1a ou 1b)</w:t>
            </w:r>
          </w:p>
        </w:tc>
        <w:tc>
          <w:tcPr>
            <w:tcW w:w="2081" w:type="dxa"/>
            <w:vAlign w:val="center"/>
          </w:tcPr>
          <w:p w14:paraId="39E9DFD7" w14:textId="6242A982" w:rsidR="00AF2126" w:rsidRPr="00D05C85" w:rsidRDefault="00AF2126" w:rsidP="00D05C85">
            <w:pPr>
              <w:tabs>
                <w:tab w:val="left" w:pos="9639"/>
              </w:tabs>
              <w:spacing w:before="40" w:after="40" w:line="220" w:lineRule="exact"/>
              <w:ind w:left="57" w:right="57"/>
              <w:jc w:val="center"/>
              <w:rPr>
                <w:color w:val="000000"/>
                <w:sz w:val="18"/>
                <w:szCs w:val="18"/>
                <w:lang w:val="fr-FR"/>
              </w:rPr>
            </w:pPr>
            <w:r w:rsidRPr="00D05C85">
              <w:rPr>
                <w:sz w:val="18"/>
                <w:szCs w:val="18"/>
                <w:lang w:val="fr-FR"/>
              </w:rPr>
              <w:t>45°/80°</w:t>
            </w:r>
            <w:r w:rsidR="00D05C85" w:rsidRPr="00D05C85">
              <w:rPr>
                <w:sz w:val="18"/>
                <w:szCs w:val="18"/>
                <w:lang w:val="fr-FR"/>
              </w:rPr>
              <w:br/>
            </w:r>
            <w:r w:rsidRPr="00D05C85">
              <w:rPr>
                <w:sz w:val="18"/>
                <w:szCs w:val="18"/>
                <w:lang w:val="fr-FR"/>
              </w:rPr>
              <w:t>(20°/80°)</w:t>
            </w:r>
            <w:r w:rsidRPr="00D05C85">
              <w:rPr>
                <w:i/>
                <w:iCs/>
                <w:sz w:val="18"/>
                <w:szCs w:val="18"/>
                <w:vertAlign w:val="superscript"/>
                <w:lang w:val="fr-FR"/>
              </w:rPr>
              <w:t>a</w:t>
            </w:r>
          </w:p>
        </w:tc>
        <w:tc>
          <w:tcPr>
            <w:tcW w:w="1699" w:type="dxa"/>
            <w:vAlign w:val="center"/>
          </w:tcPr>
          <w:p w14:paraId="2F592E14" w14:textId="03881A52" w:rsidR="00AF2126" w:rsidRPr="00D05C85" w:rsidRDefault="00AF2126" w:rsidP="00D05C85">
            <w:pPr>
              <w:tabs>
                <w:tab w:val="left" w:pos="9639"/>
              </w:tabs>
              <w:spacing w:before="40" w:after="40" w:line="220" w:lineRule="exact"/>
              <w:ind w:left="57" w:right="57"/>
              <w:jc w:val="center"/>
              <w:rPr>
                <w:color w:val="000000"/>
                <w:sz w:val="18"/>
                <w:szCs w:val="18"/>
                <w:lang w:val="fr-FR"/>
              </w:rPr>
            </w:pPr>
            <w:r w:rsidRPr="00D05C85">
              <w:rPr>
                <w:sz w:val="18"/>
                <w:szCs w:val="18"/>
                <w:lang w:val="fr-FR"/>
              </w:rPr>
              <w:t>15°/15°</w:t>
            </w:r>
            <w:r w:rsidR="00D05C85" w:rsidRPr="00D05C85">
              <w:rPr>
                <w:sz w:val="18"/>
                <w:szCs w:val="18"/>
                <w:lang w:val="fr-FR"/>
              </w:rPr>
              <w:br/>
            </w:r>
            <w:r w:rsidRPr="00D05C85">
              <w:rPr>
                <w:sz w:val="18"/>
                <w:szCs w:val="18"/>
                <w:lang w:val="fr-FR"/>
              </w:rPr>
              <w:t>(15°/5°)</w:t>
            </w:r>
            <w:r w:rsidRPr="00D05C85">
              <w:rPr>
                <w:i/>
                <w:iCs/>
                <w:sz w:val="18"/>
                <w:szCs w:val="18"/>
                <w:vertAlign w:val="superscript"/>
                <w:lang w:val="fr-FR"/>
              </w:rPr>
              <w:t>b</w:t>
            </w:r>
            <w:r w:rsidRPr="00D05C85">
              <w:rPr>
                <w:sz w:val="18"/>
                <w:szCs w:val="18"/>
                <w:lang w:val="fr-FR"/>
              </w:rPr>
              <w:t xml:space="preserve"> </w:t>
            </w:r>
          </w:p>
        </w:tc>
        <w:tc>
          <w:tcPr>
            <w:tcW w:w="1269" w:type="dxa"/>
            <w:vAlign w:val="center"/>
          </w:tcPr>
          <w:p w14:paraId="0B497927"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w:t>
            </w:r>
          </w:p>
        </w:tc>
      </w:tr>
      <w:tr w:rsidR="00AF2126" w:rsidRPr="00D05C85" w14:paraId="41B52A0C" w14:textId="77777777" w:rsidTr="00E70082">
        <w:tc>
          <w:tcPr>
            <w:tcW w:w="3445" w:type="dxa"/>
            <w:vAlign w:val="center"/>
          </w:tcPr>
          <w:p w14:paraId="16CAA61D" w14:textId="77777777" w:rsidR="00AF2126" w:rsidRPr="00D05C85" w:rsidRDefault="00AF2126" w:rsidP="00E70082">
            <w:pPr>
              <w:tabs>
                <w:tab w:val="left" w:pos="9639"/>
              </w:tabs>
              <w:spacing w:before="40" w:after="40" w:line="220" w:lineRule="exact"/>
              <w:ind w:left="57" w:right="57"/>
              <w:rPr>
                <w:color w:val="000000"/>
                <w:sz w:val="18"/>
                <w:szCs w:val="18"/>
                <w:lang w:val="fr-FR"/>
              </w:rPr>
            </w:pPr>
            <w:r w:rsidRPr="00D05C85">
              <w:rPr>
                <w:sz w:val="18"/>
                <w:szCs w:val="18"/>
                <w:lang w:val="fr-FR"/>
              </w:rPr>
              <w:t>Feu indicateur de direction arrière (2a ou 2b)</w:t>
            </w:r>
          </w:p>
        </w:tc>
        <w:tc>
          <w:tcPr>
            <w:tcW w:w="2081" w:type="dxa"/>
            <w:vAlign w:val="center"/>
          </w:tcPr>
          <w:p w14:paraId="52BF81A0" w14:textId="3AD7BE30" w:rsidR="00AF2126" w:rsidRPr="00D05C85" w:rsidRDefault="00AF2126" w:rsidP="00D05C85">
            <w:pPr>
              <w:tabs>
                <w:tab w:val="left" w:pos="9639"/>
              </w:tabs>
              <w:spacing w:before="40" w:after="40" w:line="220" w:lineRule="exact"/>
              <w:ind w:left="57" w:right="57"/>
              <w:jc w:val="center"/>
              <w:rPr>
                <w:color w:val="000000"/>
                <w:sz w:val="18"/>
                <w:szCs w:val="18"/>
                <w:lang w:val="fr-FR"/>
              </w:rPr>
            </w:pPr>
            <w:r w:rsidRPr="00D05C85">
              <w:rPr>
                <w:sz w:val="18"/>
                <w:szCs w:val="18"/>
                <w:lang w:val="fr-FR"/>
              </w:rPr>
              <w:t xml:space="preserve">45°/80° </w:t>
            </w:r>
            <w:r w:rsidR="00D05C85" w:rsidRPr="00D05C85">
              <w:rPr>
                <w:sz w:val="18"/>
                <w:szCs w:val="18"/>
                <w:lang w:val="fr-FR"/>
              </w:rPr>
              <w:br/>
            </w:r>
            <w:r w:rsidRPr="00D05C85">
              <w:rPr>
                <w:sz w:val="18"/>
                <w:szCs w:val="18"/>
                <w:lang w:val="fr-FR"/>
              </w:rPr>
              <w:t>(20°/80°)</w:t>
            </w:r>
            <w:r w:rsidRPr="00D05C85">
              <w:rPr>
                <w:i/>
                <w:iCs/>
                <w:sz w:val="18"/>
                <w:szCs w:val="18"/>
                <w:vertAlign w:val="superscript"/>
                <w:lang w:val="fr-FR"/>
              </w:rPr>
              <w:t>a</w:t>
            </w:r>
          </w:p>
        </w:tc>
        <w:tc>
          <w:tcPr>
            <w:tcW w:w="1699" w:type="dxa"/>
            <w:vAlign w:val="center"/>
          </w:tcPr>
          <w:p w14:paraId="0894C45F" w14:textId="7F9D0083" w:rsidR="00AF2126" w:rsidRPr="00D05C85" w:rsidRDefault="00AF2126" w:rsidP="00D05C85">
            <w:pPr>
              <w:tabs>
                <w:tab w:val="left" w:pos="9639"/>
              </w:tabs>
              <w:spacing w:before="40" w:after="40" w:line="220" w:lineRule="exact"/>
              <w:ind w:left="57" w:right="57"/>
              <w:jc w:val="center"/>
              <w:rPr>
                <w:color w:val="000000"/>
                <w:sz w:val="18"/>
                <w:szCs w:val="18"/>
                <w:lang w:val="fr-FR"/>
              </w:rPr>
            </w:pPr>
            <w:r w:rsidRPr="00D05C85">
              <w:rPr>
                <w:sz w:val="18"/>
                <w:szCs w:val="18"/>
                <w:lang w:val="fr-FR"/>
              </w:rPr>
              <w:t>15°/15° (15°/5°)</w:t>
            </w:r>
            <w:r w:rsidRPr="00D05C85">
              <w:rPr>
                <w:i/>
                <w:iCs/>
                <w:sz w:val="18"/>
                <w:szCs w:val="18"/>
                <w:vertAlign w:val="superscript"/>
                <w:lang w:val="fr-FR"/>
              </w:rPr>
              <w:t>b</w:t>
            </w:r>
            <w:r w:rsidRPr="00D05C85">
              <w:rPr>
                <w:sz w:val="18"/>
                <w:szCs w:val="18"/>
                <w:lang w:val="fr-FR"/>
              </w:rPr>
              <w:t xml:space="preserve"> </w:t>
            </w:r>
            <w:r w:rsidR="00D05C85" w:rsidRPr="00D05C85">
              <w:rPr>
                <w:sz w:val="18"/>
                <w:szCs w:val="18"/>
                <w:lang w:val="fr-FR"/>
              </w:rPr>
              <w:br/>
            </w:r>
            <w:r w:rsidRPr="00D05C85">
              <w:rPr>
                <w:sz w:val="18"/>
                <w:szCs w:val="18"/>
                <w:lang w:val="fr-FR"/>
              </w:rPr>
              <w:t>(5°/15°)</w:t>
            </w:r>
            <w:r w:rsidRPr="00D05C85">
              <w:rPr>
                <w:i/>
                <w:iCs/>
                <w:sz w:val="18"/>
                <w:szCs w:val="18"/>
                <w:vertAlign w:val="superscript"/>
                <w:lang w:val="fr-FR"/>
              </w:rPr>
              <w:t>c</w:t>
            </w:r>
          </w:p>
        </w:tc>
        <w:tc>
          <w:tcPr>
            <w:tcW w:w="1269" w:type="dxa"/>
            <w:vAlign w:val="center"/>
          </w:tcPr>
          <w:p w14:paraId="4E3E28EF"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w:t>
            </w:r>
          </w:p>
        </w:tc>
      </w:tr>
      <w:tr w:rsidR="00AF2126" w:rsidRPr="00D05C85" w14:paraId="56ECA625" w14:textId="77777777" w:rsidTr="00E70082">
        <w:tc>
          <w:tcPr>
            <w:tcW w:w="3445" w:type="dxa"/>
            <w:vAlign w:val="center"/>
          </w:tcPr>
          <w:p w14:paraId="5E1AE44D" w14:textId="77777777" w:rsidR="00AF2126" w:rsidRPr="00D05C85" w:rsidRDefault="00AF2126" w:rsidP="00E70082">
            <w:pPr>
              <w:tabs>
                <w:tab w:val="left" w:pos="9639"/>
              </w:tabs>
              <w:spacing w:before="40" w:after="40" w:line="220" w:lineRule="exact"/>
              <w:ind w:left="57" w:right="57"/>
              <w:rPr>
                <w:color w:val="000000"/>
                <w:sz w:val="18"/>
                <w:szCs w:val="18"/>
                <w:lang w:val="fr-FR"/>
              </w:rPr>
            </w:pPr>
            <w:r w:rsidRPr="00D05C85">
              <w:rPr>
                <w:sz w:val="18"/>
                <w:szCs w:val="18"/>
                <w:lang w:val="fr-FR"/>
              </w:rPr>
              <w:t>Feu indicateur de direction avant ou arrière (11, 11a, 11b, 11c ou 12)</w:t>
            </w:r>
          </w:p>
        </w:tc>
        <w:tc>
          <w:tcPr>
            <w:tcW w:w="2081" w:type="dxa"/>
            <w:vAlign w:val="center"/>
          </w:tcPr>
          <w:p w14:paraId="48B544ED"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20°/80°</w:t>
            </w:r>
          </w:p>
        </w:tc>
        <w:tc>
          <w:tcPr>
            <w:tcW w:w="1699" w:type="dxa"/>
            <w:vAlign w:val="center"/>
          </w:tcPr>
          <w:p w14:paraId="6D22019A"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15°/15° (15°/5°)</w:t>
            </w:r>
            <w:r w:rsidRPr="00D05C85">
              <w:rPr>
                <w:i/>
                <w:iCs/>
                <w:sz w:val="18"/>
                <w:szCs w:val="18"/>
                <w:vertAlign w:val="superscript"/>
                <w:lang w:val="fr-FR"/>
              </w:rPr>
              <w:t>b</w:t>
            </w:r>
          </w:p>
        </w:tc>
        <w:tc>
          <w:tcPr>
            <w:tcW w:w="1269" w:type="dxa"/>
            <w:vAlign w:val="center"/>
          </w:tcPr>
          <w:p w14:paraId="4CA4520D"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w:t>
            </w:r>
          </w:p>
        </w:tc>
      </w:tr>
      <w:tr w:rsidR="00AF2126" w:rsidRPr="00D05C85" w14:paraId="4DEB74DB" w14:textId="77777777" w:rsidTr="00E70082">
        <w:tc>
          <w:tcPr>
            <w:tcW w:w="3445" w:type="dxa"/>
          </w:tcPr>
          <w:p w14:paraId="4FAEC915" w14:textId="77777777" w:rsidR="00AF2126" w:rsidRPr="00D05C85" w:rsidRDefault="00AF2126" w:rsidP="00E70082">
            <w:pPr>
              <w:tabs>
                <w:tab w:val="left" w:pos="9639"/>
              </w:tabs>
              <w:spacing w:before="40" w:after="40" w:line="220" w:lineRule="exact"/>
              <w:ind w:left="57" w:right="57"/>
              <w:rPr>
                <w:color w:val="000000"/>
                <w:sz w:val="18"/>
                <w:szCs w:val="18"/>
                <w:lang w:val="fr-FR"/>
              </w:rPr>
            </w:pPr>
            <w:r w:rsidRPr="00D05C85">
              <w:rPr>
                <w:sz w:val="18"/>
                <w:szCs w:val="18"/>
                <w:lang w:val="fr-FR"/>
              </w:rPr>
              <w:t>Feu de position avant ou arrière (unique) (MA ou MR)</w:t>
            </w:r>
          </w:p>
        </w:tc>
        <w:tc>
          <w:tcPr>
            <w:tcW w:w="2081" w:type="dxa"/>
          </w:tcPr>
          <w:p w14:paraId="7F651D31"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80°/80°</w:t>
            </w:r>
          </w:p>
        </w:tc>
        <w:tc>
          <w:tcPr>
            <w:tcW w:w="1699" w:type="dxa"/>
          </w:tcPr>
          <w:p w14:paraId="651DD696"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15°/10° (15°/5°)</w:t>
            </w:r>
            <w:r w:rsidRPr="00D05C85">
              <w:rPr>
                <w:i/>
                <w:iCs/>
                <w:sz w:val="18"/>
                <w:szCs w:val="18"/>
                <w:vertAlign w:val="superscript"/>
                <w:lang w:val="fr-FR"/>
              </w:rPr>
              <w:t>b</w:t>
            </w:r>
          </w:p>
        </w:tc>
        <w:tc>
          <w:tcPr>
            <w:tcW w:w="1269" w:type="dxa"/>
          </w:tcPr>
          <w:p w14:paraId="44BE2703"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w:t>
            </w:r>
          </w:p>
        </w:tc>
      </w:tr>
      <w:tr w:rsidR="00AF2126" w:rsidRPr="00D05C85" w14:paraId="45D00D2D" w14:textId="77777777" w:rsidTr="00E70082">
        <w:tc>
          <w:tcPr>
            <w:tcW w:w="3445" w:type="dxa"/>
          </w:tcPr>
          <w:p w14:paraId="5CEEDC6F" w14:textId="77777777" w:rsidR="00AF2126" w:rsidRPr="00D05C85" w:rsidRDefault="00AF2126" w:rsidP="00E70082">
            <w:pPr>
              <w:tabs>
                <w:tab w:val="left" w:pos="9639"/>
              </w:tabs>
              <w:spacing w:before="40" w:after="40" w:line="220" w:lineRule="exact"/>
              <w:ind w:left="57" w:right="57"/>
              <w:rPr>
                <w:color w:val="000000"/>
                <w:sz w:val="18"/>
                <w:szCs w:val="18"/>
                <w:lang w:val="fr-FR"/>
              </w:rPr>
            </w:pPr>
            <w:r w:rsidRPr="00D05C85">
              <w:rPr>
                <w:sz w:val="18"/>
                <w:szCs w:val="18"/>
                <w:lang w:val="fr-FR"/>
              </w:rPr>
              <w:t xml:space="preserve">Feux de position avant ou arrière (paire) </w:t>
            </w:r>
            <w:r w:rsidRPr="00D05C85">
              <w:rPr>
                <w:sz w:val="18"/>
                <w:szCs w:val="18"/>
                <w:lang w:val="fr-FR"/>
              </w:rPr>
              <w:br/>
              <w:t>(MA ou MR)</w:t>
            </w:r>
          </w:p>
        </w:tc>
        <w:tc>
          <w:tcPr>
            <w:tcW w:w="2081" w:type="dxa"/>
          </w:tcPr>
          <w:p w14:paraId="528B7739"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20°/80°</w:t>
            </w:r>
          </w:p>
        </w:tc>
        <w:tc>
          <w:tcPr>
            <w:tcW w:w="1699" w:type="dxa"/>
          </w:tcPr>
          <w:p w14:paraId="4B69AAEF"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15°/10° (15°/5°)</w:t>
            </w:r>
            <w:r w:rsidRPr="00D05C85">
              <w:rPr>
                <w:i/>
                <w:iCs/>
                <w:sz w:val="18"/>
                <w:szCs w:val="18"/>
                <w:vertAlign w:val="superscript"/>
                <w:lang w:val="fr-FR"/>
              </w:rPr>
              <w:t>b</w:t>
            </w:r>
          </w:p>
        </w:tc>
        <w:tc>
          <w:tcPr>
            <w:tcW w:w="1269" w:type="dxa"/>
          </w:tcPr>
          <w:p w14:paraId="2FCF7BE0"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w:t>
            </w:r>
          </w:p>
        </w:tc>
      </w:tr>
      <w:tr w:rsidR="00AF2126" w:rsidRPr="00D05C85" w14:paraId="652AE3F1" w14:textId="77777777" w:rsidTr="00E70082">
        <w:tc>
          <w:tcPr>
            <w:tcW w:w="3445" w:type="dxa"/>
          </w:tcPr>
          <w:p w14:paraId="59965827" w14:textId="77777777" w:rsidR="00AF2126" w:rsidRPr="00D05C85" w:rsidRDefault="00AF2126" w:rsidP="00E70082">
            <w:pPr>
              <w:tabs>
                <w:tab w:val="left" w:pos="9639"/>
              </w:tabs>
              <w:spacing w:before="40" w:after="40" w:line="220" w:lineRule="exact"/>
              <w:ind w:left="57" w:right="57"/>
              <w:rPr>
                <w:color w:val="000000"/>
                <w:sz w:val="18"/>
                <w:szCs w:val="18"/>
                <w:lang w:val="fr-FR"/>
              </w:rPr>
            </w:pPr>
            <w:r w:rsidRPr="00D05C85">
              <w:rPr>
                <w:sz w:val="18"/>
                <w:szCs w:val="18"/>
                <w:lang w:val="fr-FR"/>
              </w:rPr>
              <w:t>Feu-stop (unique) (MS)</w:t>
            </w:r>
          </w:p>
        </w:tc>
        <w:tc>
          <w:tcPr>
            <w:tcW w:w="2081" w:type="dxa"/>
          </w:tcPr>
          <w:p w14:paraId="77C0C414"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45°/45°</w:t>
            </w:r>
          </w:p>
        </w:tc>
        <w:tc>
          <w:tcPr>
            <w:tcW w:w="1699" w:type="dxa"/>
          </w:tcPr>
          <w:p w14:paraId="392F3365"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15°/10° (15°/5°)</w:t>
            </w:r>
            <w:r w:rsidRPr="00D05C85">
              <w:rPr>
                <w:i/>
                <w:iCs/>
                <w:sz w:val="18"/>
                <w:szCs w:val="18"/>
                <w:vertAlign w:val="superscript"/>
                <w:lang w:val="fr-FR"/>
              </w:rPr>
              <w:t>b</w:t>
            </w:r>
          </w:p>
        </w:tc>
        <w:tc>
          <w:tcPr>
            <w:tcW w:w="1269" w:type="dxa"/>
          </w:tcPr>
          <w:p w14:paraId="62D3748B"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w:t>
            </w:r>
          </w:p>
        </w:tc>
      </w:tr>
      <w:tr w:rsidR="00AF2126" w:rsidRPr="00D05C85" w14:paraId="3ACB41A3" w14:textId="77777777" w:rsidTr="00E70082">
        <w:tc>
          <w:tcPr>
            <w:tcW w:w="3445" w:type="dxa"/>
          </w:tcPr>
          <w:p w14:paraId="39778086" w14:textId="77777777" w:rsidR="00AF2126" w:rsidRPr="00D05C85" w:rsidRDefault="00AF2126" w:rsidP="00E70082">
            <w:pPr>
              <w:tabs>
                <w:tab w:val="left" w:pos="9639"/>
              </w:tabs>
              <w:spacing w:before="40" w:after="40" w:line="220" w:lineRule="exact"/>
              <w:ind w:left="57" w:right="57"/>
              <w:rPr>
                <w:color w:val="000000"/>
                <w:sz w:val="18"/>
                <w:szCs w:val="18"/>
                <w:lang w:val="fr-FR"/>
              </w:rPr>
            </w:pPr>
            <w:r w:rsidRPr="00D05C85">
              <w:rPr>
                <w:sz w:val="18"/>
                <w:szCs w:val="18"/>
                <w:lang w:val="fr-FR"/>
              </w:rPr>
              <w:t>Feux-stop (paire) (MS)</w:t>
            </w:r>
          </w:p>
        </w:tc>
        <w:tc>
          <w:tcPr>
            <w:tcW w:w="2081" w:type="dxa"/>
          </w:tcPr>
          <w:p w14:paraId="388A64B4"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0°/45°</w:t>
            </w:r>
          </w:p>
        </w:tc>
        <w:tc>
          <w:tcPr>
            <w:tcW w:w="1699" w:type="dxa"/>
          </w:tcPr>
          <w:p w14:paraId="304626EE"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15°/10° (15°/5°)</w:t>
            </w:r>
            <w:r w:rsidRPr="00D05C85">
              <w:rPr>
                <w:i/>
                <w:iCs/>
                <w:sz w:val="18"/>
                <w:szCs w:val="18"/>
                <w:vertAlign w:val="superscript"/>
                <w:lang w:val="fr-FR"/>
              </w:rPr>
              <w:t>b</w:t>
            </w:r>
          </w:p>
        </w:tc>
        <w:tc>
          <w:tcPr>
            <w:tcW w:w="1269" w:type="dxa"/>
          </w:tcPr>
          <w:p w14:paraId="0E5054A0" w14:textId="77777777" w:rsidR="00AF2126" w:rsidRPr="00D05C85" w:rsidRDefault="00AF2126" w:rsidP="00E70082">
            <w:pPr>
              <w:tabs>
                <w:tab w:val="left" w:pos="9639"/>
              </w:tabs>
              <w:spacing w:before="40" w:after="40" w:line="220" w:lineRule="exact"/>
              <w:ind w:left="57" w:right="57"/>
              <w:jc w:val="center"/>
              <w:rPr>
                <w:color w:val="000000"/>
                <w:sz w:val="18"/>
                <w:szCs w:val="18"/>
                <w:lang w:val="fr-FR"/>
              </w:rPr>
            </w:pPr>
            <w:r w:rsidRPr="00D05C85">
              <w:rPr>
                <w:sz w:val="18"/>
                <w:szCs w:val="18"/>
                <w:lang w:val="fr-FR"/>
              </w:rPr>
              <w:t>-</w:t>
            </w:r>
          </w:p>
        </w:tc>
      </w:tr>
      <w:tr w:rsidR="00AF2126" w:rsidRPr="00D05C85" w14:paraId="5A0DE68D" w14:textId="77777777" w:rsidTr="00E70082">
        <w:tc>
          <w:tcPr>
            <w:tcW w:w="3445" w:type="dxa"/>
          </w:tcPr>
          <w:p w14:paraId="22A1D6F2" w14:textId="076BB5AA" w:rsidR="00AF2126" w:rsidRPr="00D05C85" w:rsidRDefault="00AF2126" w:rsidP="00E70082">
            <w:pPr>
              <w:tabs>
                <w:tab w:val="left" w:pos="9639"/>
              </w:tabs>
              <w:spacing w:before="40" w:after="40" w:line="220" w:lineRule="exact"/>
              <w:ind w:left="57" w:right="57"/>
              <w:rPr>
                <w:sz w:val="18"/>
                <w:szCs w:val="18"/>
                <w:lang w:val="fr-FR"/>
              </w:rPr>
            </w:pPr>
            <w:r w:rsidRPr="00D05C85">
              <w:rPr>
                <w:sz w:val="18"/>
                <w:szCs w:val="18"/>
                <w:lang w:val="fr-FR"/>
              </w:rPr>
              <w:t xml:space="preserve">Feu de position avant ou arrière </w:t>
            </w:r>
            <w:r w:rsidR="00D05C85" w:rsidRPr="00D05C85">
              <w:rPr>
                <w:sz w:val="18"/>
                <w:szCs w:val="18"/>
                <w:lang w:val="fr-FR"/>
              </w:rPr>
              <w:br/>
            </w:r>
            <w:r w:rsidRPr="00D05C85">
              <w:rPr>
                <w:sz w:val="18"/>
                <w:szCs w:val="18"/>
                <w:lang w:val="fr-FR"/>
              </w:rPr>
              <w:t>(A, R1 ou R2)</w:t>
            </w:r>
          </w:p>
        </w:tc>
        <w:tc>
          <w:tcPr>
            <w:tcW w:w="2081" w:type="dxa"/>
          </w:tcPr>
          <w:p w14:paraId="35BFB564"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45°/80° (20°/80°)</w:t>
            </w:r>
            <w:r w:rsidRPr="00D05C85">
              <w:rPr>
                <w:i/>
                <w:iCs/>
                <w:sz w:val="18"/>
                <w:szCs w:val="18"/>
                <w:vertAlign w:val="superscript"/>
                <w:lang w:val="fr-FR"/>
              </w:rPr>
              <w:t>a</w:t>
            </w:r>
          </w:p>
        </w:tc>
        <w:tc>
          <w:tcPr>
            <w:tcW w:w="1699" w:type="dxa"/>
          </w:tcPr>
          <w:p w14:paraId="169E8F01"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15°/15° (15°/5°)</w:t>
            </w:r>
            <w:r w:rsidRPr="00D05C85">
              <w:rPr>
                <w:i/>
                <w:iCs/>
                <w:sz w:val="18"/>
                <w:szCs w:val="18"/>
                <w:vertAlign w:val="superscript"/>
                <w:lang w:val="fr-FR"/>
              </w:rPr>
              <w:t>b</w:t>
            </w:r>
            <w:r w:rsidRPr="00D05C85">
              <w:rPr>
                <w:sz w:val="18"/>
                <w:szCs w:val="18"/>
                <w:lang w:val="fr-FR"/>
              </w:rPr>
              <w:t xml:space="preserve"> (5°/15°)</w:t>
            </w:r>
            <w:r w:rsidRPr="00D05C85">
              <w:rPr>
                <w:i/>
                <w:iCs/>
                <w:sz w:val="18"/>
                <w:szCs w:val="18"/>
                <w:vertAlign w:val="superscript"/>
                <w:lang w:val="fr-FR"/>
              </w:rPr>
              <w:t>c</w:t>
            </w:r>
          </w:p>
        </w:tc>
        <w:tc>
          <w:tcPr>
            <w:tcW w:w="1269" w:type="dxa"/>
          </w:tcPr>
          <w:p w14:paraId="5BE0CC63"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w:t>
            </w:r>
          </w:p>
        </w:tc>
      </w:tr>
      <w:tr w:rsidR="00AF2126" w:rsidRPr="00D05C85" w14:paraId="286C3851" w14:textId="77777777" w:rsidTr="00E70082">
        <w:tc>
          <w:tcPr>
            <w:tcW w:w="3445" w:type="dxa"/>
          </w:tcPr>
          <w:p w14:paraId="6252A156" w14:textId="77777777" w:rsidR="00AF2126" w:rsidRPr="00D05C85" w:rsidRDefault="00AF2126" w:rsidP="00E70082">
            <w:pPr>
              <w:tabs>
                <w:tab w:val="left" w:pos="9639"/>
              </w:tabs>
              <w:spacing w:before="40" w:after="40" w:line="220" w:lineRule="exact"/>
              <w:ind w:left="57" w:right="57"/>
              <w:rPr>
                <w:sz w:val="18"/>
                <w:szCs w:val="18"/>
                <w:lang w:val="fr-FR"/>
              </w:rPr>
            </w:pPr>
            <w:r w:rsidRPr="00D05C85">
              <w:rPr>
                <w:sz w:val="18"/>
                <w:szCs w:val="18"/>
                <w:lang w:val="fr-FR"/>
              </w:rPr>
              <w:t>Feu de stationnement avant ou arrière (77R)</w:t>
            </w:r>
          </w:p>
        </w:tc>
        <w:tc>
          <w:tcPr>
            <w:tcW w:w="2081" w:type="dxa"/>
          </w:tcPr>
          <w:p w14:paraId="17045296"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0°/45°</w:t>
            </w:r>
          </w:p>
        </w:tc>
        <w:tc>
          <w:tcPr>
            <w:tcW w:w="1699" w:type="dxa"/>
          </w:tcPr>
          <w:p w14:paraId="1BE0FF04"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15°/15° (15°/5°)</w:t>
            </w:r>
            <w:r w:rsidRPr="00D05C85">
              <w:rPr>
                <w:i/>
                <w:iCs/>
                <w:sz w:val="18"/>
                <w:szCs w:val="18"/>
                <w:vertAlign w:val="superscript"/>
                <w:lang w:val="fr-FR"/>
              </w:rPr>
              <w:t>b</w:t>
            </w:r>
          </w:p>
        </w:tc>
        <w:tc>
          <w:tcPr>
            <w:tcW w:w="1269" w:type="dxa"/>
          </w:tcPr>
          <w:p w14:paraId="21A3EA9C"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w:t>
            </w:r>
          </w:p>
        </w:tc>
      </w:tr>
      <w:tr w:rsidR="00AF2126" w:rsidRPr="00D05C85" w14:paraId="53AB8B98" w14:textId="77777777" w:rsidTr="00E70082">
        <w:tc>
          <w:tcPr>
            <w:tcW w:w="3445" w:type="dxa"/>
          </w:tcPr>
          <w:p w14:paraId="5AB94681" w14:textId="4A24F893" w:rsidR="00AF2126" w:rsidRPr="00D05C85" w:rsidRDefault="00AF2126" w:rsidP="00E70082">
            <w:pPr>
              <w:tabs>
                <w:tab w:val="left" w:pos="9639"/>
              </w:tabs>
              <w:spacing w:before="40" w:after="40" w:line="220" w:lineRule="exact"/>
              <w:ind w:left="57" w:right="57"/>
              <w:rPr>
                <w:sz w:val="18"/>
                <w:szCs w:val="18"/>
                <w:lang w:val="fr-FR"/>
              </w:rPr>
            </w:pPr>
            <w:r w:rsidRPr="00D05C85">
              <w:rPr>
                <w:sz w:val="18"/>
                <w:szCs w:val="18"/>
                <w:lang w:val="fr-FR"/>
              </w:rPr>
              <w:t xml:space="preserve">Feu d’encombrement avant ou arrière </w:t>
            </w:r>
            <w:r w:rsidR="00D05C85" w:rsidRPr="00D05C85">
              <w:rPr>
                <w:sz w:val="18"/>
                <w:szCs w:val="18"/>
                <w:lang w:val="fr-FR"/>
              </w:rPr>
              <w:br/>
            </w:r>
            <w:r w:rsidRPr="00D05C85">
              <w:rPr>
                <w:sz w:val="18"/>
                <w:szCs w:val="18"/>
                <w:lang w:val="fr-FR"/>
              </w:rPr>
              <w:t>(AM, RM1 ou RM2)</w:t>
            </w:r>
          </w:p>
        </w:tc>
        <w:tc>
          <w:tcPr>
            <w:tcW w:w="2081" w:type="dxa"/>
          </w:tcPr>
          <w:p w14:paraId="10D29CDB"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0°/80°</w:t>
            </w:r>
          </w:p>
        </w:tc>
        <w:tc>
          <w:tcPr>
            <w:tcW w:w="1699" w:type="dxa"/>
          </w:tcPr>
          <w:p w14:paraId="7AD836CD"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15°/15° (15°/5°)</w:t>
            </w:r>
            <w:r w:rsidRPr="00D05C85">
              <w:rPr>
                <w:i/>
                <w:iCs/>
                <w:sz w:val="18"/>
                <w:szCs w:val="18"/>
                <w:vertAlign w:val="superscript"/>
                <w:lang w:val="fr-FR"/>
              </w:rPr>
              <w:t>b</w:t>
            </w:r>
            <w:r w:rsidRPr="00D05C85">
              <w:rPr>
                <w:sz w:val="18"/>
                <w:szCs w:val="18"/>
                <w:lang w:val="fr-FR"/>
              </w:rPr>
              <w:t xml:space="preserve"> (5°/15°)</w:t>
            </w:r>
            <w:r w:rsidRPr="00D05C85">
              <w:rPr>
                <w:sz w:val="18"/>
                <w:szCs w:val="18"/>
                <w:vertAlign w:val="superscript"/>
                <w:lang w:val="fr-FR"/>
              </w:rPr>
              <w:t xml:space="preserve"> c</w:t>
            </w:r>
          </w:p>
        </w:tc>
        <w:tc>
          <w:tcPr>
            <w:tcW w:w="1269" w:type="dxa"/>
          </w:tcPr>
          <w:p w14:paraId="53BB4DFB"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w:t>
            </w:r>
          </w:p>
        </w:tc>
      </w:tr>
      <w:tr w:rsidR="00AF2126" w:rsidRPr="00D05C85" w14:paraId="64B1AA05" w14:textId="77777777" w:rsidTr="00E70082">
        <w:tc>
          <w:tcPr>
            <w:tcW w:w="3445" w:type="dxa"/>
          </w:tcPr>
          <w:p w14:paraId="77173842" w14:textId="77777777" w:rsidR="00AF2126" w:rsidRPr="00D05C85" w:rsidRDefault="00AF2126" w:rsidP="00E70082">
            <w:pPr>
              <w:tabs>
                <w:tab w:val="left" w:pos="9639"/>
              </w:tabs>
              <w:spacing w:before="40" w:after="40" w:line="220" w:lineRule="exact"/>
              <w:ind w:left="57" w:right="57"/>
              <w:rPr>
                <w:sz w:val="18"/>
                <w:szCs w:val="18"/>
                <w:lang w:val="fr-FR"/>
              </w:rPr>
            </w:pPr>
            <w:r w:rsidRPr="00D05C85">
              <w:rPr>
                <w:sz w:val="18"/>
                <w:szCs w:val="18"/>
                <w:lang w:val="fr-FR"/>
              </w:rPr>
              <w:t>Feu-stop (S1 ou S2)</w:t>
            </w:r>
          </w:p>
        </w:tc>
        <w:tc>
          <w:tcPr>
            <w:tcW w:w="2081" w:type="dxa"/>
          </w:tcPr>
          <w:p w14:paraId="50D62759"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45°/45° (20°/45°)</w:t>
            </w:r>
            <w:r w:rsidRPr="00D05C85">
              <w:rPr>
                <w:i/>
                <w:iCs/>
                <w:sz w:val="18"/>
                <w:szCs w:val="18"/>
                <w:vertAlign w:val="superscript"/>
                <w:lang w:val="fr-FR"/>
              </w:rPr>
              <w:t>a</w:t>
            </w:r>
          </w:p>
        </w:tc>
        <w:tc>
          <w:tcPr>
            <w:tcW w:w="1699" w:type="dxa"/>
          </w:tcPr>
          <w:p w14:paraId="42B06669"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15°/15° (15°/5°)</w:t>
            </w:r>
            <w:r w:rsidRPr="00D05C85">
              <w:rPr>
                <w:i/>
                <w:iCs/>
                <w:sz w:val="18"/>
                <w:szCs w:val="18"/>
                <w:vertAlign w:val="superscript"/>
                <w:lang w:val="fr-FR"/>
              </w:rPr>
              <w:t>b</w:t>
            </w:r>
            <w:r w:rsidRPr="00D05C85">
              <w:rPr>
                <w:sz w:val="18"/>
                <w:szCs w:val="18"/>
                <w:lang w:val="fr-FR"/>
              </w:rPr>
              <w:t xml:space="preserve"> (5°/15°)</w:t>
            </w:r>
            <w:r w:rsidRPr="00D05C85">
              <w:rPr>
                <w:i/>
                <w:iCs/>
                <w:sz w:val="18"/>
                <w:szCs w:val="18"/>
                <w:vertAlign w:val="superscript"/>
                <w:lang w:val="fr-FR"/>
              </w:rPr>
              <w:t>c</w:t>
            </w:r>
          </w:p>
        </w:tc>
        <w:tc>
          <w:tcPr>
            <w:tcW w:w="1269" w:type="dxa"/>
          </w:tcPr>
          <w:p w14:paraId="0455A543"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w:t>
            </w:r>
          </w:p>
        </w:tc>
      </w:tr>
      <w:tr w:rsidR="00AF2126" w:rsidRPr="00D05C85" w14:paraId="5BB98E7B" w14:textId="77777777" w:rsidTr="00E70082">
        <w:tc>
          <w:tcPr>
            <w:tcW w:w="3445" w:type="dxa"/>
          </w:tcPr>
          <w:p w14:paraId="0ED461E1" w14:textId="77777777" w:rsidR="00AF2126" w:rsidRPr="00D05C85" w:rsidRDefault="00AF2126" w:rsidP="00E70082">
            <w:pPr>
              <w:tabs>
                <w:tab w:val="left" w:pos="9639"/>
              </w:tabs>
              <w:spacing w:before="40" w:after="40" w:line="220" w:lineRule="exact"/>
              <w:ind w:left="57" w:right="57"/>
              <w:rPr>
                <w:sz w:val="18"/>
                <w:szCs w:val="18"/>
                <w:lang w:val="fr-FR"/>
              </w:rPr>
            </w:pPr>
            <w:r w:rsidRPr="00D05C85">
              <w:rPr>
                <w:sz w:val="18"/>
                <w:szCs w:val="18"/>
                <w:lang w:val="fr-FR"/>
              </w:rPr>
              <w:t>Feu-stop placé en hauteur (S3 ou S4)</w:t>
            </w:r>
          </w:p>
        </w:tc>
        <w:tc>
          <w:tcPr>
            <w:tcW w:w="2081" w:type="dxa"/>
          </w:tcPr>
          <w:p w14:paraId="04BBA2F9"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10°/10°</w:t>
            </w:r>
          </w:p>
        </w:tc>
        <w:tc>
          <w:tcPr>
            <w:tcW w:w="1699" w:type="dxa"/>
          </w:tcPr>
          <w:p w14:paraId="2D67E0B5"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10° / 5°</w:t>
            </w:r>
          </w:p>
        </w:tc>
        <w:tc>
          <w:tcPr>
            <w:tcW w:w="1269" w:type="dxa"/>
          </w:tcPr>
          <w:p w14:paraId="052446B7"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w:t>
            </w:r>
          </w:p>
        </w:tc>
      </w:tr>
      <w:tr w:rsidR="00AF2126" w:rsidRPr="00D05C85" w14:paraId="38B6212B" w14:textId="77777777" w:rsidTr="00E70082">
        <w:tc>
          <w:tcPr>
            <w:tcW w:w="3445" w:type="dxa"/>
          </w:tcPr>
          <w:p w14:paraId="789BE0C4" w14:textId="77777777" w:rsidR="00AF2126" w:rsidRPr="00D05C85" w:rsidRDefault="00AF2126" w:rsidP="00E70082">
            <w:pPr>
              <w:tabs>
                <w:tab w:val="left" w:pos="9639"/>
              </w:tabs>
              <w:spacing w:before="40" w:after="40" w:line="220" w:lineRule="exact"/>
              <w:ind w:left="57" w:right="57"/>
              <w:rPr>
                <w:sz w:val="18"/>
                <w:szCs w:val="18"/>
                <w:lang w:val="fr-FR"/>
              </w:rPr>
            </w:pPr>
            <w:r w:rsidRPr="00D05C85">
              <w:rPr>
                <w:sz w:val="18"/>
                <w:szCs w:val="18"/>
                <w:lang w:val="fr-FR"/>
              </w:rPr>
              <w:t>Feux de circulation diurne (RL)</w:t>
            </w:r>
          </w:p>
        </w:tc>
        <w:tc>
          <w:tcPr>
            <w:tcW w:w="2081" w:type="dxa"/>
          </w:tcPr>
          <w:p w14:paraId="0F0AC87A"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20°/20°</w:t>
            </w:r>
          </w:p>
        </w:tc>
        <w:tc>
          <w:tcPr>
            <w:tcW w:w="1699" w:type="dxa"/>
          </w:tcPr>
          <w:p w14:paraId="2BB99ACE"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10° / 5°</w:t>
            </w:r>
          </w:p>
        </w:tc>
        <w:tc>
          <w:tcPr>
            <w:tcW w:w="1269" w:type="dxa"/>
          </w:tcPr>
          <w:p w14:paraId="0A74AA4E" w14:textId="77777777" w:rsidR="00AF2126" w:rsidRPr="00D05C85" w:rsidRDefault="00AF2126" w:rsidP="00E70082">
            <w:pPr>
              <w:tabs>
                <w:tab w:val="left" w:pos="9639"/>
              </w:tabs>
              <w:spacing w:before="40" w:after="40" w:line="220" w:lineRule="exact"/>
              <w:ind w:left="57" w:right="57"/>
              <w:jc w:val="center"/>
              <w:rPr>
                <w:sz w:val="18"/>
                <w:szCs w:val="18"/>
                <w:lang w:val="fr-FR"/>
              </w:rPr>
            </w:pPr>
            <w:r w:rsidRPr="00D05C85">
              <w:rPr>
                <w:sz w:val="18"/>
                <w:szCs w:val="18"/>
                <w:lang w:val="fr-FR"/>
              </w:rPr>
              <w:t>-</w:t>
            </w:r>
          </w:p>
        </w:tc>
      </w:tr>
    </w:tbl>
    <w:p w14:paraId="3E233641" w14:textId="77777777" w:rsidR="00AF2126" w:rsidRPr="00D05C85" w:rsidRDefault="00AF2126" w:rsidP="00AF2126">
      <w:pPr>
        <w:spacing w:before="120" w:line="220" w:lineRule="exact"/>
        <w:ind w:left="1134" w:firstLine="170"/>
        <w:rPr>
          <w:color w:val="000000"/>
          <w:sz w:val="18"/>
          <w:lang w:val="fr-FR"/>
        </w:rPr>
      </w:pPr>
      <w:r w:rsidRPr="00D05C85">
        <w:rPr>
          <w:sz w:val="18"/>
          <w:lang w:val="fr-FR"/>
        </w:rPr>
        <w:t>Notes du tableau A2-1 :</w:t>
      </w:r>
    </w:p>
    <w:p w14:paraId="67E527F7" w14:textId="77777777" w:rsidR="00AF2126" w:rsidRPr="00D05C85" w:rsidRDefault="00AF2126" w:rsidP="00AF2126">
      <w:pPr>
        <w:tabs>
          <w:tab w:val="left" w:pos="9639"/>
        </w:tabs>
        <w:spacing w:line="220" w:lineRule="exact"/>
        <w:ind w:left="1134" w:firstLine="170"/>
        <w:rPr>
          <w:color w:val="000000"/>
          <w:sz w:val="18"/>
          <w:lang w:val="fr-FR"/>
        </w:rPr>
      </w:pPr>
      <w:r w:rsidRPr="00D05C85">
        <w:rPr>
          <w:i/>
          <w:iCs/>
          <w:sz w:val="18"/>
          <w:vertAlign w:val="superscript"/>
          <w:lang w:val="fr-FR"/>
        </w:rPr>
        <w:t>a</w:t>
      </w:r>
      <w:r w:rsidRPr="00D05C85">
        <w:rPr>
          <w:sz w:val="18"/>
          <w:lang w:val="fr-FR"/>
        </w:rPr>
        <w:t xml:space="preserve">  Angles réduits utilisés uniquement en dessous du plan H pour les feux montés de sorte que leur plan H se trouve à une hauteur inférieure à 750 </w:t>
      </w:r>
      <w:proofErr w:type="spellStart"/>
      <w:r w:rsidRPr="00D05C85">
        <w:rPr>
          <w:sz w:val="18"/>
          <w:lang w:val="fr-FR"/>
        </w:rPr>
        <w:t>mm.</w:t>
      </w:r>
      <w:proofErr w:type="spellEnd"/>
    </w:p>
    <w:p w14:paraId="5D3B0C17" w14:textId="77777777" w:rsidR="00AF2126" w:rsidRPr="00D05C85" w:rsidRDefault="00AF2126" w:rsidP="00AF2126">
      <w:pPr>
        <w:tabs>
          <w:tab w:val="left" w:pos="9639"/>
        </w:tabs>
        <w:spacing w:line="220" w:lineRule="exact"/>
        <w:ind w:left="1134" w:firstLine="170"/>
        <w:rPr>
          <w:color w:val="000000"/>
          <w:sz w:val="18"/>
          <w:lang w:val="fr-FR"/>
        </w:rPr>
      </w:pPr>
      <w:r w:rsidRPr="00D05C85">
        <w:rPr>
          <w:i/>
          <w:iCs/>
          <w:sz w:val="18"/>
          <w:vertAlign w:val="superscript"/>
          <w:lang w:val="fr-FR"/>
        </w:rPr>
        <w:t>b</w:t>
      </w:r>
      <w:r w:rsidRPr="00D05C85">
        <w:rPr>
          <w:sz w:val="18"/>
          <w:lang w:val="fr-FR"/>
        </w:rPr>
        <w:t xml:space="preserve">  Pour les feux destinés à être montés de sorte que leur plan H se trouve à une hauteur inférieure à 750 </w:t>
      </w:r>
      <w:proofErr w:type="spellStart"/>
      <w:r w:rsidRPr="00D05C85">
        <w:rPr>
          <w:sz w:val="18"/>
          <w:lang w:val="fr-FR"/>
        </w:rPr>
        <w:t>mm.</w:t>
      </w:r>
      <w:proofErr w:type="spellEnd"/>
    </w:p>
    <w:p w14:paraId="3D4BB4A2" w14:textId="77777777" w:rsidR="00AF2126" w:rsidRPr="00D05C85" w:rsidRDefault="00AF2126" w:rsidP="00AF2126">
      <w:pPr>
        <w:tabs>
          <w:tab w:val="left" w:pos="9639"/>
        </w:tabs>
        <w:spacing w:line="220" w:lineRule="exact"/>
        <w:ind w:left="1134" w:firstLine="170"/>
        <w:rPr>
          <w:color w:val="000000"/>
          <w:sz w:val="18"/>
          <w:lang w:val="fr-FR"/>
        </w:rPr>
      </w:pPr>
      <w:r w:rsidRPr="00D05C85">
        <w:rPr>
          <w:i/>
          <w:iCs/>
          <w:sz w:val="18"/>
          <w:vertAlign w:val="superscript"/>
          <w:lang w:val="fr-FR"/>
        </w:rPr>
        <w:t>c</w:t>
      </w:r>
      <w:r w:rsidRPr="00D05C85">
        <w:rPr>
          <w:sz w:val="18"/>
          <w:lang w:val="fr-FR"/>
        </w:rPr>
        <w:t xml:space="preserve">  Pour les feux facultatifs destinés à être montés de sorte que leur plan H se trouve à une hauteur supérieure à 2 100 </w:t>
      </w:r>
      <w:proofErr w:type="spellStart"/>
      <w:r w:rsidRPr="00D05C85">
        <w:rPr>
          <w:sz w:val="18"/>
          <w:lang w:val="fr-FR"/>
        </w:rPr>
        <w:t>mm.</w:t>
      </w:r>
      <w:proofErr w:type="spellEnd"/>
    </w:p>
    <w:p w14:paraId="1C5D825F" w14:textId="3AEA927C" w:rsidR="00AF2126" w:rsidRPr="00D05C85" w:rsidRDefault="00AF2126" w:rsidP="00AF2126">
      <w:pPr>
        <w:pStyle w:val="H1G"/>
        <w:pageBreakBefore/>
        <w:ind w:left="2268"/>
        <w:rPr>
          <w:lang w:val="fr-FR"/>
        </w:rPr>
      </w:pPr>
      <w:r w:rsidRPr="00D05C85">
        <w:rPr>
          <w:bCs/>
          <w:lang w:val="fr-FR"/>
        </w:rPr>
        <w:lastRenderedPageBreak/>
        <w:t>Partie B :</w:t>
      </w:r>
      <w:r w:rsidRPr="00D05C85">
        <w:rPr>
          <w:lang w:val="fr-FR"/>
        </w:rPr>
        <w:tab/>
      </w:r>
      <w:r w:rsidRPr="00D05C85">
        <w:rPr>
          <w:bCs/>
          <w:lang w:val="fr-FR"/>
        </w:rPr>
        <w:t xml:space="preserve">Feux indicateurs de direction latéraux </w:t>
      </w:r>
      <w:r w:rsidR="00910B33">
        <w:rPr>
          <w:bCs/>
          <w:lang w:val="fr-FR"/>
        </w:rPr>
        <w:t xml:space="preserve">et </w:t>
      </w:r>
      <w:r w:rsidRPr="00D05C85">
        <w:rPr>
          <w:bCs/>
          <w:lang w:val="fr-FR"/>
        </w:rPr>
        <w:t xml:space="preserve">feux </w:t>
      </w:r>
      <w:r w:rsidRPr="00D05C85">
        <w:rPr>
          <w:bCs/>
          <w:lang w:val="fr-FR"/>
        </w:rPr>
        <w:br/>
        <w:t>de stationnement latéraux</w:t>
      </w:r>
    </w:p>
    <w:p w14:paraId="4A5F2FFB" w14:textId="7FB6192F" w:rsidR="00AF2126" w:rsidRPr="00D05C85" w:rsidRDefault="00AF2126" w:rsidP="00AF2126">
      <w:pPr>
        <w:pStyle w:val="Titre1"/>
        <w:tabs>
          <w:tab w:val="left" w:pos="1701"/>
          <w:tab w:val="left" w:pos="2268"/>
          <w:tab w:val="left" w:pos="2835"/>
        </w:tabs>
        <w:spacing w:after="120"/>
        <w:rPr>
          <w:lang w:val="fr-FR"/>
        </w:rPr>
      </w:pPr>
      <w:r w:rsidRPr="00D05C85">
        <w:rPr>
          <w:lang w:val="fr-FR"/>
        </w:rPr>
        <w:t>Figure A2-II</w:t>
      </w:r>
      <w:r w:rsidRPr="00D05C85">
        <w:rPr>
          <w:lang w:val="fr-FR"/>
        </w:rPr>
        <w:br/>
      </w:r>
      <w:r w:rsidRPr="00D05C85">
        <w:rPr>
          <w:b/>
          <w:bCs/>
          <w:lang w:val="fr-FR"/>
        </w:rPr>
        <w:t xml:space="preserve">Angles de visibilité géométrique horizontaux </w:t>
      </w:r>
      <w:r w:rsidR="00910B33">
        <w:rPr>
          <w:b/>
          <w:bCs/>
          <w:lang w:val="fr-FR"/>
        </w:rPr>
        <w:t xml:space="preserve">et </w:t>
      </w:r>
      <w:r w:rsidRPr="00D05C85">
        <w:rPr>
          <w:b/>
          <w:bCs/>
          <w:lang w:val="fr-FR"/>
        </w:rPr>
        <w:t>verticaux</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AF2126" w:rsidRPr="00D05C85" w14:paraId="2236C5C4" w14:textId="77777777" w:rsidTr="00E70082">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0963C" w14:textId="77777777" w:rsidR="00AF2126" w:rsidRPr="00D05C85" w:rsidRDefault="00AF2126" w:rsidP="00E70082">
            <w:pPr>
              <w:pStyle w:val="Titolo11"/>
              <w:keepNext/>
              <w:keepLines/>
              <w:spacing w:line="240" w:lineRule="atLeast"/>
              <w:rPr>
                <w:lang w:val="fr-FR"/>
              </w:rPr>
            </w:pPr>
            <w:r w:rsidRPr="00D05C85">
              <w:rPr>
                <w:noProof/>
                <w:lang w:val="fr-FR"/>
              </w:rPr>
              <w:drawing>
                <wp:inline distT="0" distB="0" distL="0" distR="0" wp14:anchorId="77237D53" wp14:editId="278BD5D6">
                  <wp:extent cx="2651760" cy="2353310"/>
                  <wp:effectExtent l="0" t="0" r="0" b="889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60" cy="2353310"/>
                          </a:xfrm>
                          <a:prstGeom prst="rect">
                            <a:avLst/>
                          </a:prstGeom>
                          <a:noFill/>
                          <a:ln>
                            <a:noFill/>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064C6" w14:textId="77777777" w:rsidR="00AF2126" w:rsidRPr="00D05C85" w:rsidRDefault="00AF2126" w:rsidP="00E70082">
            <w:pPr>
              <w:pStyle w:val="Titolo11"/>
              <w:keepNext/>
              <w:keepLines/>
              <w:spacing w:line="240" w:lineRule="atLeast"/>
              <w:jc w:val="center"/>
              <w:rPr>
                <w:lang w:val="fr-FR"/>
              </w:rPr>
            </w:pPr>
            <w:r w:rsidRPr="00D05C85">
              <w:rPr>
                <w:noProof/>
                <w:lang w:val="fr-FR"/>
              </w:rPr>
              <w:drawing>
                <wp:inline distT="0" distB="0" distL="0" distR="0" wp14:anchorId="3A972FCF" wp14:editId="5511F376">
                  <wp:extent cx="2414270" cy="1216660"/>
                  <wp:effectExtent l="0" t="0" r="5080" b="254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1216660"/>
                          </a:xfrm>
                          <a:prstGeom prst="rect">
                            <a:avLst/>
                          </a:prstGeom>
                          <a:noFill/>
                          <a:ln>
                            <a:noFill/>
                          </a:ln>
                        </pic:spPr>
                      </pic:pic>
                    </a:graphicData>
                  </a:graphic>
                </wp:inline>
              </w:drawing>
            </w:r>
          </w:p>
        </w:tc>
      </w:tr>
      <w:tr w:rsidR="00AF2126" w:rsidRPr="00D05C85" w14:paraId="2428BE50" w14:textId="77777777" w:rsidTr="00E70082">
        <w:trPr>
          <w:trHeight w:val="277"/>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DAEC5" w14:textId="77777777" w:rsidR="00AF2126" w:rsidRPr="00D05C85" w:rsidRDefault="00AF2126" w:rsidP="00E70082">
            <w:pPr>
              <w:spacing w:after="120"/>
              <w:jc w:val="center"/>
              <w:rPr>
                <w:lang w:val="fr-FR"/>
              </w:rPr>
            </w:pPr>
            <w:r w:rsidRPr="00D05C85">
              <w:rPr>
                <w:b/>
                <w:bCs/>
                <w:lang w:val="fr-FR"/>
              </w:rPr>
              <w:t>Angles horizontaux</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688BF" w14:textId="77777777" w:rsidR="00AF2126" w:rsidRPr="00D05C85" w:rsidRDefault="00AF2126" w:rsidP="00E70082">
            <w:pPr>
              <w:spacing w:after="120"/>
              <w:jc w:val="center"/>
              <w:rPr>
                <w:lang w:val="fr-FR"/>
              </w:rPr>
            </w:pPr>
            <w:r w:rsidRPr="00D05C85">
              <w:rPr>
                <w:b/>
                <w:bCs/>
                <w:lang w:val="fr-FR"/>
              </w:rPr>
              <w:t>Angles verticaux</w:t>
            </w:r>
          </w:p>
        </w:tc>
      </w:tr>
    </w:tbl>
    <w:p w14:paraId="4A19BC02" w14:textId="460EB0F5" w:rsidR="00AF2126" w:rsidRPr="00D05C85" w:rsidRDefault="00AF2126" w:rsidP="00AF2126">
      <w:pPr>
        <w:pStyle w:val="Titre1"/>
        <w:tabs>
          <w:tab w:val="left" w:pos="1701"/>
          <w:tab w:val="left" w:pos="2268"/>
          <w:tab w:val="left" w:pos="2835"/>
        </w:tabs>
        <w:spacing w:before="240" w:after="120"/>
        <w:rPr>
          <w:lang w:val="fr-FR"/>
        </w:rPr>
      </w:pPr>
      <w:r w:rsidRPr="00D05C85">
        <w:rPr>
          <w:lang w:val="fr-FR"/>
        </w:rPr>
        <w:t>Tableau A2-2</w:t>
      </w:r>
      <w:r w:rsidRPr="00D05C85">
        <w:rPr>
          <w:lang w:val="fr-FR"/>
        </w:rPr>
        <w:br/>
      </w:r>
      <w:r w:rsidRPr="00D05C85">
        <w:rPr>
          <w:b/>
          <w:bCs/>
          <w:lang w:val="fr-FR"/>
        </w:rPr>
        <w:t xml:space="preserve">Angles de visibilité géométrique horizontaux </w:t>
      </w:r>
      <w:r w:rsidR="00910B33">
        <w:rPr>
          <w:b/>
          <w:bCs/>
          <w:lang w:val="fr-FR"/>
        </w:rPr>
        <w:t xml:space="preserve">et </w:t>
      </w:r>
      <w:r w:rsidRPr="00D05C85">
        <w:rPr>
          <w:b/>
          <w:bCs/>
          <w:lang w:val="fr-FR"/>
        </w:rPr>
        <w:t>verticaux</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476"/>
        <w:gridCol w:w="1744"/>
        <w:gridCol w:w="1878"/>
      </w:tblGrid>
      <w:tr w:rsidR="00AF2126" w:rsidRPr="00D05C85" w14:paraId="5543AA2D" w14:textId="77777777" w:rsidTr="00E70082">
        <w:trPr>
          <w:cantSplit/>
        </w:trPr>
        <w:tc>
          <w:tcPr>
            <w:tcW w:w="2404" w:type="dxa"/>
            <w:shd w:val="clear" w:color="auto" w:fill="auto"/>
            <w:tcMar>
              <w:top w:w="0" w:type="dxa"/>
              <w:left w:w="0" w:type="dxa"/>
              <w:bottom w:w="0" w:type="dxa"/>
              <w:right w:w="0" w:type="dxa"/>
            </w:tcMar>
            <w:vAlign w:val="bottom"/>
          </w:tcPr>
          <w:p w14:paraId="584E7FDD" w14:textId="77777777" w:rsidR="00AF2126" w:rsidRPr="00D05C85" w:rsidRDefault="00AF2126" w:rsidP="00E70082">
            <w:pPr>
              <w:spacing w:before="80" w:after="80" w:line="200" w:lineRule="exact"/>
              <w:ind w:left="57" w:right="57"/>
              <w:rPr>
                <w:b/>
                <w:bCs/>
                <w:sz w:val="16"/>
                <w:szCs w:val="16"/>
                <w:lang w:val="fr-FR"/>
              </w:rPr>
            </w:pPr>
            <w:r w:rsidRPr="00D05C85">
              <w:rPr>
                <w:b/>
                <w:bCs/>
                <w:i/>
                <w:iCs/>
                <w:sz w:val="16"/>
                <w:szCs w:val="16"/>
                <w:lang w:val="fr-FR"/>
              </w:rPr>
              <w:t>Feu</w:t>
            </w:r>
          </w:p>
        </w:tc>
        <w:tc>
          <w:tcPr>
            <w:tcW w:w="1560" w:type="dxa"/>
            <w:shd w:val="clear" w:color="auto" w:fill="auto"/>
            <w:tcMar>
              <w:top w:w="0" w:type="dxa"/>
              <w:left w:w="0" w:type="dxa"/>
              <w:bottom w:w="0" w:type="dxa"/>
              <w:right w:w="0" w:type="dxa"/>
            </w:tcMar>
            <w:vAlign w:val="bottom"/>
          </w:tcPr>
          <w:p w14:paraId="568C2F6E" w14:textId="77777777" w:rsidR="00AF2126" w:rsidRPr="00D05C85" w:rsidRDefault="00AF2126" w:rsidP="00E70082">
            <w:pPr>
              <w:keepNext/>
              <w:keepLines/>
              <w:spacing w:before="80" w:after="80" w:line="200" w:lineRule="exact"/>
              <w:ind w:left="57" w:right="57"/>
              <w:jc w:val="center"/>
              <w:rPr>
                <w:b/>
                <w:bCs/>
                <w:sz w:val="16"/>
                <w:szCs w:val="16"/>
                <w:lang w:val="fr-FR"/>
              </w:rPr>
            </w:pPr>
            <w:r w:rsidRPr="00D05C85">
              <w:rPr>
                <w:b/>
                <w:bCs/>
                <w:i/>
                <w:iCs/>
                <w:sz w:val="16"/>
                <w:szCs w:val="16"/>
                <w:lang w:val="fr-FR"/>
              </w:rPr>
              <w:t>Angles horizontaux</w:t>
            </w:r>
            <w:r w:rsidRPr="00D05C85">
              <w:rPr>
                <w:b/>
                <w:bCs/>
                <w:i/>
                <w:iCs/>
                <w:sz w:val="16"/>
                <w:szCs w:val="16"/>
                <w:lang w:val="fr-FR"/>
              </w:rPr>
              <w:br/>
              <w:t>(A/B)</w:t>
            </w:r>
          </w:p>
        </w:tc>
        <w:tc>
          <w:tcPr>
            <w:tcW w:w="1843" w:type="dxa"/>
            <w:shd w:val="clear" w:color="auto" w:fill="auto"/>
            <w:tcMar>
              <w:top w:w="0" w:type="dxa"/>
              <w:left w:w="0" w:type="dxa"/>
              <w:bottom w:w="0" w:type="dxa"/>
              <w:right w:w="0" w:type="dxa"/>
            </w:tcMar>
            <w:vAlign w:val="bottom"/>
          </w:tcPr>
          <w:p w14:paraId="5B046940" w14:textId="77777777" w:rsidR="00AF2126" w:rsidRPr="00D05C85" w:rsidRDefault="00AF2126" w:rsidP="00E70082">
            <w:pPr>
              <w:keepNext/>
              <w:keepLines/>
              <w:spacing w:before="80" w:after="80" w:line="200" w:lineRule="exact"/>
              <w:ind w:left="57" w:right="57"/>
              <w:jc w:val="center"/>
              <w:rPr>
                <w:b/>
                <w:bCs/>
                <w:sz w:val="16"/>
                <w:szCs w:val="16"/>
                <w:lang w:val="fr-FR"/>
              </w:rPr>
            </w:pPr>
            <w:r w:rsidRPr="00D05C85">
              <w:rPr>
                <w:b/>
                <w:bCs/>
                <w:i/>
                <w:iCs/>
                <w:sz w:val="16"/>
                <w:szCs w:val="16"/>
                <w:lang w:val="fr-FR"/>
              </w:rPr>
              <w:t>Angles verticaux minimaux</w:t>
            </w:r>
            <w:r w:rsidRPr="00D05C85">
              <w:rPr>
                <w:b/>
                <w:bCs/>
                <w:i/>
                <w:iCs/>
                <w:sz w:val="16"/>
                <w:szCs w:val="16"/>
                <w:lang w:val="fr-FR"/>
              </w:rPr>
              <w:br/>
              <w:t>(supérieurs/inférieurs)</w:t>
            </w:r>
          </w:p>
        </w:tc>
        <w:tc>
          <w:tcPr>
            <w:tcW w:w="1985" w:type="dxa"/>
            <w:shd w:val="clear" w:color="auto" w:fill="auto"/>
            <w:tcMar>
              <w:top w:w="0" w:type="dxa"/>
              <w:left w:w="0" w:type="dxa"/>
              <w:bottom w:w="0" w:type="dxa"/>
              <w:right w:w="0" w:type="dxa"/>
            </w:tcMar>
            <w:vAlign w:val="bottom"/>
          </w:tcPr>
          <w:p w14:paraId="5346915E" w14:textId="77777777" w:rsidR="00AF2126" w:rsidRPr="00D05C85" w:rsidRDefault="00AF2126" w:rsidP="00E70082">
            <w:pPr>
              <w:keepNext/>
              <w:keepLines/>
              <w:spacing w:before="80" w:after="80" w:line="200" w:lineRule="exact"/>
              <w:ind w:left="57" w:right="57"/>
              <w:jc w:val="center"/>
              <w:rPr>
                <w:b/>
                <w:bCs/>
                <w:sz w:val="16"/>
                <w:szCs w:val="16"/>
                <w:lang w:val="fr-FR"/>
              </w:rPr>
            </w:pPr>
            <w:r w:rsidRPr="00D05C85">
              <w:rPr>
                <w:b/>
                <w:bCs/>
                <w:i/>
                <w:iCs/>
                <w:sz w:val="16"/>
                <w:szCs w:val="16"/>
                <w:lang w:val="fr-FR"/>
              </w:rPr>
              <w:t>Renseignements complémentaires</w:t>
            </w:r>
          </w:p>
        </w:tc>
      </w:tr>
      <w:tr w:rsidR="00AF2126" w:rsidRPr="00D05C85" w14:paraId="38B00823" w14:textId="77777777" w:rsidTr="00E70082">
        <w:trPr>
          <w:cantSplit/>
          <w:trHeight w:val="725"/>
        </w:trPr>
        <w:tc>
          <w:tcPr>
            <w:tcW w:w="2404" w:type="dxa"/>
            <w:shd w:val="clear" w:color="auto" w:fill="auto"/>
            <w:tcMar>
              <w:top w:w="0" w:type="dxa"/>
              <w:left w:w="0" w:type="dxa"/>
              <w:bottom w:w="0" w:type="dxa"/>
              <w:right w:w="0" w:type="dxa"/>
            </w:tcMar>
            <w:vAlign w:val="center"/>
          </w:tcPr>
          <w:p w14:paraId="1FE450D3"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Feux indicateurs de direction latéraux (5)</w:t>
            </w:r>
          </w:p>
        </w:tc>
        <w:tc>
          <w:tcPr>
            <w:tcW w:w="1560" w:type="dxa"/>
            <w:shd w:val="clear" w:color="auto" w:fill="auto"/>
            <w:tcMar>
              <w:top w:w="0" w:type="dxa"/>
              <w:left w:w="0" w:type="dxa"/>
              <w:bottom w:w="0" w:type="dxa"/>
              <w:right w:w="0" w:type="dxa"/>
            </w:tcMar>
            <w:vAlign w:val="center"/>
          </w:tcPr>
          <w:p w14:paraId="14FD6547" w14:textId="77777777" w:rsidR="00AF2126" w:rsidRPr="00D05C85" w:rsidRDefault="00AF2126" w:rsidP="00E70082">
            <w:pPr>
              <w:keepNext/>
              <w:keepLines/>
              <w:spacing w:before="40" w:after="40" w:line="220" w:lineRule="exact"/>
              <w:ind w:left="57" w:right="57"/>
              <w:jc w:val="center"/>
              <w:rPr>
                <w:sz w:val="18"/>
                <w:szCs w:val="18"/>
                <w:lang w:val="fr-FR"/>
              </w:rPr>
            </w:pPr>
            <w:r w:rsidRPr="00D05C85">
              <w:rPr>
                <w:sz w:val="18"/>
                <w:szCs w:val="18"/>
                <w:lang w:val="fr-FR"/>
              </w:rPr>
              <w:t>5° / 55°</w:t>
            </w:r>
          </w:p>
        </w:tc>
        <w:tc>
          <w:tcPr>
            <w:tcW w:w="1843" w:type="dxa"/>
            <w:shd w:val="clear" w:color="auto" w:fill="auto"/>
            <w:tcMar>
              <w:top w:w="0" w:type="dxa"/>
              <w:left w:w="0" w:type="dxa"/>
              <w:bottom w:w="0" w:type="dxa"/>
              <w:right w:w="0" w:type="dxa"/>
            </w:tcMar>
            <w:vAlign w:val="center"/>
          </w:tcPr>
          <w:p w14:paraId="55655531" w14:textId="6A758BCD" w:rsidR="00AF2126" w:rsidRPr="00D05C85" w:rsidRDefault="00AF2126" w:rsidP="00D05C85">
            <w:pPr>
              <w:keepNext/>
              <w:keepLines/>
              <w:spacing w:before="40" w:after="40" w:line="220" w:lineRule="exact"/>
              <w:ind w:left="57" w:right="57"/>
              <w:jc w:val="center"/>
              <w:rPr>
                <w:sz w:val="18"/>
                <w:szCs w:val="18"/>
                <w:lang w:val="fr-FR"/>
              </w:rPr>
            </w:pPr>
            <w:r w:rsidRPr="00D05C85">
              <w:rPr>
                <w:sz w:val="18"/>
                <w:szCs w:val="18"/>
                <w:lang w:val="fr-FR"/>
              </w:rPr>
              <w:t>15° / 15°</w:t>
            </w:r>
            <w:r w:rsidR="00D05C85">
              <w:rPr>
                <w:sz w:val="18"/>
                <w:szCs w:val="18"/>
                <w:lang w:val="fr-FR"/>
              </w:rPr>
              <w:t xml:space="preserve"> </w:t>
            </w:r>
            <w:r w:rsidR="00D05C85">
              <w:rPr>
                <w:sz w:val="18"/>
                <w:szCs w:val="18"/>
                <w:lang w:val="fr-FR"/>
              </w:rPr>
              <w:br/>
            </w:r>
            <w:r w:rsidRPr="00D05C85">
              <w:rPr>
                <w:sz w:val="18"/>
                <w:szCs w:val="18"/>
                <w:lang w:val="fr-FR"/>
              </w:rPr>
              <w:t>15° / 5°</w:t>
            </w:r>
            <w:r w:rsidRPr="00D05C85">
              <w:rPr>
                <w:i/>
                <w:iCs/>
                <w:sz w:val="18"/>
                <w:szCs w:val="18"/>
                <w:vertAlign w:val="superscript"/>
                <w:lang w:val="fr-FR"/>
              </w:rPr>
              <w:t>b</w:t>
            </w:r>
          </w:p>
        </w:tc>
        <w:tc>
          <w:tcPr>
            <w:tcW w:w="1985" w:type="dxa"/>
            <w:shd w:val="clear" w:color="auto" w:fill="auto"/>
            <w:tcMar>
              <w:top w:w="0" w:type="dxa"/>
              <w:left w:w="0" w:type="dxa"/>
              <w:bottom w:w="0" w:type="dxa"/>
              <w:right w:w="0" w:type="dxa"/>
            </w:tcMar>
            <w:vAlign w:val="center"/>
          </w:tcPr>
          <w:p w14:paraId="2B8216C3" w14:textId="77777777" w:rsidR="00AF2126" w:rsidRPr="00D05C85" w:rsidRDefault="00AF2126" w:rsidP="00E70082">
            <w:pPr>
              <w:keepNext/>
              <w:keepLines/>
              <w:spacing w:before="40" w:after="40" w:line="220" w:lineRule="exact"/>
              <w:ind w:left="57" w:right="57"/>
              <w:rPr>
                <w:sz w:val="18"/>
                <w:szCs w:val="18"/>
                <w:lang w:val="fr-FR"/>
              </w:rPr>
            </w:pPr>
            <w:r w:rsidRPr="00D05C85">
              <w:rPr>
                <w:sz w:val="18"/>
                <w:szCs w:val="18"/>
                <w:lang w:val="fr-FR"/>
              </w:rPr>
              <w:t>Les angles horizontaux sont valables pour la direction A.</w:t>
            </w:r>
          </w:p>
        </w:tc>
      </w:tr>
      <w:tr w:rsidR="00AF2126" w:rsidRPr="00D05C85" w14:paraId="45BD5780" w14:textId="77777777" w:rsidTr="00E70082">
        <w:trPr>
          <w:cantSplit/>
          <w:trHeight w:val="725"/>
        </w:trPr>
        <w:tc>
          <w:tcPr>
            <w:tcW w:w="2404" w:type="dxa"/>
            <w:shd w:val="clear" w:color="auto" w:fill="auto"/>
            <w:tcMar>
              <w:top w:w="0" w:type="dxa"/>
              <w:left w:w="0" w:type="dxa"/>
              <w:bottom w:w="0" w:type="dxa"/>
              <w:right w:w="0" w:type="dxa"/>
            </w:tcMar>
            <w:vAlign w:val="center"/>
          </w:tcPr>
          <w:p w14:paraId="543503A0" w14:textId="42C44BCE" w:rsidR="00AF2126" w:rsidRPr="00D05C85" w:rsidRDefault="00AF2126" w:rsidP="00E70082">
            <w:pPr>
              <w:spacing w:before="40" w:after="40" w:line="220" w:lineRule="exact"/>
              <w:ind w:left="57" w:right="57"/>
              <w:rPr>
                <w:sz w:val="18"/>
                <w:szCs w:val="18"/>
                <w:lang w:val="fr-FR"/>
              </w:rPr>
            </w:pPr>
            <w:r w:rsidRPr="00D05C85">
              <w:rPr>
                <w:sz w:val="18"/>
                <w:szCs w:val="18"/>
                <w:lang w:val="fr-FR"/>
              </w:rPr>
              <w:t xml:space="preserve">Feux de stationnement </w:t>
            </w:r>
            <w:proofErr w:type="spellStart"/>
            <w:r w:rsidRPr="00D05C85">
              <w:rPr>
                <w:sz w:val="18"/>
                <w:szCs w:val="18"/>
                <w:lang w:val="fr-FR"/>
              </w:rPr>
              <w:t>latéraux</w:t>
            </w:r>
            <w:r w:rsidRPr="00D05C85">
              <w:rPr>
                <w:i/>
                <w:iCs/>
                <w:sz w:val="18"/>
                <w:szCs w:val="18"/>
                <w:vertAlign w:val="superscript"/>
                <w:lang w:val="fr-FR"/>
              </w:rPr>
              <w:t>a</w:t>
            </w:r>
            <w:proofErr w:type="spellEnd"/>
          </w:p>
        </w:tc>
        <w:tc>
          <w:tcPr>
            <w:tcW w:w="1560" w:type="dxa"/>
            <w:shd w:val="clear" w:color="auto" w:fill="auto"/>
            <w:tcMar>
              <w:top w:w="0" w:type="dxa"/>
              <w:left w:w="0" w:type="dxa"/>
              <w:bottom w:w="0" w:type="dxa"/>
              <w:right w:w="0" w:type="dxa"/>
            </w:tcMar>
            <w:vAlign w:val="center"/>
          </w:tcPr>
          <w:p w14:paraId="10D8F3F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0° / 45°</w:t>
            </w:r>
          </w:p>
        </w:tc>
        <w:tc>
          <w:tcPr>
            <w:tcW w:w="1843" w:type="dxa"/>
            <w:shd w:val="clear" w:color="auto" w:fill="auto"/>
            <w:tcMar>
              <w:top w:w="0" w:type="dxa"/>
              <w:left w:w="0" w:type="dxa"/>
              <w:bottom w:w="0" w:type="dxa"/>
              <w:right w:w="0" w:type="dxa"/>
            </w:tcMar>
            <w:vAlign w:val="center"/>
          </w:tcPr>
          <w:p w14:paraId="07E806B1" w14:textId="4529AA42" w:rsidR="00AF2126" w:rsidRPr="00D05C85" w:rsidRDefault="00AF2126" w:rsidP="00D05C85">
            <w:pPr>
              <w:spacing w:before="40" w:after="40" w:line="220" w:lineRule="exact"/>
              <w:ind w:left="57" w:right="57"/>
              <w:jc w:val="center"/>
              <w:rPr>
                <w:sz w:val="18"/>
                <w:szCs w:val="18"/>
                <w:lang w:val="fr-FR"/>
              </w:rPr>
            </w:pPr>
            <w:r w:rsidRPr="00D05C85">
              <w:rPr>
                <w:sz w:val="18"/>
                <w:szCs w:val="18"/>
                <w:lang w:val="fr-FR"/>
              </w:rPr>
              <w:t>15° / 15°</w:t>
            </w:r>
            <w:r w:rsidR="00D05C85">
              <w:rPr>
                <w:sz w:val="18"/>
                <w:szCs w:val="18"/>
                <w:lang w:val="fr-FR"/>
              </w:rPr>
              <w:t xml:space="preserve"> </w:t>
            </w:r>
            <w:r w:rsidR="00D05C85">
              <w:rPr>
                <w:sz w:val="18"/>
                <w:szCs w:val="18"/>
                <w:lang w:val="fr-FR"/>
              </w:rPr>
              <w:br/>
            </w:r>
            <w:r w:rsidRPr="00D05C85">
              <w:rPr>
                <w:sz w:val="18"/>
                <w:szCs w:val="18"/>
                <w:lang w:val="fr-FR"/>
              </w:rPr>
              <w:t>15° / 5°</w:t>
            </w:r>
            <w:r w:rsidRPr="00D05C85">
              <w:rPr>
                <w:i/>
                <w:iCs/>
                <w:sz w:val="18"/>
                <w:szCs w:val="18"/>
                <w:vertAlign w:val="superscript"/>
                <w:lang w:val="fr-FR"/>
              </w:rPr>
              <w:t>b</w:t>
            </w:r>
          </w:p>
        </w:tc>
        <w:tc>
          <w:tcPr>
            <w:tcW w:w="1985" w:type="dxa"/>
            <w:shd w:val="clear" w:color="auto" w:fill="auto"/>
            <w:tcMar>
              <w:top w:w="0" w:type="dxa"/>
              <w:left w:w="0" w:type="dxa"/>
              <w:bottom w:w="0" w:type="dxa"/>
              <w:right w:w="0" w:type="dxa"/>
            </w:tcMar>
            <w:vAlign w:val="center"/>
          </w:tcPr>
          <w:p w14:paraId="6B5562D4" w14:textId="00B353E5" w:rsidR="00AF2126" w:rsidRPr="00D05C85" w:rsidRDefault="00AF2126" w:rsidP="00E70082">
            <w:pPr>
              <w:spacing w:before="40" w:after="40" w:line="220" w:lineRule="exact"/>
              <w:ind w:left="57" w:right="57"/>
              <w:rPr>
                <w:sz w:val="18"/>
                <w:szCs w:val="18"/>
                <w:lang w:val="fr-FR"/>
              </w:rPr>
            </w:pPr>
            <w:r w:rsidRPr="00D05C85">
              <w:rPr>
                <w:sz w:val="18"/>
                <w:szCs w:val="18"/>
                <w:lang w:val="fr-FR"/>
              </w:rPr>
              <w:t xml:space="preserve">Les angles horizontaux sont valables pour l’avant </w:t>
            </w:r>
            <w:r w:rsidR="00910B33">
              <w:rPr>
                <w:sz w:val="18"/>
                <w:szCs w:val="18"/>
                <w:lang w:val="fr-FR"/>
              </w:rPr>
              <w:t xml:space="preserve">et </w:t>
            </w:r>
            <w:r w:rsidRPr="00D05C85">
              <w:rPr>
                <w:sz w:val="18"/>
                <w:szCs w:val="18"/>
                <w:lang w:val="fr-FR"/>
              </w:rPr>
              <w:t>l’arrière.</w:t>
            </w:r>
          </w:p>
        </w:tc>
      </w:tr>
    </w:tbl>
    <w:p w14:paraId="0BD2A657" w14:textId="77777777" w:rsidR="00AF2126" w:rsidRPr="00D05C85" w:rsidRDefault="00AF2126" w:rsidP="00AF2126">
      <w:pPr>
        <w:spacing w:before="120" w:line="220" w:lineRule="exact"/>
        <w:ind w:left="1134" w:firstLine="170"/>
        <w:rPr>
          <w:color w:val="000000"/>
          <w:sz w:val="18"/>
          <w:szCs w:val="18"/>
          <w:lang w:val="fr-FR"/>
        </w:rPr>
      </w:pPr>
      <w:r w:rsidRPr="00D05C85">
        <w:rPr>
          <w:sz w:val="18"/>
          <w:szCs w:val="18"/>
          <w:lang w:val="fr-FR"/>
        </w:rPr>
        <w:t>Notes du tableau A2-2 :</w:t>
      </w:r>
    </w:p>
    <w:p w14:paraId="2B440D1B" w14:textId="547E69F0" w:rsidR="00AF2126" w:rsidRPr="00D05C85" w:rsidRDefault="00AF2126" w:rsidP="00AF2126">
      <w:pPr>
        <w:tabs>
          <w:tab w:val="left" w:pos="9639"/>
        </w:tabs>
        <w:spacing w:line="220" w:lineRule="exact"/>
        <w:ind w:left="1134" w:right="1134" w:firstLine="170"/>
        <w:rPr>
          <w:sz w:val="18"/>
          <w:lang w:val="fr-FR"/>
        </w:rPr>
      </w:pPr>
      <w:r w:rsidRPr="00D05C85">
        <w:rPr>
          <w:i/>
          <w:iCs/>
          <w:sz w:val="18"/>
          <w:vertAlign w:val="superscript"/>
          <w:lang w:val="fr-FR"/>
        </w:rPr>
        <w:t>a</w:t>
      </w:r>
      <w:r w:rsidRPr="00D05C85">
        <w:rPr>
          <w:sz w:val="18"/>
          <w:lang w:val="fr-FR"/>
        </w:rPr>
        <w:t xml:space="preserve">  Les feux de stationnement latéraux sont un ensemble de feux de stationnement orientés vers l’avant </w:t>
      </w:r>
      <w:r w:rsidR="00910B33">
        <w:rPr>
          <w:sz w:val="18"/>
          <w:lang w:val="fr-FR"/>
        </w:rPr>
        <w:t xml:space="preserve">et </w:t>
      </w:r>
      <w:r w:rsidRPr="00D05C85">
        <w:rPr>
          <w:sz w:val="18"/>
          <w:lang w:val="fr-FR"/>
        </w:rPr>
        <w:t>l’arrière.</w:t>
      </w:r>
    </w:p>
    <w:p w14:paraId="6CB792CE" w14:textId="77777777" w:rsidR="00AF2126" w:rsidRPr="00D05C85" w:rsidRDefault="00AF2126" w:rsidP="00AF2126">
      <w:pPr>
        <w:tabs>
          <w:tab w:val="left" w:pos="9639"/>
        </w:tabs>
        <w:spacing w:line="220" w:lineRule="exact"/>
        <w:ind w:left="1134" w:right="1134" w:firstLine="170"/>
        <w:rPr>
          <w:color w:val="000000"/>
          <w:sz w:val="18"/>
          <w:lang w:val="fr-FR"/>
        </w:rPr>
      </w:pPr>
      <w:r w:rsidRPr="00D05C85">
        <w:rPr>
          <w:i/>
          <w:iCs/>
          <w:sz w:val="18"/>
          <w:vertAlign w:val="superscript"/>
          <w:lang w:val="fr-FR"/>
        </w:rPr>
        <w:t>b</w:t>
      </w:r>
      <w:r w:rsidRPr="00D05C85">
        <w:rPr>
          <w:sz w:val="18"/>
          <w:lang w:val="fr-FR"/>
        </w:rPr>
        <w:t xml:space="preserve">  Angles réduits utilisés pour les feux montés de sorte que leur plan H se trouve à une hauteur inférieure à 750 </w:t>
      </w:r>
      <w:proofErr w:type="spellStart"/>
      <w:r w:rsidRPr="00D05C85">
        <w:rPr>
          <w:sz w:val="18"/>
          <w:lang w:val="fr-FR"/>
        </w:rPr>
        <w:t>mm.</w:t>
      </w:r>
      <w:proofErr w:type="spellEnd"/>
    </w:p>
    <w:p w14:paraId="5987EC69" w14:textId="77777777" w:rsidR="00AF2126" w:rsidRPr="00D05C85" w:rsidRDefault="00AF2126" w:rsidP="00AF2126">
      <w:pPr>
        <w:pStyle w:val="H1G"/>
        <w:pageBreakBefore/>
        <w:ind w:left="2268"/>
        <w:rPr>
          <w:lang w:val="fr-FR"/>
        </w:rPr>
      </w:pPr>
      <w:r w:rsidRPr="00D05C85">
        <w:rPr>
          <w:bCs/>
          <w:lang w:val="fr-FR"/>
        </w:rPr>
        <w:lastRenderedPageBreak/>
        <w:t>Partie C :</w:t>
      </w:r>
      <w:r w:rsidRPr="00D05C85">
        <w:rPr>
          <w:lang w:val="fr-FR"/>
        </w:rPr>
        <w:tab/>
      </w:r>
      <w:r w:rsidRPr="00D05C85">
        <w:rPr>
          <w:bCs/>
          <w:lang w:val="fr-FR"/>
        </w:rPr>
        <w:t>Feux de position latéraux</w:t>
      </w:r>
    </w:p>
    <w:p w14:paraId="4E85507C" w14:textId="4004D4A4" w:rsidR="00AF2126" w:rsidRPr="00D05C85" w:rsidRDefault="00AF2126" w:rsidP="00AF2126">
      <w:pPr>
        <w:pStyle w:val="Titre1"/>
        <w:tabs>
          <w:tab w:val="left" w:pos="1701"/>
          <w:tab w:val="left" w:pos="2268"/>
          <w:tab w:val="left" w:pos="2835"/>
        </w:tabs>
        <w:spacing w:after="120"/>
        <w:rPr>
          <w:lang w:val="fr-FR"/>
        </w:rPr>
      </w:pPr>
      <w:r w:rsidRPr="00D05C85">
        <w:rPr>
          <w:lang w:val="fr-FR"/>
        </w:rPr>
        <w:t>Figure A2-III</w:t>
      </w:r>
      <w:r w:rsidRPr="00D05C85">
        <w:rPr>
          <w:lang w:val="fr-FR"/>
        </w:rPr>
        <w:br/>
      </w:r>
      <w:r w:rsidRPr="00D05C85">
        <w:rPr>
          <w:b/>
          <w:bCs/>
          <w:lang w:val="fr-FR"/>
        </w:rPr>
        <w:t xml:space="preserve">Angles de visibilité géométrique horizontaux </w:t>
      </w:r>
      <w:r w:rsidR="00910B33">
        <w:rPr>
          <w:b/>
          <w:bCs/>
          <w:lang w:val="fr-FR"/>
        </w:rPr>
        <w:t xml:space="preserve">et </w:t>
      </w:r>
      <w:r w:rsidRPr="00D05C85">
        <w:rPr>
          <w:b/>
          <w:bCs/>
          <w:lang w:val="fr-FR"/>
        </w:rPr>
        <w:t>verticaux</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AF2126" w:rsidRPr="00D05C85" w14:paraId="2792718B" w14:textId="77777777" w:rsidTr="00E70082">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D84CE" w14:textId="77777777" w:rsidR="00AF2126" w:rsidRPr="00D05C85" w:rsidRDefault="00AF2126" w:rsidP="00E70082">
            <w:pPr>
              <w:pStyle w:val="SingleTxtG"/>
              <w:ind w:left="0"/>
              <w:rPr>
                <w:lang w:val="fr-FR"/>
              </w:rPr>
            </w:pPr>
            <w:r w:rsidRPr="00D05C85">
              <w:rPr>
                <w:noProof/>
                <w:lang w:val="fr-FR"/>
              </w:rPr>
              <w:drawing>
                <wp:inline distT="0" distB="0" distL="0" distR="0" wp14:anchorId="2CB5D8D9" wp14:editId="574CD4A6">
                  <wp:extent cx="2707005" cy="2093595"/>
                  <wp:effectExtent l="0" t="0" r="0" b="190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7005" cy="2093595"/>
                          </a:xfrm>
                          <a:prstGeom prst="rect">
                            <a:avLst/>
                          </a:prstGeom>
                          <a:noFill/>
                          <a:ln>
                            <a:noFill/>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CB1EB" w14:textId="77777777" w:rsidR="00AF2126" w:rsidRPr="00D05C85" w:rsidRDefault="00AF2126" w:rsidP="00E70082">
            <w:pPr>
              <w:pStyle w:val="SingleTxtG"/>
              <w:ind w:left="0"/>
              <w:rPr>
                <w:lang w:val="fr-FR"/>
              </w:rPr>
            </w:pPr>
            <w:r w:rsidRPr="00D05C85">
              <w:rPr>
                <w:noProof/>
                <w:lang w:val="fr-FR"/>
              </w:rPr>
              <w:drawing>
                <wp:inline distT="0" distB="0" distL="0" distR="0" wp14:anchorId="3986B9A6" wp14:editId="008CEAE1">
                  <wp:extent cx="2414270" cy="1216660"/>
                  <wp:effectExtent l="0" t="0" r="5080" b="254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4270" cy="1216660"/>
                          </a:xfrm>
                          <a:prstGeom prst="rect">
                            <a:avLst/>
                          </a:prstGeom>
                          <a:noFill/>
                          <a:ln>
                            <a:noFill/>
                          </a:ln>
                        </pic:spPr>
                      </pic:pic>
                    </a:graphicData>
                  </a:graphic>
                </wp:inline>
              </w:drawing>
            </w:r>
          </w:p>
        </w:tc>
      </w:tr>
      <w:tr w:rsidR="00AF2126" w:rsidRPr="00D05C85" w14:paraId="770E16F7" w14:textId="77777777" w:rsidTr="00E70082">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AADEC" w14:textId="77777777" w:rsidR="00AF2126" w:rsidRPr="00D05C85" w:rsidRDefault="00AF2126" w:rsidP="00E70082">
            <w:pPr>
              <w:spacing w:after="120"/>
              <w:jc w:val="center"/>
              <w:rPr>
                <w:rStyle w:val="Carpredefinitoparagrafo1"/>
                <w:b/>
                <w:bCs/>
                <w:lang w:val="fr-FR"/>
              </w:rPr>
            </w:pPr>
            <w:r w:rsidRPr="00D05C85">
              <w:rPr>
                <w:b/>
                <w:bCs/>
                <w:lang w:val="fr-FR"/>
              </w:rPr>
              <w:t>Angles horizontaux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F1B10" w14:textId="77777777" w:rsidR="00AF2126" w:rsidRPr="00D05C85" w:rsidRDefault="00AF2126" w:rsidP="00E70082">
            <w:pPr>
              <w:spacing w:after="120"/>
              <w:jc w:val="center"/>
              <w:rPr>
                <w:rStyle w:val="Carpredefinitoparagrafo1"/>
                <w:b/>
                <w:lang w:val="fr-FR"/>
              </w:rPr>
            </w:pPr>
            <w:r w:rsidRPr="00D05C85">
              <w:rPr>
                <w:b/>
                <w:bCs/>
                <w:lang w:val="fr-FR"/>
              </w:rPr>
              <w:t>Angles verticaux</w:t>
            </w:r>
          </w:p>
        </w:tc>
      </w:tr>
    </w:tbl>
    <w:p w14:paraId="72940022" w14:textId="06DE5FCA" w:rsidR="00AF2126" w:rsidRPr="00D05C85" w:rsidRDefault="00AF2126" w:rsidP="00AF2126">
      <w:pPr>
        <w:pStyle w:val="Titre1"/>
        <w:tabs>
          <w:tab w:val="left" w:pos="1701"/>
          <w:tab w:val="left" w:pos="2268"/>
          <w:tab w:val="left" w:pos="2835"/>
        </w:tabs>
        <w:spacing w:before="240" w:after="120"/>
        <w:rPr>
          <w:lang w:val="fr-FR"/>
        </w:rPr>
      </w:pPr>
      <w:r w:rsidRPr="00D05C85">
        <w:rPr>
          <w:lang w:val="fr-FR"/>
        </w:rPr>
        <w:t>Tableau A2-3</w:t>
      </w:r>
      <w:r w:rsidRPr="00D05C85">
        <w:rPr>
          <w:lang w:val="fr-FR"/>
        </w:rPr>
        <w:br/>
      </w:r>
      <w:r w:rsidRPr="00D05C85">
        <w:rPr>
          <w:b/>
          <w:bCs/>
          <w:lang w:val="fr-FR"/>
        </w:rPr>
        <w:t xml:space="preserve">Angles de visibilité géométrique horizontaux </w:t>
      </w:r>
      <w:r w:rsidR="00910B33">
        <w:rPr>
          <w:b/>
          <w:bCs/>
          <w:lang w:val="fr-FR"/>
        </w:rPr>
        <w:t xml:space="preserve">et </w:t>
      </w:r>
      <w:r w:rsidRPr="00D05C85">
        <w:rPr>
          <w:b/>
          <w:bCs/>
          <w:lang w:val="fr-FR"/>
        </w:rPr>
        <w:t>verticaux</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5"/>
        <w:gridCol w:w="1835"/>
        <w:gridCol w:w="1765"/>
        <w:gridCol w:w="1476"/>
      </w:tblGrid>
      <w:tr w:rsidR="00AF2126" w:rsidRPr="00D05C85" w14:paraId="61962515" w14:textId="77777777" w:rsidTr="00E70082">
        <w:tc>
          <w:tcPr>
            <w:tcW w:w="2426" w:type="dxa"/>
            <w:shd w:val="clear" w:color="auto" w:fill="auto"/>
            <w:tcMar>
              <w:top w:w="0" w:type="dxa"/>
              <w:left w:w="0" w:type="dxa"/>
              <w:bottom w:w="0" w:type="dxa"/>
              <w:right w:w="0" w:type="dxa"/>
            </w:tcMar>
            <w:vAlign w:val="bottom"/>
          </w:tcPr>
          <w:p w14:paraId="32D602AD" w14:textId="77777777" w:rsidR="00AF2126" w:rsidRPr="00D05C85" w:rsidRDefault="00AF2126" w:rsidP="00E70082">
            <w:pPr>
              <w:spacing w:before="80" w:after="80" w:line="200" w:lineRule="exact"/>
              <w:ind w:left="57" w:right="57"/>
              <w:rPr>
                <w:b/>
                <w:bCs/>
                <w:sz w:val="16"/>
                <w:szCs w:val="16"/>
                <w:lang w:val="fr-FR"/>
              </w:rPr>
            </w:pPr>
            <w:r w:rsidRPr="00D05C85">
              <w:rPr>
                <w:b/>
                <w:bCs/>
                <w:i/>
                <w:iCs/>
                <w:sz w:val="16"/>
                <w:szCs w:val="16"/>
                <w:lang w:val="fr-FR"/>
              </w:rPr>
              <w:t>Feu</w:t>
            </w:r>
          </w:p>
        </w:tc>
        <w:tc>
          <w:tcPr>
            <w:tcW w:w="1940" w:type="dxa"/>
            <w:shd w:val="clear" w:color="auto" w:fill="auto"/>
            <w:tcMar>
              <w:top w:w="0" w:type="dxa"/>
              <w:left w:w="0" w:type="dxa"/>
              <w:bottom w:w="0" w:type="dxa"/>
              <w:right w:w="0" w:type="dxa"/>
            </w:tcMar>
            <w:vAlign w:val="bottom"/>
          </w:tcPr>
          <w:p w14:paraId="57317718" w14:textId="77777777" w:rsidR="00AF2126" w:rsidRPr="00D05C85" w:rsidRDefault="00AF2126" w:rsidP="00E70082">
            <w:pPr>
              <w:spacing w:before="80" w:after="80" w:line="200" w:lineRule="exact"/>
              <w:ind w:left="57" w:right="57"/>
              <w:jc w:val="center"/>
              <w:rPr>
                <w:b/>
                <w:bCs/>
                <w:sz w:val="16"/>
                <w:szCs w:val="16"/>
                <w:lang w:val="fr-FR"/>
              </w:rPr>
            </w:pPr>
            <w:r w:rsidRPr="00D05C85">
              <w:rPr>
                <w:b/>
                <w:bCs/>
                <w:i/>
                <w:iCs/>
                <w:sz w:val="16"/>
                <w:szCs w:val="16"/>
                <w:lang w:val="fr-FR"/>
              </w:rPr>
              <w:t>Angles horizontaux minimaux</w:t>
            </w:r>
            <w:r w:rsidRPr="00D05C85">
              <w:rPr>
                <w:b/>
                <w:bCs/>
                <w:i/>
                <w:iCs/>
                <w:sz w:val="16"/>
                <w:szCs w:val="16"/>
                <w:lang w:val="fr-FR"/>
              </w:rPr>
              <w:br/>
              <w:t>(A/B)</w:t>
            </w:r>
          </w:p>
        </w:tc>
        <w:tc>
          <w:tcPr>
            <w:tcW w:w="1866" w:type="dxa"/>
            <w:shd w:val="clear" w:color="auto" w:fill="auto"/>
            <w:tcMar>
              <w:top w:w="0" w:type="dxa"/>
              <w:left w:w="0" w:type="dxa"/>
              <w:bottom w:w="0" w:type="dxa"/>
              <w:right w:w="0" w:type="dxa"/>
            </w:tcMar>
            <w:vAlign w:val="bottom"/>
          </w:tcPr>
          <w:p w14:paraId="1FB2C22A" w14:textId="77777777" w:rsidR="00AF2126" w:rsidRPr="00D05C85" w:rsidRDefault="00AF2126" w:rsidP="00E70082">
            <w:pPr>
              <w:spacing w:before="80" w:after="80" w:line="200" w:lineRule="exact"/>
              <w:ind w:left="57" w:right="57"/>
              <w:jc w:val="center"/>
              <w:rPr>
                <w:b/>
                <w:bCs/>
                <w:sz w:val="16"/>
                <w:szCs w:val="16"/>
                <w:lang w:val="fr-FR"/>
              </w:rPr>
            </w:pPr>
            <w:r w:rsidRPr="00D05C85">
              <w:rPr>
                <w:b/>
                <w:bCs/>
                <w:i/>
                <w:iCs/>
                <w:sz w:val="16"/>
                <w:szCs w:val="16"/>
                <w:lang w:val="fr-FR"/>
              </w:rPr>
              <w:t>Angles verticaux minimaux</w:t>
            </w:r>
            <w:r w:rsidRPr="00D05C85">
              <w:rPr>
                <w:b/>
                <w:bCs/>
                <w:i/>
                <w:iCs/>
                <w:sz w:val="16"/>
                <w:szCs w:val="16"/>
                <w:lang w:val="fr-FR"/>
              </w:rPr>
              <w:br/>
              <w:t>(supérieurs/inférieurs)</w:t>
            </w:r>
          </w:p>
        </w:tc>
        <w:tc>
          <w:tcPr>
            <w:tcW w:w="1560" w:type="dxa"/>
            <w:shd w:val="clear" w:color="auto" w:fill="auto"/>
            <w:tcMar>
              <w:top w:w="0" w:type="dxa"/>
              <w:left w:w="0" w:type="dxa"/>
              <w:bottom w:w="0" w:type="dxa"/>
              <w:right w:w="0" w:type="dxa"/>
            </w:tcMar>
            <w:vAlign w:val="bottom"/>
          </w:tcPr>
          <w:p w14:paraId="27CF950F" w14:textId="77777777" w:rsidR="00AF2126" w:rsidRPr="00D05C85" w:rsidRDefault="00AF2126" w:rsidP="00E70082">
            <w:pPr>
              <w:spacing w:before="80" w:after="80" w:line="200" w:lineRule="exact"/>
              <w:ind w:left="57" w:right="57"/>
              <w:jc w:val="center"/>
              <w:rPr>
                <w:b/>
                <w:bCs/>
                <w:sz w:val="16"/>
                <w:szCs w:val="16"/>
                <w:lang w:val="fr-FR"/>
              </w:rPr>
            </w:pPr>
            <w:r w:rsidRPr="00D05C85">
              <w:rPr>
                <w:b/>
                <w:bCs/>
                <w:i/>
                <w:iCs/>
                <w:sz w:val="16"/>
                <w:szCs w:val="16"/>
                <w:lang w:val="fr-FR"/>
              </w:rPr>
              <w:t>Renseignements complémentaires</w:t>
            </w:r>
          </w:p>
        </w:tc>
      </w:tr>
      <w:tr w:rsidR="00AF2126" w:rsidRPr="00D05C85" w14:paraId="735C6DC2" w14:textId="77777777" w:rsidTr="00E70082">
        <w:tc>
          <w:tcPr>
            <w:tcW w:w="2426" w:type="dxa"/>
            <w:shd w:val="clear" w:color="auto" w:fill="auto"/>
            <w:tcMar>
              <w:top w:w="0" w:type="dxa"/>
              <w:left w:w="0" w:type="dxa"/>
              <w:bottom w:w="0" w:type="dxa"/>
              <w:right w:w="0" w:type="dxa"/>
            </w:tcMar>
            <w:vAlign w:val="center"/>
          </w:tcPr>
          <w:p w14:paraId="58197F27"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position latéral (SM1)</w:t>
            </w:r>
          </w:p>
        </w:tc>
        <w:tc>
          <w:tcPr>
            <w:tcW w:w="1940" w:type="dxa"/>
            <w:shd w:val="clear" w:color="auto" w:fill="auto"/>
            <w:tcMar>
              <w:top w:w="0" w:type="dxa"/>
              <w:left w:w="0" w:type="dxa"/>
              <w:bottom w:w="0" w:type="dxa"/>
              <w:right w:w="0" w:type="dxa"/>
            </w:tcMar>
            <w:vAlign w:val="center"/>
          </w:tcPr>
          <w:p w14:paraId="652FE3EA"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45° / 45°</w:t>
            </w:r>
          </w:p>
        </w:tc>
        <w:tc>
          <w:tcPr>
            <w:tcW w:w="1866" w:type="dxa"/>
            <w:shd w:val="clear" w:color="auto" w:fill="auto"/>
            <w:tcMar>
              <w:top w:w="0" w:type="dxa"/>
              <w:left w:w="0" w:type="dxa"/>
              <w:bottom w:w="0" w:type="dxa"/>
              <w:right w:w="0" w:type="dxa"/>
            </w:tcMar>
            <w:vAlign w:val="center"/>
          </w:tcPr>
          <w:p w14:paraId="47DF95B0" w14:textId="3A8131E8" w:rsidR="00AF2126" w:rsidRPr="00D05C85" w:rsidRDefault="00AF2126" w:rsidP="00D05C85">
            <w:pPr>
              <w:spacing w:before="40" w:after="40" w:line="220" w:lineRule="exact"/>
              <w:ind w:left="57" w:right="57"/>
              <w:jc w:val="center"/>
              <w:rPr>
                <w:sz w:val="18"/>
                <w:szCs w:val="18"/>
                <w:lang w:val="fr-FR"/>
              </w:rPr>
            </w:pPr>
            <w:r w:rsidRPr="00D05C85">
              <w:rPr>
                <w:sz w:val="18"/>
                <w:szCs w:val="18"/>
                <w:lang w:val="fr-FR"/>
              </w:rPr>
              <w:t>10° / 10°</w:t>
            </w:r>
            <w:r w:rsidR="00D05C85">
              <w:rPr>
                <w:sz w:val="18"/>
                <w:szCs w:val="18"/>
                <w:lang w:val="fr-FR"/>
              </w:rPr>
              <w:t xml:space="preserve"> </w:t>
            </w:r>
            <w:r w:rsidR="00D05C85">
              <w:rPr>
                <w:sz w:val="18"/>
                <w:szCs w:val="18"/>
                <w:lang w:val="fr-FR"/>
              </w:rPr>
              <w:br/>
            </w:r>
            <w:r w:rsidRPr="00D05C85">
              <w:rPr>
                <w:sz w:val="18"/>
                <w:szCs w:val="18"/>
                <w:lang w:val="fr-FR"/>
              </w:rPr>
              <w:t>10° / 5°</w:t>
            </w:r>
            <w:r w:rsidRPr="00D05C85">
              <w:rPr>
                <w:i/>
                <w:iCs/>
                <w:sz w:val="18"/>
                <w:szCs w:val="18"/>
                <w:vertAlign w:val="superscript"/>
                <w:lang w:val="fr-FR"/>
              </w:rPr>
              <w:t>a</w:t>
            </w:r>
          </w:p>
        </w:tc>
        <w:tc>
          <w:tcPr>
            <w:tcW w:w="1560" w:type="dxa"/>
            <w:shd w:val="clear" w:color="auto" w:fill="auto"/>
            <w:tcMar>
              <w:top w:w="0" w:type="dxa"/>
              <w:left w:w="0" w:type="dxa"/>
              <w:bottom w:w="0" w:type="dxa"/>
              <w:right w:w="0" w:type="dxa"/>
            </w:tcMar>
            <w:vAlign w:val="center"/>
          </w:tcPr>
          <w:p w14:paraId="677E4CFD" w14:textId="77777777" w:rsidR="00AF2126" w:rsidRPr="00D05C85" w:rsidRDefault="00AF2126" w:rsidP="00E70082">
            <w:pPr>
              <w:spacing w:before="40" w:after="40" w:line="220" w:lineRule="exact"/>
              <w:ind w:left="57" w:right="57"/>
              <w:rPr>
                <w:sz w:val="18"/>
                <w:szCs w:val="18"/>
                <w:lang w:val="fr-FR"/>
              </w:rPr>
            </w:pPr>
          </w:p>
        </w:tc>
      </w:tr>
      <w:tr w:rsidR="00AF2126" w:rsidRPr="00D05C85" w14:paraId="2B2D9640" w14:textId="77777777" w:rsidTr="00E70082">
        <w:tc>
          <w:tcPr>
            <w:tcW w:w="2426" w:type="dxa"/>
            <w:shd w:val="clear" w:color="auto" w:fill="auto"/>
            <w:tcMar>
              <w:top w:w="0" w:type="dxa"/>
              <w:left w:w="0" w:type="dxa"/>
              <w:bottom w:w="0" w:type="dxa"/>
              <w:right w:w="0" w:type="dxa"/>
            </w:tcMar>
            <w:vAlign w:val="center"/>
          </w:tcPr>
          <w:p w14:paraId="3BEBA23D"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position latéral (SM2)</w:t>
            </w:r>
          </w:p>
        </w:tc>
        <w:tc>
          <w:tcPr>
            <w:tcW w:w="1940" w:type="dxa"/>
            <w:shd w:val="clear" w:color="auto" w:fill="auto"/>
            <w:tcMar>
              <w:top w:w="0" w:type="dxa"/>
              <w:left w:w="0" w:type="dxa"/>
              <w:bottom w:w="0" w:type="dxa"/>
              <w:right w:w="0" w:type="dxa"/>
            </w:tcMar>
            <w:vAlign w:val="center"/>
          </w:tcPr>
          <w:p w14:paraId="59BBD440"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30° / 30°</w:t>
            </w:r>
          </w:p>
        </w:tc>
        <w:tc>
          <w:tcPr>
            <w:tcW w:w="1866" w:type="dxa"/>
            <w:shd w:val="clear" w:color="auto" w:fill="auto"/>
            <w:tcMar>
              <w:top w:w="0" w:type="dxa"/>
              <w:left w:w="0" w:type="dxa"/>
              <w:bottom w:w="0" w:type="dxa"/>
              <w:right w:w="0" w:type="dxa"/>
            </w:tcMar>
            <w:vAlign w:val="center"/>
          </w:tcPr>
          <w:p w14:paraId="17087658" w14:textId="0964637B" w:rsidR="00AF2126" w:rsidRPr="00D05C85" w:rsidRDefault="00AF2126" w:rsidP="00D05C85">
            <w:pPr>
              <w:spacing w:before="40" w:after="40" w:line="220" w:lineRule="exact"/>
              <w:ind w:left="57" w:right="57"/>
              <w:jc w:val="center"/>
              <w:rPr>
                <w:sz w:val="18"/>
                <w:szCs w:val="18"/>
                <w:lang w:val="fr-FR"/>
              </w:rPr>
            </w:pPr>
            <w:r w:rsidRPr="00D05C85">
              <w:rPr>
                <w:sz w:val="18"/>
                <w:szCs w:val="18"/>
                <w:lang w:val="fr-FR"/>
              </w:rPr>
              <w:t>10° / 10°</w:t>
            </w:r>
            <w:r w:rsidR="00D05C85">
              <w:rPr>
                <w:sz w:val="18"/>
                <w:szCs w:val="18"/>
                <w:lang w:val="fr-FR"/>
              </w:rPr>
              <w:t xml:space="preserve"> </w:t>
            </w:r>
            <w:r w:rsidR="00D05C85">
              <w:rPr>
                <w:sz w:val="18"/>
                <w:szCs w:val="18"/>
                <w:lang w:val="fr-FR"/>
              </w:rPr>
              <w:br/>
            </w:r>
            <w:r w:rsidRPr="00D05C85">
              <w:rPr>
                <w:sz w:val="18"/>
                <w:szCs w:val="18"/>
                <w:lang w:val="fr-FR"/>
              </w:rPr>
              <w:t>10° / 5°</w:t>
            </w:r>
            <w:r w:rsidRPr="00D05C85">
              <w:rPr>
                <w:i/>
                <w:iCs/>
                <w:sz w:val="18"/>
                <w:szCs w:val="18"/>
                <w:vertAlign w:val="superscript"/>
                <w:lang w:val="fr-FR"/>
              </w:rPr>
              <w:t>a</w:t>
            </w:r>
          </w:p>
        </w:tc>
        <w:tc>
          <w:tcPr>
            <w:tcW w:w="1560" w:type="dxa"/>
            <w:shd w:val="clear" w:color="auto" w:fill="auto"/>
            <w:tcMar>
              <w:top w:w="0" w:type="dxa"/>
              <w:left w:w="0" w:type="dxa"/>
              <w:bottom w:w="0" w:type="dxa"/>
              <w:right w:w="0" w:type="dxa"/>
            </w:tcMar>
            <w:vAlign w:val="center"/>
          </w:tcPr>
          <w:p w14:paraId="3AB0C976" w14:textId="77777777" w:rsidR="00AF2126" w:rsidRPr="00D05C85" w:rsidRDefault="00AF2126" w:rsidP="00E70082">
            <w:pPr>
              <w:spacing w:before="40" w:after="40" w:line="220" w:lineRule="exact"/>
              <w:ind w:left="57" w:right="57"/>
              <w:rPr>
                <w:sz w:val="18"/>
                <w:szCs w:val="18"/>
                <w:lang w:val="fr-FR"/>
              </w:rPr>
            </w:pPr>
          </w:p>
        </w:tc>
      </w:tr>
    </w:tbl>
    <w:p w14:paraId="0EE9DBB0" w14:textId="77777777" w:rsidR="00AF2126" w:rsidRPr="00D05C85" w:rsidRDefault="00AF2126" w:rsidP="00AF2126">
      <w:pPr>
        <w:spacing w:before="120" w:line="220" w:lineRule="exact"/>
        <w:ind w:left="1134" w:right="1134" w:firstLine="170"/>
        <w:rPr>
          <w:color w:val="000000"/>
          <w:sz w:val="18"/>
          <w:lang w:val="fr-FR"/>
        </w:rPr>
      </w:pPr>
      <w:r w:rsidRPr="00D05C85">
        <w:rPr>
          <w:sz w:val="18"/>
          <w:lang w:val="fr-FR"/>
        </w:rPr>
        <w:t>Notes du tableau A2-3 :</w:t>
      </w:r>
    </w:p>
    <w:p w14:paraId="3C9D9886" w14:textId="77777777" w:rsidR="00AF2126" w:rsidRPr="00D05C85" w:rsidRDefault="00AF2126" w:rsidP="00AF2126">
      <w:pPr>
        <w:tabs>
          <w:tab w:val="left" w:pos="9639"/>
        </w:tabs>
        <w:spacing w:line="220" w:lineRule="exact"/>
        <w:ind w:left="1134" w:right="1134" w:firstLine="170"/>
        <w:rPr>
          <w:color w:val="000000"/>
          <w:sz w:val="18"/>
          <w:lang w:val="fr-FR"/>
        </w:rPr>
      </w:pPr>
      <w:r w:rsidRPr="00D05C85">
        <w:rPr>
          <w:i/>
          <w:iCs/>
          <w:sz w:val="18"/>
          <w:vertAlign w:val="superscript"/>
          <w:lang w:val="fr-FR"/>
        </w:rPr>
        <w:t>a</w:t>
      </w:r>
      <w:r w:rsidRPr="00D05C85">
        <w:rPr>
          <w:sz w:val="18"/>
          <w:lang w:val="fr-FR"/>
        </w:rPr>
        <w:t xml:space="preserve">  Angles réduits utilisés pour les feux montés de sorte que leur plan H se trouve à une hauteur inférieure à 750 </w:t>
      </w:r>
      <w:proofErr w:type="spellStart"/>
      <w:r w:rsidRPr="00D05C85">
        <w:rPr>
          <w:sz w:val="18"/>
          <w:lang w:val="fr-FR"/>
        </w:rPr>
        <w:t>mm.</w:t>
      </w:r>
      <w:proofErr w:type="spellEnd"/>
    </w:p>
    <w:p w14:paraId="04F11F41" w14:textId="77777777" w:rsidR="00AF2126" w:rsidRPr="00D05C85" w:rsidRDefault="00AF2126" w:rsidP="00AF2126">
      <w:pPr>
        <w:pStyle w:val="H1G"/>
        <w:pageBreakBefore/>
        <w:ind w:left="2268"/>
        <w:rPr>
          <w:lang w:val="fr-FR"/>
        </w:rPr>
      </w:pPr>
      <w:r w:rsidRPr="00D05C85">
        <w:rPr>
          <w:bCs/>
          <w:lang w:val="fr-FR"/>
        </w:rPr>
        <w:lastRenderedPageBreak/>
        <w:t>Partie D :</w:t>
      </w:r>
      <w:r w:rsidRPr="00D05C85">
        <w:rPr>
          <w:lang w:val="fr-FR"/>
        </w:rPr>
        <w:tab/>
      </w:r>
      <w:r w:rsidRPr="00D05C85">
        <w:rPr>
          <w:bCs/>
          <w:lang w:val="fr-FR"/>
        </w:rPr>
        <w:t>Feu d’éclairage de la plaque d’immatriculation arrière, champ de visibilité</w:t>
      </w:r>
    </w:p>
    <w:p w14:paraId="3148BA89" w14:textId="49B4D6DB" w:rsidR="00AF2126" w:rsidRPr="00D05C85" w:rsidRDefault="00AF2126" w:rsidP="00AF2126">
      <w:pPr>
        <w:pStyle w:val="Titre1"/>
        <w:tabs>
          <w:tab w:val="left" w:pos="1701"/>
          <w:tab w:val="left" w:pos="2268"/>
          <w:tab w:val="left" w:pos="2835"/>
        </w:tabs>
        <w:spacing w:after="120"/>
        <w:rPr>
          <w:lang w:val="fr-FR"/>
        </w:rPr>
      </w:pPr>
      <w:r w:rsidRPr="00D05C85">
        <w:rPr>
          <w:lang w:val="fr-FR"/>
        </w:rPr>
        <w:t>Figure A2-IV</w:t>
      </w:r>
      <w:r w:rsidRPr="00D05C85">
        <w:rPr>
          <w:lang w:val="fr-FR"/>
        </w:rPr>
        <w:br/>
      </w:r>
      <w:r w:rsidRPr="00D05C85">
        <w:rPr>
          <w:b/>
          <w:bCs/>
          <w:lang w:val="fr-FR"/>
        </w:rPr>
        <w:t xml:space="preserve">Champ de visibilité horizontal </w:t>
      </w:r>
      <w:r w:rsidR="00910B33">
        <w:rPr>
          <w:b/>
          <w:bCs/>
          <w:lang w:val="fr-FR"/>
        </w:rPr>
        <w:t xml:space="preserve">et </w:t>
      </w:r>
      <w:r w:rsidRPr="00D05C85">
        <w:rPr>
          <w:b/>
          <w:bCs/>
          <w:lang w:val="fr-FR"/>
        </w:rPr>
        <w:t>vertical</w:t>
      </w: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AF2126" w:rsidRPr="00D05C85" w14:paraId="37E2A97D" w14:textId="77777777" w:rsidTr="00E70082">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8DCE8" w14:textId="77777777" w:rsidR="00AF2126" w:rsidRPr="00D05C85" w:rsidRDefault="00AF2126" w:rsidP="00E70082">
            <w:pPr>
              <w:pStyle w:val="SingleTxtG"/>
              <w:ind w:left="0"/>
              <w:rPr>
                <w:lang w:val="fr-FR"/>
              </w:rPr>
            </w:pPr>
            <w:r w:rsidRPr="00D05C85">
              <w:rPr>
                <w:noProof/>
                <w:lang w:val="fr-FR"/>
              </w:rPr>
              <w:drawing>
                <wp:inline distT="0" distB="0" distL="0" distR="0" wp14:anchorId="391B577C" wp14:editId="68F80E28">
                  <wp:extent cx="2655570" cy="25996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5570" cy="2599690"/>
                          </a:xfrm>
                          <a:prstGeom prst="rect">
                            <a:avLst/>
                          </a:prstGeom>
                          <a:noFill/>
                          <a:ln>
                            <a:noFill/>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F8088" w14:textId="77777777" w:rsidR="00AF2126" w:rsidRPr="00D05C85" w:rsidRDefault="00AF2126" w:rsidP="00E70082">
            <w:pPr>
              <w:pStyle w:val="SingleTxtG"/>
              <w:ind w:left="0"/>
              <w:rPr>
                <w:lang w:val="fr-FR"/>
              </w:rPr>
            </w:pPr>
            <w:r w:rsidRPr="00D05C85">
              <w:rPr>
                <w:noProof/>
                <w:lang w:val="fr-FR"/>
              </w:rPr>
              <w:drawing>
                <wp:inline distT="0" distB="0" distL="0" distR="0" wp14:anchorId="0F43FF3C" wp14:editId="3EA34716">
                  <wp:extent cx="2464435" cy="242189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4435" cy="2421890"/>
                          </a:xfrm>
                          <a:prstGeom prst="rect">
                            <a:avLst/>
                          </a:prstGeom>
                          <a:noFill/>
                          <a:ln>
                            <a:noFill/>
                          </a:ln>
                        </pic:spPr>
                      </pic:pic>
                    </a:graphicData>
                  </a:graphic>
                </wp:inline>
              </w:drawing>
            </w:r>
          </w:p>
        </w:tc>
      </w:tr>
      <w:tr w:rsidR="00AF2126" w:rsidRPr="00D05C85" w14:paraId="4B2ADBC6" w14:textId="77777777" w:rsidTr="00E70082">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CF036" w14:textId="77777777" w:rsidR="00AF2126" w:rsidRPr="00D05C85" w:rsidRDefault="00AF2126" w:rsidP="00E70082">
            <w:pPr>
              <w:pStyle w:val="SingleTxtG"/>
              <w:ind w:left="0"/>
              <w:jc w:val="center"/>
              <w:rPr>
                <w:lang w:val="fr-FR"/>
              </w:rPr>
            </w:pPr>
            <w:r w:rsidRPr="00D05C85">
              <w:rPr>
                <w:b/>
                <w:bCs/>
                <w:lang w:val="fr-FR"/>
              </w:rPr>
              <w:t>Coupe verticale</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80C40" w14:textId="77777777" w:rsidR="00AF2126" w:rsidRPr="00D05C85" w:rsidRDefault="00AF2126" w:rsidP="00E70082">
            <w:pPr>
              <w:pStyle w:val="SingleTxtG"/>
              <w:ind w:left="0"/>
              <w:jc w:val="center"/>
              <w:rPr>
                <w:lang w:val="fr-FR"/>
              </w:rPr>
            </w:pPr>
            <w:r w:rsidRPr="00D05C85">
              <w:rPr>
                <w:b/>
                <w:bCs/>
                <w:lang w:val="fr-FR"/>
              </w:rPr>
              <w:t>Coupe horizontale</w:t>
            </w:r>
          </w:p>
        </w:tc>
      </w:tr>
    </w:tbl>
    <w:p w14:paraId="463E23C1" w14:textId="4DC73773" w:rsidR="00AF2126" w:rsidRPr="00D05C85" w:rsidRDefault="00AF2126" w:rsidP="00AF2126">
      <w:pPr>
        <w:pStyle w:val="Titre1"/>
        <w:tabs>
          <w:tab w:val="left" w:pos="1701"/>
          <w:tab w:val="left" w:pos="2268"/>
          <w:tab w:val="left" w:pos="2835"/>
        </w:tabs>
        <w:spacing w:before="240" w:after="120"/>
        <w:rPr>
          <w:lang w:val="fr-FR"/>
        </w:rPr>
      </w:pPr>
      <w:r w:rsidRPr="00D05C85">
        <w:rPr>
          <w:lang w:val="fr-FR"/>
        </w:rPr>
        <w:t>Tableau A2-4</w:t>
      </w:r>
      <w:r w:rsidRPr="00D05C85">
        <w:rPr>
          <w:lang w:val="fr-FR"/>
        </w:rPr>
        <w:br/>
      </w:r>
      <w:r w:rsidRPr="00D05C85">
        <w:rPr>
          <w:b/>
          <w:bCs/>
          <w:lang w:val="fr-FR"/>
        </w:rPr>
        <w:t xml:space="preserve">Champ de visibilité horizontal </w:t>
      </w:r>
      <w:r w:rsidR="00910B33">
        <w:rPr>
          <w:b/>
          <w:bCs/>
          <w:lang w:val="fr-FR"/>
        </w:rPr>
        <w:t xml:space="preserve">et </w:t>
      </w:r>
      <w:r w:rsidRPr="00D05C85">
        <w:rPr>
          <w:b/>
          <w:bCs/>
          <w:lang w:val="fr-FR"/>
        </w:rPr>
        <w:t>vertical</w:t>
      </w:r>
    </w:p>
    <w:tbl>
      <w:tblPr>
        <w:tblW w:w="7371" w:type="dxa"/>
        <w:tblInd w:w="1122" w:type="dxa"/>
        <w:tblLayout w:type="fixed"/>
        <w:tblCellMar>
          <w:left w:w="0" w:type="dxa"/>
          <w:right w:w="0" w:type="dxa"/>
        </w:tblCellMar>
        <w:tblLook w:val="0000" w:firstRow="0" w:lastRow="0" w:firstColumn="0" w:lastColumn="0" w:noHBand="0" w:noVBand="0"/>
      </w:tblPr>
      <w:tblGrid>
        <w:gridCol w:w="7371"/>
      </w:tblGrid>
      <w:tr w:rsidR="00AF2126" w:rsidRPr="00D05C85" w14:paraId="1426C855" w14:textId="77777777" w:rsidTr="00E70082">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EE815F" w14:textId="1ADC0792" w:rsidR="00AF2126" w:rsidRPr="00D05C85" w:rsidRDefault="00AF2126" w:rsidP="00E70082">
            <w:pPr>
              <w:pStyle w:val="SingleTxtG"/>
              <w:spacing w:before="120"/>
              <w:ind w:left="669" w:right="113" w:hanging="556"/>
              <w:rPr>
                <w:sz w:val="18"/>
                <w:szCs w:val="18"/>
                <w:lang w:val="fr-FR"/>
              </w:rPr>
            </w:pPr>
            <w:r w:rsidRPr="00D05C85">
              <w:rPr>
                <w:lang w:val="fr-FR"/>
              </w:rPr>
              <w:t>1.</w:t>
            </w:r>
            <w:r w:rsidRPr="00D05C85">
              <w:rPr>
                <w:lang w:val="fr-FR"/>
              </w:rPr>
              <w:tab/>
              <w:t xml:space="preserve">Les angles de champ de visibilité indiqués ci-dessus ne concernent que les positions relatives du feu d’éclairage de la plaque d’immatriculation arrière </w:t>
            </w:r>
            <w:r w:rsidR="00910B33">
              <w:rPr>
                <w:lang w:val="fr-FR"/>
              </w:rPr>
              <w:t xml:space="preserve">et </w:t>
            </w:r>
            <w:r w:rsidRPr="00D05C85">
              <w:rPr>
                <w:lang w:val="fr-FR"/>
              </w:rPr>
              <w:t>de l’emplacement réservé à la plaque d’immatriculation.</w:t>
            </w:r>
          </w:p>
          <w:p w14:paraId="50E606AE" w14:textId="77777777" w:rsidR="00AF2126" w:rsidRPr="00D05C85" w:rsidRDefault="00AF2126" w:rsidP="00E70082">
            <w:pPr>
              <w:pStyle w:val="SingleTxtG"/>
              <w:spacing w:before="120"/>
              <w:ind w:left="669" w:right="113" w:hanging="556"/>
              <w:rPr>
                <w:sz w:val="18"/>
                <w:szCs w:val="18"/>
                <w:lang w:val="fr-FR"/>
              </w:rPr>
            </w:pPr>
            <w:r w:rsidRPr="00D05C85">
              <w:rPr>
                <w:lang w:val="fr-FR"/>
              </w:rPr>
              <w:t>2.</w:t>
            </w:r>
            <w:r w:rsidRPr="00D05C85">
              <w:rPr>
                <w:lang w:val="fr-FR"/>
              </w:rPr>
              <w:tab/>
              <w:t>Le champ de visibilité de la plaque d’immatriculation montée sur le véhicule reste soumis aux règlements nationaux pertinents.</w:t>
            </w:r>
          </w:p>
          <w:p w14:paraId="239B3401" w14:textId="77777777" w:rsidR="00AF2126" w:rsidRPr="00D05C85" w:rsidRDefault="00AF2126" w:rsidP="00E70082">
            <w:pPr>
              <w:pStyle w:val="SingleTxtG"/>
              <w:spacing w:before="120"/>
              <w:ind w:left="669" w:right="113" w:hanging="556"/>
              <w:rPr>
                <w:lang w:val="fr-FR"/>
              </w:rPr>
            </w:pPr>
            <w:r w:rsidRPr="00D05C85">
              <w:rPr>
                <w:lang w:val="fr-FR"/>
              </w:rPr>
              <w:t>3.</w:t>
            </w:r>
            <w:r w:rsidRPr="00D05C85">
              <w:rPr>
                <w:lang w:val="fr-FR"/>
              </w:rPr>
              <w:tab/>
              <w:t>Les angles indiqués tiennent compte de l’occultation partielle provoquée par le feu d’éclairage de la plaque d’immatriculation arrière. Ils doivent être respectés dans les directions les plus occultées. Les feux d’éclairage de la plaque d’immatriculation arrière doivent être tels qu’ils réduisent au strict nécessaire l’étendue des zones partiellement occultées.</w:t>
            </w:r>
          </w:p>
        </w:tc>
      </w:tr>
    </w:tbl>
    <w:p w14:paraId="2EE020AC" w14:textId="77777777" w:rsidR="00AF2126" w:rsidRPr="00D05C85" w:rsidRDefault="00AF2126" w:rsidP="00AF2126">
      <w:pPr>
        <w:suppressAutoHyphens w:val="0"/>
        <w:kinsoku/>
        <w:overflowPunct/>
        <w:autoSpaceDE/>
        <w:autoSpaceDN/>
        <w:adjustRightInd/>
        <w:snapToGrid/>
        <w:spacing w:after="200" w:line="276" w:lineRule="auto"/>
        <w:rPr>
          <w:rFonts w:eastAsiaTheme="minorEastAsia"/>
          <w:b/>
          <w:bCs/>
          <w:sz w:val="28"/>
          <w:lang w:val="fr-FR"/>
        </w:rPr>
      </w:pPr>
      <w:r w:rsidRPr="00D05C85">
        <w:rPr>
          <w:bCs/>
          <w:lang w:val="fr-FR"/>
        </w:rPr>
        <w:br w:type="page"/>
      </w:r>
    </w:p>
    <w:p w14:paraId="67523E60" w14:textId="77777777" w:rsidR="00AF2126" w:rsidRPr="00D05C85" w:rsidRDefault="00AF2126" w:rsidP="00AF2126">
      <w:pPr>
        <w:pStyle w:val="HChG"/>
        <w:rPr>
          <w:lang w:val="fr-FR"/>
        </w:rPr>
      </w:pPr>
      <w:r w:rsidRPr="00D05C85">
        <w:rPr>
          <w:lang w:val="fr-FR"/>
        </w:rPr>
        <w:lastRenderedPageBreak/>
        <w:t>Annexe 3</w:t>
      </w:r>
    </w:p>
    <w:p w14:paraId="592FC52F" w14:textId="77777777" w:rsidR="00AF2126" w:rsidRPr="00D05C85" w:rsidRDefault="00AF2126" w:rsidP="00AF2126">
      <w:pPr>
        <w:pStyle w:val="HChG"/>
        <w:rPr>
          <w:lang w:val="fr-FR"/>
        </w:rPr>
      </w:pPr>
      <w:r w:rsidRPr="00D05C85">
        <w:rPr>
          <w:lang w:val="fr-FR"/>
        </w:rPr>
        <w:tab/>
      </w:r>
      <w:r w:rsidRPr="00D05C85">
        <w:rPr>
          <w:lang w:val="fr-FR"/>
        </w:rPr>
        <w:tab/>
        <w:t>Répartition normalisée de la lumière</w:t>
      </w:r>
    </w:p>
    <w:p w14:paraId="18AC93E3"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w:t>
      </w:r>
      <w:r w:rsidRPr="00D05C85">
        <w:rPr>
          <w:lang w:val="fr-FR"/>
        </w:rPr>
        <w:tab/>
        <w:t>Sauf indication contraire :</w:t>
      </w:r>
    </w:p>
    <w:p w14:paraId="2FB22FF3" w14:textId="4EC987DA" w:rsidR="00AF2126" w:rsidRPr="00D05C85" w:rsidRDefault="00AF2126" w:rsidP="00AF2126">
      <w:pPr>
        <w:pStyle w:val="SingleTxtG"/>
        <w:tabs>
          <w:tab w:val="left" w:pos="2268"/>
          <w:tab w:val="left" w:pos="2835"/>
        </w:tabs>
        <w:ind w:left="2268" w:hanging="1134"/>
        <w:rPr>
          <w:lang w:val="fr-FR"/>
        </w:rPr>
      </w:pPr>
      <w:r w:rsidRPr="00D05C85">
        <w:rPr>
          <w:lang w:val="fr-FR"/>
        </w:rPr>
        <w:t>1.1</w:t>
      </w:r>
      <w:r w:rsidRPr="00D05C85">
        <w:rPr>
          <w:lang w:val="fr-FR"/>
        </w:rPr>
        <w:tab/>
        <w:t xml:space="preserve">La direction H = 0° </w:t>
      </w:r>
      <w:r w:rsidR="00910B33">
        <w:rPr>
          <w:lang w:val="fr-FR"/>
        </w:rPr>
        <w:t xml:space="preserve">et </w:t>
      </w:r>
      <w:r w:rsidR="005B36F1" w:rsidRPr="00D05C85">
        <w:rPr>
          <w:lang w:val="fr-FR"/>
        </w:rPr>
        <w:t>V</w:t>
      </w:r>
      <w:r w:rsidRPr="00D05C85">
        <w:rPr>
          <w:lang w:val="fr-FR"/>
        </w:rPr>
        <w:t xml:space="preserve"> = 0° correspond à l’axe de référence. Sur le véhicule, elle est horizontale, parallèle au plan longitudinal médian du véhicule </w:t>
      </w:r>
      <w:r w:rsidR="00910B33">
        <w:rPr>
          <w:lang w:val="fr-FR"/>
        </w:rPr>
        <w:t xml:space="preserve">et </w:t>
      </w:r>
      <w:r w:rsidRPr="00D05C85">
        <w:rPr>
          <w:lang w:val="fr-FR"/>
        </w:rPr>
        <w:t>orientée dans le sens de visibilité imposé. Elle passe par le centre de référence. Sauf indication contraire, les valeurs indiquées dans les figures A3-I à A3-XV donnent, pour les diverses directions de mesure, les intensités minimales en pourcentage du minimum exigé.</w:t>
      </w:r>
    </w:p>
    <w:p w14:paraId="61E657DD"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Cependant, dans le cas où l’un des feux suivants doit être installé à une hauteur (mesurée au niveau du plan H indiqué par le fabricant) égale ou inférieure à 750 mm par rapport au sol, l’intensité photométrique est vérifiée seulement jusqu’à un angle de 5° vers le bas :</w:t>
      </w:r>
    </w:p>
    <w:p w14:paraId="5CC5AA47" w14:textId="1A5279E9" w:rsidR="00AF2126" w:rsidRPr="00D05C85" w:rsidRDefault="00AF2126" w:rsidP="00AF2126">
      <w:pPr>
        <w:pStyle w:val="SingleTxtG"/>
        <w:tabs>
          <w:tab w:val="left" w:pos="1701"/>
          <w:tab w:val="left" w:pos="2268"/>
          <w:tab w:val="left" w:pos="2835"/>
        </w:tabs>
        <w:ind w:left="2835"/>
        <w:rPr>
          <w:lang w:val="fr-FR"/>
        </w:rPr>
      </w:pPr>
      <w:r w:rsidRPr="00D05C85">
        <w:rPr>
          <w:lang w:val="fr-FR"/>
        </w:rPr>
        <w:t>a)</w:t>
      </w:r>
      <w:r w:rsidRPr="00D05C85">
        <w:rPr>
          <w:lang w:val="fr-FR"/>
        </w:rPr>
        <w:tab/>
        <w:t xml:space="preserve">Feux indicateurs de direction avant </w:t>
      </w:r>
      <w:r w:rsidR="00910B33">
        <w:rPr>
          <w:lang w:val="fr-FR"/>
        </w:rPr>
        <w:t xml:space="preserve">et </w:t>
      </w:r>
      <w:r w:rsidRPr="00D05C85">
        <w:rPr>
          <w:lang w:val="fr-FR"/>
        </w:rPr>
        <w:t>arrière ;</w:t>
      </w:r>
    </w:p>
    <w:p w14:paraId="26223C56" w14:textId="62A59565" w:rsidR="00AF2126" w:rsidRPr="00D05C85" w:rsidRDefault="00AF2126" w:rsidP="00AF2126">
      <w:pPr>
        <w:pStyle w:val="SingleTxtG"/>
        <w:tabs>
          <w:tab w:val="left" w:pos="1701"/>
          <w:tab w:val="left" w:pos="2268"/>
          <w:tab w:val="left" w:pos="2835"/>
        </w:tabs>
        <w:ind w:left="2835"/>
        <w:rPr>
          <w:lang w:val="fr-FR"/>
        </w:rPr>
      </w:pPr>
      <w:r w:rsidRPr="00D05C85">
        <w:rPr>
          <w:lang w:val="fr-FR"/>
        </w:rPr>
        <w:t>b)</w:t>
      </w:r>
      <w:r w:rsidRPr="00D05C85">
        <w:rPr>
          <w:lang w:val="fr-FR"/>
        </w:rPr>
        <w:tab/>
        <w:t xml:space="preserve">Feux de position avant </w:t>
      </w:r>
      <w:r w:rsidR="00910B33">
        <w:rPr>
          <w:lang w:val="fr-FR"/>
        </w:rPr>
        <w:t xml:space="preserve">et </w:t>
      </w:r>
      <w:r w:rsidRPr="00D05C85">
        <w:rPr>
          <w:lang w:val="fr-FR"/>
        </w:rPr>
        <w:t>arrière ;</w:t>
      </w:r>
    </w:p>
    <w:p w14:paraId="0A718138" w14:textId="7EE10096" w:rsidR="00AF2126" w:rsidRPr="00D05C85" w:rsidRDefault="00AF2126" w:rsidP="00AF2126">
      <w:pPr>
        <w:pStyle w:val="SingleTxtG"/>
        <w:tabs>
          <w:tab w:val="left" w:pos="1701"/>
          <w:tab w:val="left" w:pos="2268"/>
          <w:tab w:val="left" w:pos="2835"/>
        </w:tabs>
        <w:ind w:left="2835"/>
        <w:rPr>
          <w:lang w:val="fr-FR"/>
        </w:rPr>
      </w:pPr>
      <w:r w:rsidRPr="00D05C85">
        <w:rPr>
          <w:lang w:val="fr-FR"/>
        </w:rPr>
        <w:t>c)</w:t>
      </w:r>
      <w:r w:rsidRPr="00D05C85">
        <w:rPr>
          <w:lang w:val="fr-FR"/>
        </w:rPr>
        <w:tab/>
        <w:t xml:space="preserve">Feux d’encombrement avant </w:t>
      </w:r>
      <w:r w:rsidR="00910B33">
        <w:rPr>
          <w:lang w:val="fr-FR"/>
        </w:rPr>
        <w:t xml:space="preserve">et </w:t>
      </w:r>
      <w:r w:rsidRPr="00D05C85">
        <w:rPr>
          <w:lang w:val="fr-FR"/>
        </w:rPr>
        <w:t>arrière ;</w:t>
      </w:r>
    </w:p>
    <w:p w14:paraId="3F76E9E1" w14:textId="77777777" w:rsidR="00AF2126" w:rsidRPr="00D05C85" w:rsidRDefault="00AF2126" w:rsidP="00AF2126">
      <w:pPr>
        <w:pStyle w:val="SingleTxtG"/>
        <w:tabs>
          <w:tab w:val="left" w:pos="1701"/>
          <w:tab w:val="left" w:pos="2268"/>
          <w:tab w:val="left" w:pos="2835"/>
        </w:tabs>
        <w:ind w:left="2835"/>
        <w:rPr>
          <w:lang w:val="fr-FR"/>
        </w:rPr>
      </w:pPr>
      <w:r w:rsidRPr="00D05C85">
        <w:rPr>
          <w:lang w:val="fr-FR"/>
        </w:rPr>
        <w:t>d)</w:t>
      </w:r>
      <w:r w:rsidRPr="00D05C85">
        <w:rPr>
          <w:lang w:val="fr-FR"/>
        </w:rPr>
        <w:tab/>
        <w:t>Feux de stationnement ;</w:t>
      </w:r>
    </w:p>
    <w:p w14:paraId="4FF740D8" w14:textId="745D2C9A" w:rsidR="00AF2126" w:rsidRPr="00D05C85" w:rsidRDefault="00AF2126" w:rsidP="00AF2126">
      <w:pPr>
        <w:pStyle w:val="SingleTxtG"/>
        <w:tabs>
          <w:tab w:val="left" w:pos="1701"/>
          <w:tab w:val="left" w:pos="2268"/>
          <w:tab w:val="left" w:pos="2835"/>
        </w:tabs>
        <w:ind w:left="2835"/>
        <w:rPr>
          <w:lang w:val="fr-FR"/>
        </w:rPr>
      </w:pPr>
      <w:r w:rsidRPr="00D05C85">
        <w:rPr>
          <w:lang w:val="fr-FR"/>
        </w:rPr>
        <w:t>e)</w:t>
      </w:r>
      <w:r w:rsidRPr="00D05C85">
        <w:rPr>
          <w:lang w:val="fr-FR"/>
        </w:rPr>
        <w:tab/>
        <w:t xml:space="preserve">Feux-stop des catégories S1, S2 </w:t>
      </w:r>
      <w:r w:rsidR="00910B33">
        <w:rPr>
          <w:lang w:val="fr-FR"/>
        </w:rPr>
        <w:t xml:space="preserve">et </w:t>
      </w:r>
      <w:r w:rsidRPr="00D05C85">
        <w:rPr>
          <w:lang w:val="fr-FR"/>
        </w:rPr>
        <w:t>MS ;</w:t>
      </w:r>
    </w:p>
    <w:p w14:paraId="5B7F6BB8" w14:textId="119A8603" w:rsidR="00AF2126" w:rsidRPr="00D05C85" w:rsidRDefault="00AF2126" w:rsidP="00AF2126">
      <w:pPr>
        <w:pStyle w:val="SingleTxtG"/>
        <w:tabs>
          <w:tab w:val="left" w:pos="1701"/>
          <w:tab w:val="left" w:pos="2268"/>
          <w:tab w:val="left" w:pos="2835"/>
        </w:tabs>
        <w:ind w:left="2835"/>
        <w:rPr>
          <w:lang w:val="fr-FR"/>
        </w:rPr>
      </w:pPr>
      <w:r w:rsidRPr="00D05C85">
        <w:rPr>
          <w:lang w:val="fr-FR"/>
        </w:rPr>
        <w:t>f)</w:t>
      </w:r>
      <w:r w:rsidRPr="00D05C85">
        <w:rPr>
          <w:lang w:val="fr-FR"/>
        </w:rPr>
        <w:tab/>
        <w:t>Feux de position latéraux</w:t>
      </w:r>
      <w:r w:rsidR="00D05C85">
        <w:rPr>
          <w:lang w:val="fr-FR"/>
        </w:rPr>
        <w:t> ;</w:t>
      </w:r>
    </w:p>
    <w:p w14:paraId="42545619"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1.2</w:t>
      </w:r>
      <w:r w:rsidRPr="00D05C85">
        <w:rPr>
          <w:lang w:val="fr-FR"/>
        </w:rPr>
        <w:tab/>
        <w:t>À l’intérieur du champ de répartition spatiale de la lumière, schématiquement représenté par une grille, la répartition de la lumière devrait être sensiblement uniforme, l’intensité lumineuse dans chaque direction d’une partie du champ délimitée par les lignes de la grille devant au moins atteindre la plus basse valeur minimale (en pourcentage) indiquée sur les lignes de la grille entourant la direction en question.</w:t>
      </w:r>
    </w:p>
    <w:p w14:paraId="3877D845"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Toutefois, lorsqu’à l’examen visuel des feux de marche arrière, un feu semble présenter des variations locales d’intensité importantes, on vérifie qu’aucune intensité mesurée entre deux des directions de mesure citées ci-dessus n’est inférieure à 50 % de l’intensité minimale la plus faible parmi les deux prescrites pour ces directions de mesure.</w:t>
      </w:r>
    </w:p>
    <w:p w14:paraId="68B0AB14"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w:t>
      </w:r>
      <w:r w:rsidRPr="00D05C85">
        <w:rPr>
          <w:lang w:val="fr-FR"/>
        </w:rPr>
        <w:tab/>
        <w:t>Répartition normalisée de la lumière</w:t>
      </w:r>
    </w:p>
    <w:p w14:paraId="5C9FFA34" w14:textId="500C81D3" w:rsidR="00AF2126" w:rsidRPr="00D05C85" w:rsidRDefault="00AF2126" w:rsidP="00AF2126">
      <w:pPr>
        <w:pStyle w:val="SingleTxtG"/>
        <w:tabs>
          <w:tab w:val="left" w:pos="2268"/>
          <w:tab w:val="left" w:pos="2835"/>
        </w:tabs>
        <w:ind w:left="2268" w:hanging="1134"/>
        <w:rPr>
          <w:lang w:val="fr-FR"/>
        </w:rPr>
      </w:pPr>
      <w:bookmarkStart w:id="20" w:name="_Toc473483478"/>
      <w:r w:rsidRPr="00D05C85">
        <w:rPr>
          <w:lang w:val="fr-FR"/>
        </w:rPr>
        <w:t>2.1</w:t>
      </w:r>
      <w:r w:rsidRPr="00D05C85">
        <w:rPr>
          <w:lang w:val="fr-FR"/>
        </w:rPr>
        <w:tab/>
        <w:t xml:space="preserve">Répartition normalisée de la lumière pour les feux de position avant </w:t>
      </w:r>
      <w:r w:rsidR="00910B33">
        <w:rPr>
          <w:lang w:val="fr-FR"/>
        </w:rPr>
        <w:t xml:space="preserve">et </w:t>
      </w:r>
      <w:r w:rsidRPr="00D05C85">
        <w:rPr>
          <w:lang w:val="fr-FR"/>
        </w:rPr>
        <w:t xml:space="preserve">arrière, les feux de stationnement, les feux d’encombrement avant </w:t>
      </w:r>
      <w:r w:rsidR="00910B33">
        <w:rPr>
          <w:lang w:val="fr-FR"/>
        </w:rPr>
        <w:t xml:space="preserve">et </w:t>
      </w:r>
      <w:r w:rsidRPr="00D05C85">
        <w:rPr>
          <w:lang w:val="fr-FR"/>
        </w:rPr>
        <w:t>arrière, les feux</w:t>
      </w:r>
      <w:r w:rsidRPr="00D05C85">
        <w:rPr>
          <w:lang w:val="fr-FR"/>
        </w:rPr>
        <w:noBreakHyphen/>
        <w:t xml:space="preserve">stop (S1, S2 </w:t>
      </w:r>
      <w:r w:rsidR="00910B33">
        <w:rPr>
          <w:lang w:val="fr-FR"/>
        </w:rPr>
        <w:t xml:space="preserve">et </w:t>
      </w:r>
      <w:r w:rsidRPr="00D05C85">
        <w:rPr>
          <w:lang w:val="fr-FR"/>
        </w:rPr>
        <w:t xml:space="preserve">MS) </w:t>
      </w:r>
      <w:r w:rsidR="00910B33">
        <w:rPr>
          <w:lang w:val="fr-FR"/>
        </w:rPr>
        <w:t xml:space="preserve">et </w:t>
      </w:r>
      <w:r w:rsidRPr="00D05C85">
        <w:rPr>
          <w:lang w:val="fr-FR"/>
        </w:rPr>
        <w:t xml:space="preserve">les feux indicateurs de direction des catégories 1, 1a, 1b, 2a, 2b, 11, 11a, 11b, 11c </w:t>
      </w:r>
      <w:r w:rsidR="00910B33">
        <w:rPr>
          <w:lang w:val="fr-FR"/>
        </w:rPr>
        <w:t xml:space="preserve">et </w:t>
      </w:r>
      <w:r w:rsidRPr="00D05C85">
        <w:rPr>
          <w:lang w:val="fr-FR"/>
        </w:rPr>
        <w:t>12</w:t>
      </w:r>
      <w:bookmarkEnd w:id="20"/>
      <w:r w:rsidRPr="00D05C85">
        <w:rPr>
          <w:lang w:val="fr-FR"/>
        </w:rPr>
        <w:t>.</w:t>
      </w:r>
    </w:p>
    <w:p w14:paraId="004E71DD" w14:textId="69C381D2" w:rsidR="00AF2126" w:rsidRPr="00D05C85" w:rsidRDefault="00AF2126" w:rsidP="00AF2126">
      <w:pPr>
        <w:pStyle w:val="SingleTxtG"/>
        <w:tabs>
          <w:tab w:val="left" w:pos="1701"/>
          <w:tab w:val="left" w:pos="2268"/>
          <w:tab w:val="left" w:pos="2835"/>
        </w:tabs>
        <w:ind w:left="2268"/>
        <w:rPr>
          <w:lang w:val="fr-FR"/>
        </w:rPr>
      </w:pPr>
      <w:r w:rsidRPr="00D05C85">
        <w:rPr>
          <w:lang w:val="fr-FR"/>
        </w:rPr>
        <w:t xml:space="preserve">Les valeurs indiquées donnent, pour les diverses directions de mesure, l’intensité minimale en pourcentage de l’intensité minimale exigée (voir les tableaux 3, 4, 5, 7 </w:t>
      </w:r>
      <w:r w:rsidR="00910B33">
        <w:rPr>
          <w:lang w:val="fr-FR"/>
        </w:rPr>
        <w:t xml:space="preserve">et </w:t>
      </w:r>
      <w:r w:rsidRPr="00D05C85">
        <w:rPr>
          <w:lang w:val="fr-FR"/>
        </w:rPr>
        <w:t>8).</w:t>
      </w:r>
    </w:p>
    <w:p w14:paraId="5C72DE03" w14:textId="77777777" w:rsidR="00AF2126" w:rsidRPr="00D05C85" w:rsidRDefault="00AF2126" w:rsidP="00AF2126">
      <w:pPr>
        <w:suppressAutoHyphens w:val="0"/>
        <w:spacing w:line="240" w:lineRule="auto"/>
        <w:rPr>
          <w:lang w:val="fr-FR"/>
        </w:rPr>
      </w:pPr>
      <w:r w:rsidRPr="00D05C85">
        <w:rPr>
          <w:lang w:val="fr-FR"/>
        </w:rPr>
        <w:br w:type="page"/>
      </w:r>
    </w:p>
    <w:p w14:paraId="3DBBF1CF" w14:textId="4A36452E" w:rsidR="00AF2126" w:rsidRPr="00D05C85" w:rsidRDefault="00AF2126" w:rsidP="00AF2126">
      <w:pPr>
        <w:pStyle w:val="Titre1"/>
        <w:tabs>
          <w:tab w:val="left" w:pos="1701"/>
          <w:tab w:val="left" w:pos="2268"/>
          <w:tab w:val="left" w:pos="2835"/>
        </w:tabs>
        <w:spacing w:after="120"/>
        <w:rPr>
          <w:lang w:val="fr-FR"/>
        </w:rPr>
      </w:pPr>
      <w:r w:rsidRPr="00D05C85">
        <w:rPr>
          <w:lang w:val="fr-FR"/>
        </w:rPr>
        <w:lastRenderedPageBreak/>
        <w:t>Figure A3-I</w:t>
      </w:r>
      <w:r w:rsidRPr="00D05C85">
        <w:rPr>
          <w:lang w:val="fr-FR"/>
        </w:rPr>
        <w:br/>
      </w:r>
      <w:r w:rsidRPr="00D05C85">
        <w:rPr>
          <w:b/>
          <w:bCs/>
          <w:lang w:val="fr-FR"/>
        </w:rPr>
        <w:t xml:space="preserve">Répartition normalisée de la lumière pour les feux de position avant </w:t>
      </w:r>
      <w:r w:rsidR="00910B33">
        <w:rPr>
          <w:b/>
          <w:bCs/>
          <w:lang w:val="fr-FR"/>
        </w:rPr>
        <w:t xml:space="preserve">et </w:t>
      </w:r>
      <w:r w:rsidRPr="00D05C85">
        <w:rPr>
          <w:b/>
          <w:bCs/>
          <w:lang w:val="fr-FR"/>
        </w:rPr>
        <w:t xml:space="preserve">arrière, les feux de stationnement, les feux d’encombrement, les feux-stop </w:t>
      </w:r>
      <w:r w:rsidR="00910B33">
        <w:rPr>
          <w:b/>
          <w:bCs/>
          <w:lang w:val="fr-FR"/>
        </w:rPr>
        <w:t xml:space="preserve">et </w:t>
      </w:r>
      <w:r w:rsidRPr="00D05C85">
        <w:rPr>
          <w:b/>
          <w:bCs/>
          <w:lang w:val="fr-FR"/>
        </w:rPr>
        <w:t>les feux indicateurs de direction</w:t>
      </w:r>
    </w:p>
    <w:p w14:paraId="6E385675" w14:textId="77777777" w:rsidR="00AF2126" w:rsidRPr="00D05C85" w:rsidRDefault="00AF2126" w:rsidP="00AF2126">
      <w:pPr>
        <w:pStyle w:val="SingleTxtG"/>
        <w:rPr>
          <w:lang w:val="fr-FR"/>
        </w:rPr>
      </w:pPr>
      <w:r w:rsidRPr="00D05C85">
        <w:rPr>
          <w:noProof/>
          <w:lang w:val="fr-FR" w:eastAsia="en-GB"/>
        </w:rPr>
        <w:drawing>
          <wp:inline distT="0" distB="0" distL="0" distR="0" wp14:anchorId="18EAE9DE" wp14:editId="071A9915">
            <wp:extent cx="5400000" cy="3096716"/>
            <wp:effectExtent l="0" t="0" r="0" b="8890"/>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5400000" cy="3096716"/>
                    </a:xfrm>
                    <a:prstGeom prst="rect">
                      <a:avLst/>
                    </a:prstGeom>
                    <a:noFill/>
                    <a:ln>
                      <a:noFill/>
                      <a:prstDash/>
                    </a:ln>
                  </pic:spPr>
                </pic:pic>
              </a:graphicData>
            </a:graphic>
          </wp:inline>
        </w:drawing>
      </w:r>
    </w:p>
    <w:p w14:paraId="0259B28E"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2.2</w:t>
      </w:r>
      <w:r w:rsidRPr="00D05C85">
        <w:rPr>
          <w:lang w:val="fr-FR"/>
        </w:rPr>
        <w:tab/>
        <w:t>Répartition normalisée de la lumière pour les feux de circulation diurne</w:t>
      </w:r>
    </w:p>
    <w:p w14:paraId="4623A25D"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Les valeurs indiquées donnent, pour les diverses directions de mesure, l’intensité minimale en pourcentage de l’intensité minimale exigée (voir le tableau 6).</w:t>
      </w:r>
    </w:p>
    <w:p w14:paraId="6018AD24"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A3-II</w:t>
      </w:r>
      <w:r w:rsidRPr="00D05C85">
        <w:rPr>
          <w:lang w:val="fr-FR"/>
        </w:rPr>
        <w:br/>
      </w:r>
      <w:r w:rsidRPr="00D05C85">
        <w:rPr>
          <w:b/>
          <w:bCs/>
          <w:lang w:val="fr-FR"/>
        </w:rPr>
        <w:t>Répartition de la lumière pour les feux de circulation diurne</w:t>
      </w:r>
    </w:p>
    <w:p w14:paraId="2DB72960" w14:textId="77777777" w:rsidR="00AF2126" w:rsidRPr="00D05C85" w:rsidRDefault="00AF2126" w:rsidP="00AF2126">
      <w:pPr>
        <w:pStyle w:val="SingleTxtG"/>
        <w:ind w:left="851"/>
        <w:rPr>
          <w:lang w:val="fr-FR"/>
        </w:rPr>
      </w:pPr>
      <w:r w:rsidRPr="00D05C85">
        <w:rPr>
          <w:noProof/>
          <w:lang w:val="fr-FR"/>
        </w:rPr>
        <w:drawing>
          <wp:inline distT="0" distB="0" distL="0" distR="0" wp14:anchorId="226F6D48" wp14:editId="27C034E8">
            <wp:extent cx="5400000" cy="2751731"/>
            <wp:effectExtent l="0" t="0" r="0" b="0"/>
            <wp:docPr id="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0" cy="2751731"/>
                    </a:xfrm>
                    <a:prstGeom prst="rect">
                      <a:avLst/>
                    </a:prstGeom>
                    <a:noFill/>
                  </pic:spPr>
                </pic:pic>
              </a:graphicData>
            </a:graphic>
          </wp:inline>
        </w:drawing>
      </w:r>
    </w:p>
    <w:p w14:paraId="66BB25E8" w14:textId="77777777" w:rsidR="00AF2126" w:rsidRPr="00D05C85" w:rsidRDefault="00AF2126" w:rsidP="00AF2126">
      <w:pPr>
        <w:suppressAutoHyphens w:val="0"/>
        <w:spacing w:line="240" w:lineRule="auto"/>
        <w:rPr>
          <w:lang w:val="fr-FR"/>
        </w:rPr>
      </w:pPr>
      <w:r w:rsidRPr="00D05C85">
        <w:rPr>
          <w:lang w:val="fr-FR"/>
        </w:rPr>
        <w:br w:type="page"/>
      </w:r>
    </w:p>
    <w:p w14:paraId="34AA33E9" w14:textId="314B57AB" w:rsidR="00AF2126" w:rsidRPr="00D05C85" w:rsidRDefault="00AF2126" w:rsidP="00AF2126">
      <w:pPr>
        <w:pStyle w:val="SingleTxtG"/>
        <w:tabs>
          <w:tab w:val="left" w:pos="2268"/>
          <w:tab w:val="left" w:pos="2835"/>
        </w:tabs>
        <w:ind w:left="2268" w:hanging="1134"/>
        <w:rPr>
          <w:lang w:val="fr-FR"/>
        </w:rPr>
      </w:pPr>
      <w:bookmarkStart w:id="21" w:name="_Toc341175218"/>
      <w:bookmarkStart w:id="22" w:name="_Toc473483479"/>
      <w:r w:rsidRPr="00D05C85">
        <w:rPr>
          <w:lang w:val="fr-FR"/>
        </w:rPr>
        <w:lastRenderedPageBreak/>
        <w:t>2.3</w:t>
      </w:r>
      <w:r w:rsidRPr="00D05C85">
        <w:rPr>
          <w:lang w:val="fr-FR"/>
        </w:rPr>
        <w:tab/>
        <w:t xml:space="preserve">Répartition normalisée de la lumière pour les feux-stop des catégories S3 </w:t>
      </w:r>
      <w:r w:rsidR="00910B33">
        <w:rPr>
          <w:lang w:val="fr-FR"/>
        </w:rPr>
        <w:t xml:space="preserve">et </w:t>
      </w:r>
      <w:r w:rsidRPr="00D05C85">
        <w:rPr>
          <w:lang w:val="fr-FR"/>
        </w:rPr>
        <w:t>S4</w:t>
      </w:r>
      <w:bookmarkEnd w:id="21"/>
      <w:bookmarkEnd w:id="22"/>
    </w:p>
    <w:p w14:paraId="00964A70"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Les valeurs indiquées donnent, pour les diverses directions de mesure, l’intensité minimale en pourcentage de l’intensité minimale exigée (voir le tableau 7).</w:t>
      </w:r>
    </w:p>
    <w:p w14:paraId="20B26788" w14:textId="6B80E7A8" w:rsidR="00AF2126" w:rsidRPr="00D05C85" w:rsidRDefault="00AF2126" w:rsidP="00AF2126">
      <w:pPr>
        <w:pStyle w:val="Titre1"/>
        <w:tabs>
          <w:tab w:val="left" w:pos="1701"/>
          <w:tab w:val="left" w:pos="2268"/>
          <w:tab w:val="left" w:pos="2835"/>
        </w:tabs>
        <w:spacing w:after="120"/>
        <w:rPr>
          <w:lang w:val="fr-FR" w:eastAsia="de-DE"/>
        </w:rPr>
      </w:pPr>
      <w:r w:rsidRPr="00D05C85">
        <w:rPr>
          <w:lang w:val="fr-FR"/>
        </w:rPr>
        <w:t>Figure A3-III</w:t>
      </w:r>
      <w:r w:rsidRPr="00D05C85">
        <w:rPr>
          <w:lang w:val="fr-FR"/>
        </w:rPr>
        <w:br/>
      </w:r>
      <w:r w:rsidRPr="00D05C85">
        <w:rPr>
          <w:b/>
          <w:bCs/>
          <w:lang w:val="fr-FR"/>
        </w:rPr>
        <w:t xml:space="preserve">Répartition de la lumière pour les feux-stop des catégories S3 </w:t>
      </w:r>
      <w:r w:rsidR="00910B33">
        <w:rPr>
          <w:b/>
          <w:bCs/>
          <w:lang w:val="fr-FR"/>
        </w:rPr>
        <w:t xml:space="preserve">et </w:t>
      </w:r>
      <w:r w:rsidRPr="00D05C85">
        <w:rPr>
          <w:b/>
          <w:bCs/>
          <w:lang w:val="fr-FR"/>
        </w:rPr>
        <w:t>S4</w:t>
      </w:r>
    </w:p>
    <w:p w14:paraId="773A92C3" w14:textId="77777777" w:rsidR="00AF2126" w:rsidRPr="00D05C85" w:rsidRDefault="00AF2126" w:rsidP="00AF2126">
      <w:pPr>
        <w:pStyle w:val="SingleTxtG"/>
        <w:keepNext/>
        <w:keepLines/>
        <w:rPr>
          <w:lang w:val="fr-FR" w:eastAsia="de-DE"/>
        </w:rPr>
      </w:pPr>
      <w:r w:rsidRPr="00D05C85">
        <w:rPr>
          <w:noProof/>
          <w:lang w:val="fr-FR" w:eastAsia="de-DE"/>
        </w:rPr>
        <w:drawing>
          <wp:inline distT="0" distB="0" distL="0" distR="0" wp14:anchorId="13BA6247" wp14:editId="705907E5">
            <wp:extent cx="2995683" cy="2492032"/>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8685" cy="2511167"/>
                    </a:xfrm>
                    <a:prstGeom prst="rect">
                      <a:avLst/>
                    </a:prstGeom>
                    <a:noFill/>
                  </pic:spPr>
                </pic:pic>
              </a:graphicData>
            </a:graphic>
          </wp:inline>
        </w:drawing>
      </w:r>
    </w:p>
    <w:p w14:paraId="1D1D3DB0" w14:textId="77777777" w:rsidR="00AF2126" w:rsidRPr="00D05C85" w:rsidRDefault="00AF2126" w:rsidP="00AF2126">
      <w:pPr>
        <w:pStyle w:val="SingleTxtG"/>
        <w:tabs>
          <w:tab w:val="left" w:pos="2268"/>
          <w:tab w:val="left" w:pos="2835"/>
        </w:tabs>
        <w:ind w:left="2268" w:hanging="1134"/>
        <w:rPr>
          <w:lang w:val="fr-FR"/>
        </w:rPr>
      </w:pPr>
      <w:bookmarkStart w:id="23" w:name="_Toc488764033"/>
      <w:r w:rsidRPr="00D05C85">
        <w:rPr>
          <w:lang w:val="fr-FR"/>
        </w:rPr>
        <w:t>2.4</w:t>
      </w:r>
      <w:r w:rsidRPr="00D05C85">
        <w:rPr>
          <w:lang w:val="fr-FR"/>
        </w:rPr>
        <w:tab/>
        <w:t>Répartition normalisée de la lumière pour les feux indicateurs de direction de la catégorie 6</w:t>
      </w:r>
      <w:bookmarkEnd w:id="23"/>
    </w:p>
    <w:p w14:paraId="05D447F5" w14:textId="0BB66654" w:rsidR="00AF2126" w:rsidRPr="00D05C85" w:rsidRDefault="00AF2126" w:rsidP="00AF2126">
      <w:pPr>
        <w:pStyle w:val="SingleTxtG"/>
        <w:tabs>
          <w:tab w:val="left" w:pos="1701"/>
          <w:tab w:val="left" w:pos="2268"/>
          <w:tab w:val="left" w:pos="2835"/>
        </w:tabs>
        <w:ind w:left="2268"/>
        <w:rPr>
          <w:lang w:val="fr-FR"/>
        </w:rPr>
      </w:pPr>
      <w:bookmarkStart w:id="24" w:name="_Toc473483482"/>
      <w:bookmarkStart w:id="25" w:name="_Toc488764034"/>
      <w:r w:rsidRPr="00D05C85">
        <w:rPr>
          <w:lang w:val="fr-FR"/>
        </w:rPr>
        <w:t xml:space="preserve">La direction H = 5° </w:t>
      </w:r>
      <w:r w:rsidR="00910B33">
        <w:rPr>
          <w:lang w:val="fr-FR"/>
        </w:rPr>
        <w:t xml:space="preserve">et </w:t>
      </w:r>
      <w:r w:rsidR="005B36F1" w:rsidRPr="00D05C85">
        <w:rPr>
          <w:lang w:val="fr-FR"/>
        </w:rPr>
        <w:t>V</w:t>
      </w:r>
      <w:r w:rsidRPr="00D05C85">
        <w:rPr>
          <w:lang w:val="fr-FR"/>
        </w:rPr>
        <w:t xml:space="preserve"> = 0° correspond à la valeur minimale prescrite dans le tableau 8.</w:t>
      </w:r>
      <w:bookmarkEnd w:id="24"/>
      <w:bookmarkEnd w:id="25"/>
    </w:p>
    <w:p w14:paraId="3BD92C44"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Les valeurs indiquées donnent, pour les diverses directions de mesure, l’intensité minimale en pourcentage de l’intensité minimale exigée (voir le tableau 8).</w:t>
      </w:r>
    </w:p>
    <w:p w14:paraId="1583F144"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A3-IV</w:t>
      </w:r>
      <w:r w:rsidRPr="00D05C85">
        <w:rPr>
          <w:lang w:val="fr-FR"/>
        </w:rPr>
        <w:br/>
      </w:r>
      <w:r w:rsidRPr="00D05C85">
        <w:rPr>
          <w:b/>
          <w:bCs/>
          <w:lang w:val="fr-FR"/>
        </w:rPr>
        <w:t>Répartition de la lumière pour les feux indicateurs de direction de la catégorie 6</w:t>
      </w:r>
    </w:p>
    <w:p w14:paraId="01CB78E7" w14:textId="77777777" w:rsidR="00AF2126" w:rsidRPr="00D05C85" w:rsidRDefault="00AF2126" w:rsidP="00AF2126">
      <w:pPr>
        <w:spacing w:before="120" w:after="120"/>
        <w:jc w:val="center"/>
        <w:rPr>
          <w:lang w:val="fr-FR"/>
        </w:rPr>
      </w:pPr>
      <w:r w:rsidRPr="00D05C85">
        <w:rPr>
          <w:noProof/>
          <w:lang w:val="fr-FR"/>
        </w:rPr>
        <w:drawing>
          <wp:inline distT="0" distB="0" distL="0" distR="0" wp14:anchorId="2290CEAF" wp14:editId="2855D808">
            <wp:extent cx="4981575" cy="2811774"/>
            <wp:effectExtent l="0" t="0" r="0" b="825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98199" cy="2821157"/>
                    </a:xfrm>
                    <a:prstGeom prst="rect">
                      <a:avLst/>
                    </a:prstGeom>
                    <a:noFill/>
                  </pic:spPr>
                </pic:pic>
              </a:graphicData>
            </a:graphic>
          </wp:inline>
        </w:drawing>
      </w:r>
    </w:p>
    <w:p w14:paraId="75E9D60F" w14:textId="77777777" w:rsidR="00AF2126" w:rsidRPr="00D05C85" w:rsidRDefault="00AF2126" w:rsidP="00AF2126">
      <w:pPr>
        <w:pStyle w:val="SingleTxtG"/>
        <w:spacing w:before="120"/>
        <w:ind w:left="2268" w:hanging="1134"/>
        <w:rPr>
          <w:lang w:val="fr-FR"/>
        </w:rPr>
      </w:pPr>
      <w:r w:rsidRPr="00D05C85">
        <w:rPr>
          <w:lang w:val="fr-FR"/>
        </w:rPr>
        <w:t>(bord extérieur du véhicule)</w:t>
      </w:r>
    </w:p>
    <w:p w14:paraId="26C5FABC" w14:textId="77777777" w:rsidR="00AF2126" w:rsidRPr="00D05C85" w:rsidRDefault="00AF2126" w:rsidP="00AF2126">
      <w:pPr>
        <w:pStyle w:val="SingleTxtG"/>
        <w:keepNext/>
        <w:tabs>
          <w:tab w:val="left" w:pos="2268"/>
          <w:tab w:val="left" w:pos="2835"/>
        </w:tabs>
        <w:ind w:left="2268" w:hanging="1134"/>
        <w:rPr>
          <w:lang w:val="fr-FR"/>
        </w:rPr>
      </w:pPr>
      <w:r w:rsidRPr="00D05C85">
        <w:rPr>
          <w:lang w:val="fr-FR"/>
        </w:rPr>
        <w:lastRenderedPageBreak/>
        <w:t>2.5</w:t>
      </w:r>
      <w:r w:rsidRPr="00D05C85">
        <w:rPr>
          <w:lang w:val="fr-FR"/>
        </w:rPr>
        <w:tab/>
        <w:t>Répartition normalisée de la lumière pour les feux de marche arrière</w:t>
      </w:r>
    </w:p>
    <w:p w14:paraId="1430BD77" w14:textId="28386E68" w:rsidR="00AF2126" w:rsidRPr="00D05C85" w:rsidRDefault="00AF2126" w:rsidP="00AF2126">
      <w:pPr>
        <w:pStyle w:val="SingleTxtG"/>
        <w:keepNext/>
        <w:tabs>
          <w:tab w:val="left" w:pos="1701"/>
          <w:tab w:val="left" w:pos="2268"/>
          <w:tab w:val="left" w:pos="2835"/>
        </w:tabs>
        <w:ind w:left="2268"/>
        <w:rPr>
          <w:lang w:val="fr-FR"/>
        </w:rPr>
      </w:pPr>
      <w:r w:rsidRPr="00D05C85">
        <w:rPr>
          <w:lang w:val="fr-FR"/>
        </w:rPr>
        <w:t xml:space="preserve">Points de mesure exprimés en degrés par rapport à l’axe de référence </w:t>
      </w:r>
      <w:r w:rsidR="00910B33">
        <w:rPr>
          <w:lang w:val="fr-FR"/>
        </w:rPr>
        <w:t xml:space="preserve">et </w:t>
      </w:r>
      <w:r w:rsidRPr="00D05C85">
        <w:rPr>
          <w:lang w:val="fr-FR"/>
        </w:rPr>
        <w:t>valeurs des intensités lumineuses minimales émises.</w:t>
      </w:r>
    </w:p>
    <w:p w14:paraId="2CE1366E"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A3-V</w:t>
      </w:r>
      <w:r w:rsidRPr="00D05C85">
        <w:rPr>
          <w:lang w:val="fr-FR"/>
        </w:rPr>
        <w:br/>
      </w:r>
      <w:bookmarkStart w:id="26" w:name="_Toc488764035"/>
      <w:r w:rsidRPr="00D05C85">
        <w:rPr>
          <w:b/>
          <w:bCs/>
          <w:lang w:val="fr-FR"/>
        </w:rPr>
        <w:t>Répartition de la lumière pour les feux de marche arrière</w:t>
      </w:r>
      <w:bookmarkEnd w:id="26"/>
    </w:p>
    <w:p w14:paraId="56F1D647" w14:textId="77777777" w:rsidR="00AF2126" w:rsidRPr="00D05C85" w:rsidRDefault="00AF2126" w:rsidP="00AF2126">
      <w:pPr>
        <w:pStyle w:val="SingleTxtG"/>
        <w:keepNext/>
        <w:keepLines/>
        <w:ind w:left="2259" w:hanging="1125"/>
        <w:rPr>
          <w:lang w:val="fr-FR"/>
        </w:rPr>
      </w:pPr>
      <w:r w:rsidRPr="00D05C85">
        <w:rPr>
          <w:noProof/>
          <w:lang w:val="fr-FR"/>
        </w:rPr>
        <w:drawing>
          <wp:inline distT="0" distB="0" distL="0" distR="0" wp14:anchorId="004D7730" wp14:editId="36E21C78">
            <wp:extent cx="5400000" cy="2390021"/>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2390021"/>
                    </a:xfrm>
                    <a:prstGeom prst="rect">
                      <a:avLst/>
                    </a:prstGeom>
                    <a:noFill/>
                  </pic:spPr>
                </pic:pic>
              </a:graphicData>
            </a:graphic>
          </wp:inline>
        </w:drawing>
      </w:r>
    </w:p>
    <w:p w14:paraId="16B6441A"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Les valeurs indiquées dans la figure A3-V sont exprimées en cd.</w:t>
      </w:r>
    </w:p>
    <w:p w14:paraId="695F58E8" w14:textId="798BF80E" w:rsidR="00AF2126" w:rsidRPr="00D05C85" w:rsidRDefault="00AF2126" w:rsidP="00AF2126">
      <w:pPr>
        <w:pStyle w:val="SingleTxtG"/>
        <w:tabs>
          <w:tab w:val="left" w:pos="1701"/>
          <w:tab w:val="left" w:pos="2268"/>
          <w:tab w:val="left" w:pos="2835"/>
        </w:tabs>
        <w:ind w:left="2268"/>
        <w:rPr>
          <w:lang w:val="fr-FR"/>
        </w:rPr>
      </w:pPr>
      <w:r w:rsidRPr="00D05C85">
        <w:rPr>
          <w:lang w:val="fr-FR"/>
        </w:rPr>
        <w:t xml:space="preserve">La direction H = 0° </w:t>
      </w:r>
      <w:r w:rsidR="00910B33">
        <w:rPr>
          <w:lang w:val="fr-FR"/>
        </w:rPr>
        <w:t xml:space="preserve">et </w:t>
      </w:r>
      <w:r w:rsidR="005B36F1" w:rsidRPr="00D05C85">
        <w:rPr>
          <w:lang w:val="fr-FR"/>
        </w:rPr>
        <w:t>V</w:t>
      </w:r>
      <w:r w:rsidRPr="00D05C85">
        <w:rPr>
          <w:lang w:val="fr-FR"/>
        </w:rPr>
        <w:t xml:space="preserve"> = 0° correspond à l’axe de référence. Sur le véhicule, elle est horizontale, parallèle au plan longitudinal médian du véhicule </w:t>
      </w:r>
      <w:r w:rsidR="00910B33">
        <w:rPr>
          <w:lang w:val="fr-FR"/>
        </w:rPr>
        <w:t xml:space="preserve">et </w:t>
      </w:r>
      <w:r w:rsidRPr="00D05C85">
        <w:rPr>
          <w:lang w:val="fr-FR"/>
        </w:rPr>
        <w:t>orientée dans le sens de visibilité imposé. Elle passe par le centre de référence. Les valeurs indiquées dans la figure A3-V donnent, pour les diverses directions de mesure, les intensités minimales en cd.</w:t>
      </w:r>
    </w:p>
    <w:p w14:paraId="09E2B6B8"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2.6</w:t>
      </w:r>
      <w:r w:rsidRPr="00D05C85">
        <w:rPr>
          <w:lang w:val="fr-FR"/>
        </w:rPr>
        <w:tab/>
        <w:t>Répartition normalisée de la lumière pour les feux de brouillard arrière</w:t>
      </w:r>
    </w:p>
    <w:p w14:paraId="59885CAD"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A3-VI</w:t>
      </w:r>
      <w:r w:rsidRPr="00D05C85">
        <w:rPr>
          <w:lang w:val="fr-FR"/>
        </w:rPr>
        <w:br/>
      </w:r>
      <w:r w:rsidRPr="00D05C85">
        <w:rPr>
          <w:b/>
          <w:bCs/>
          <w:lang w:val="fr-FR"/>
        </w:rPr>
        <w:t>Répartition de la lumière pour les feux de brouillard arrière</w:t>
      </w:r>
    </w:p>
    <w:p w14:paraId="5F583CA7" w14:textId="77777777" w:rsidR="00AF2126" w:rsidRPr="00D05C85" w:rsidRDefault="00AF2126" w:rsidP="00AF2126">
      <w:pPr>
        <w:pStyle w:val="SingleTxtG"/>
        <w:spacing w:before="120"/>
        <w:rPr>
          <w:lang w:val="fr-FR"/>
        </w:rPr>
      </w:pPr>
      <w:r w:rsidRPr="00D05C85">
        <w:rPr>
          <w:noProof/>
          <w:lang w:val="fr-FR" w:eastAsia="en-GB"/>
        </w:rPr>
        <mc:AlternateContent>
          <mc:Choice Requires="wpg">
            <w:drawing>
              <wp:inline distT="0" distB="0" distL="0" distR="0" wp14:anchorId="1B6AEBA2" wp14:editId="6FDE6503">
                <wp:extent cx="3886268"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68" cy="2423795"/>
                          <a:chOff x="0" y="0"/>
                          <a:chExt cx="39709"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3794" cy="3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51B3F" w14:textId="77777777" w:rsidR="00AF2126" w:rsidRPr="00B34108" w:rsidRDefault="00AF2126" w:rsidP="00AF2126">
                              <w:pPr>
                                <w:pStyle w:val="NormalWeb"/>
                                <w:spacing w:before="0" w:after="0"/>
                                <w:jc w:val="center"/>
                                <w:rPr>
                                  <w:sz w:val="20"/>
                                  <w:szCs w:val="20"/>
                                </w:rPr>
                              </w:pPr>
                              <w:r w:rsidRPr="00B34108">
                                <w:rPr>
                                  <w:b/>
                                  <w:bCs/>
                                  <w:sz w:val="20"/>
                                  <w:szCs w:val="20"/>
                                  <w:lang w:val="fr-FR"/>
                                </w:rPr>
                                <w:t>1,50∙10</w:t>
                              </w:r>
                              <w:r w:rsidRPr="00B34108">
                                <w:rPr>
                                  <w:b/>
                                  <w:bCs/>
                                  <w:sz w:val="20"/>
                                  <w:szCs w:val="20"/>
                                  <w:vertAlign w:val="superscript"/>
                                  <w:lang w:val="fr-FR"/>
                                </w:rPr>
                                <w:t>2</w:t>
                              </w:r>
                              <w:r w:rsidRPr="00B34108">
                                <w:rPr>
                                  <w:b/>
                                  <w:bCs/>
                                  <w:sz w:val="20"/>
                                  <w:szCs w:val="20"/>
                                  <w:lang w:val="fr-FR"/>
                                </w:rPr>
                                <w:t xml:space="preserve"> cd minimum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182" y="16676"/>
                            <a:ext cx="12862" cy="31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3118F" w14:textId="77777777" w:rsidR="00AF2126" w:rsidRPr="00B34108" w:rsidRDefault="00AF2126" w:rsidP="00AF2126">
                              <w:pPr>
                                <w:pStyle w:val="NormalWeb"/>
                                <w:spacing w:before="0" w:after="0"/>
                                <w:jc w:val="center"/>
                                <w:rPr>
                                  <w:sz w:val="20"/>
                                  <w:szCs w:val="20"/>
                                </w:rPr>
                              </w:pPr>
                              <w:r w:rsidRPr="00B34108">
                                <w:rPr>
                                  <w:b/>
                                  <w:bCs/>
                                  <w:sz w:val="20"/>
                                  <w:szCs w:val="20"/>
                                  <w:lang w:val="fr-FR"/>
                                </w:rPr>
                                <w:t>7,5∙10</w:t>
                              </w:r>
                              <w:r w:rsidRPr="00B34108">
                                <w:rPr>
                                  <w:b/>
                                  <w:bCs/>
                                  <w:sz w:val="20"/>
                                  <w:szCs w:val="20"/>
                                  <w:vertAlign w:val="superscript"/>
                                  <w:lang w:val="fr-FR"/>
                                </w:rPr>
                                <w:t>1</w:t>
                              </w:r>
                              <w:r w:rsidRPr="00B34108">
                                <w:rPr>
                                  <w:b/>
                                  <w:bCs/>
                                  <w:sz w:val="20"/>
                                  <w:szCs w:val="20"/>
                                  <w:lang w:val="fr-FR"/>
                                </w:rPr>
                                <w:t xml:space="preserve"> cd minimum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CFBD5" w14:textId="77777777" w:rsidR="00AF2126" w:rsidRPr="00B34108" w:rsidRDefault="00AF2126" w:rsidP="00AF2126">
                              <w:pPr>
                                <w:pStyle w:val="NormalWeb"/>
                                <w:spacing w:before="0" w:after="0"/>
                                <w:jc w:val="center"/>
                                <w:rPr>
                                  <w:sz w:val="20"/>
                                  <w:szCs w:val="20"/>
                                </w:rPr>
                              </w:pPr>
                              <w:r w:rsidRPr="00B34108">
                                <w:rPr>
                                  <w:b/>
                                  <w:bCs/>
                                  <w:sz w:val="20"/>
                                  <w:szCs w:val="20"/>
                                  <w:lang w:val="fr-FR"/>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A7254" w14:textId="77777777" w:rsidR="00AF2126" w:rsidRPr="00B34108" w:rsidRDefault="00AF2126" w:rsidP="00AF2126">
                              <w:pPr>
                                <w:pStyle w:val="NormalWeb"/>
                                <w:spacing w:before="0" w:after="0"/>
                                <w:jc w:val="center"/>
                                <w:rPr>
                                  <w:sz w:val="20"/>
                                  <w:szCs w:val="20"/>
                                </w:rPr>
                              </w:pPr>
                              <w:r w:rsidRPr="00B34108">
                                <w:rPr>
                                  <w:sz w:val="20"/>
                                  <w:szCs w:val="20"/>
                                  <w:lang w:val="fr-FR"/>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99A50" w14:textId="77777777" w:rsidR="00AF2126" w:rsidRPr="00B34108" w:rsidRDefault="00AF2126" w:rsidP="00AF2126">
                              <w:pPr>
                                <w:pStyle w:val="NormalWeb"/>
                                <w:spacing w:before="0" w:after="0"/>
                                <w:jc w:val="center"/>
                                <w:rPr>
                                  <w:sz w:val="20"/>
                                  <w:szCs w:val="20"/>
                                </w:rPr>
                              </w:pPr>
                              <w:r w:rsidRPr="00B34108">
                                <w:rPr>
                                  <w:sz w:val="20"/>
                                  <w:szCs w:val="20"/>
                                  <w:lang w:val="fr-FR"/>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689"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7AAD8" w14:textId="77777777" w:rsidR="00AF2126" w:rsidRPr="00B34108" w:rsidRDefault="00AF2126" w:rsidP="00AF2126">
                              <w:pPr>
                                <w:pStyle w:val="NormalWeb"/>
                                <w:spacing w:before="0" w:after="0"/>
                                <w:jc w:val="center"/>
                                <w:rPr>
                                  <w:sz w:val="20"/>
                                  <w:szCs w:val="20"/>
                                </w:rPr>
                              </w:pPr>
                              <w:r w:rsidRPr="00B34108">
                                <w:rPr>
                                  <w:sz w:val="20"/>
                                  <w:szCs w:val="20"/>
                                  <w:lang w:val="fr-FR"/>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2" y="16570"/>
                            <a:ext cx="377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40646" w14:textId="77777777" w:rsidR="00AF2126" w:rsidRPr="00B34108" w:rsidRDefault="00AF2126" w:rsidP="00AF2126">
                              <w:pPr>
                                <w:pStyle w:val="NormalWeb"/>
                                <w:spacing w:before="0" w:after="0"/>
                                <w:jc w:val="center"/>
                                <w:rPr>
                                  <w:sz w:val="20"/>
                                  <w:szCs w:val="20"/>
                                </w:rPr>
                              </w:pPr>
                              <w:r w:rsidRPr="00B34108">
                                <w:rPr>
                                  <w:sz w:val="20"/>
                                  <w:szCs w:val="20"/>
                                  <w:lang w:val="fr-FR"/>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5047E" w14:textId="77777777" w:rsidR="00AF2126" w:rsidRPr="00B34108" w:rsidRDefault="00AF2126" w:rsidP="00AF2126">
                              <w:pPr>
                                <w:pStyle w:val="NormalWeb"/>
                                <w:spacing w:before="0" w:after="0"/>
                                <w:jc w:val="center"/>
                                <w:rPr>
                                  <w:sz w:val="20"/>
                                  <w:szCs w:val="20"/>
                                </w:rPr>
                              </w:pPr>
                              <w:r w:rsidRPr="00B34108">
                                <w:rPr>
                                  <w:b/>
                                  <w:bCs/>
                                  <w:sz w:val="20"/>
                                  <w:szCs w:val="20"/>
                                  <w:lang w:val="fr-FR"/>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C74F6" w14:textId="77777777" w:rsidR="00AF2126" w:rsidRPr="00B34108" w:rsidRDefault="00AF2126" w:rsidP="00AF2126">
                              <w:pPr>
                                <w:pStyle w:val="NormalWeb"/>
                                <w:spacing w:before="0" w:after="0"/>
                                <w:jc w:val="center"/>
                                <w:rPr>
                                  <w:sz w:val="20"/>
                                  <w:szCs w:val="20"/>
                                </w:rPr>
                              </w:pPr>
                              <w:r w:rsidRPr="00B34108">
                                <w:rPr>
                                  <w:b/>
                                  <w:bCs/>
                                  <w:sz w:val="20"/>
                                  <w:szCs w:val="20"/>
                                  <w:lang w:val="fr-FR"/>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4C0ED" w14:textId="77777777" w:rsidR="00AF2126" w:rsidRPr="00B34108" w:rsidRDefault="00AF2126" w:rsidP="00AF2126">
                              <w:pPr>
                                <w:pStyle w:val="NormalWeb"/>
                                <w:spacing w:before="0" w:after="0"/>
                                <w:jc w:val="center"/>
                                <w:rPr>
                                  <w:sz w:val="20"/>
                                  <w:szCs w:val="20"/>
                                </w:rPr>
                              </w:pPr>
                              <w:r w:rsidRPr="00B34108">
                                <w:rPr>
                                  <w:b/>
                                  <w:bCs/>
                                  <w:sz w:val="20"/>
                                  <w:szCs w:val="20"/>
                                  <w:lang w:val="fr-FR"/>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6AEBA2" id="Gruppieren 99" o:spid="_x0000_s1026" style="width:306pt;height:190.85pt;mso-position-horizontal-relative:char;mso-position-vertical-relative:line" coordsize="39709,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">
                <v:shapetype id="_x0000_t4" coordsize="21600,21600" o:spt="4" path="m10800,l,10800,10800,21600,21600,10800xe">
                  <v:stroke joinstyle="miter"/>
                  <v:path gradientshapeok="t" o:connecttype="rect" textboxrect="5400,5400,16200,16200"/>
                </v:shapetype>
                <v:shape id="Raute 1268" o:spid="_x0000_s1027"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" fillcolor="#b2b2b2" strokecolor="black [3213]" strokeweight="1pt">
                  <v:fill r:id="rId23" o:title="" color2="white [3212]" type="pattern"/>
                  <v:stroke dashstyle="dash"/>
                </v:shape>
                <v:line id="Gerade Verbindung 1269" o:spid="_x0000_s1028"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type id="_x0000_t202" coordsize="21600,21600" o:spt="202" path="m,l,21600r21600,l21600,xe">
                  <v:stroke joinstyle="miter"/>
                  <v:path gradientshapeok="t" o:connecttype="rect"/>
                </v:shapetype>
                <v:shape id="Textfeld 70" o:spid="_x0000_s1029" type="#_x0000_t202" style="position:absolute;left:25915;top:3609;width:1379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31E51B3F" w14:textId="77777777" w:rsidR="00AF2126" w:rsidRPr="00B34108" w:rsidRDefault="00AF2126" w:rsidP="00AF2126">
                        <w:pPr>
                          <w:pStyle w:val="NormalWeb"/>
                          <w:spacing w:before="0" w:after="0"/>
                          <w:jc w:val="center"/>
                          <w:rPr>
                            <w:sz w:val="20"/>
                            <w:szCs w:val="20"/>
                          </w:rPr>
                        </w:pPr>
                        <w:r w:rsidRPr="00B34108">
                          <w:rPr>
                            <w:b/>
                            <w:bCs/>
                            <w:sz w:val="20"/>
                            <w:szCs w:val="20"/>
                            <w:lang w:val="fr-FR"/>
                          </w:rPr>
                          <w:t>1,50∙10</w:t>
                        </w:r>
                        <w:r w:rsidRPr="00B34108">
                          <w:rPr>
                            <w:b/>
                            <w:bCs/>
                            <w:sz w:val="20"/>
                            <w:szCs w:val="20"/>
                            <w:vertAlign w:val="superscript"/>
                            <w:lang w:val="fr-FR"/>
                          </w:rPr>
                          <w:t>2</w:t>
                        </w:r>
                        <w:r w:rsidRPr="00B34108">
                          <w:rPr>
                            <w:b/>
                            <w:bCs/>
                            <w:sz w:val="20"/>
                            <w:szCs w:val="20"/>
                            <w:lang w:val="fr-FR"/>
                          </w:rPr>
                          <w:t xml:space="preserve"> cd minimum</w:t>
                        </w:r>
                      </w:p>
                    </w:txbxContent>
                  </v:textbox>
                </v:shape>
                <v:shape id="Textfeld 71" o:spid="_x0000_s1030" type="#_x0000_t202" style="position:absolute;left:182;top:16676;width:12862;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3D53118F" w14:textId="77777777" w:rsidR="00AF2126" w:rsidRPr="00B34108" w:rsidRDefault="00AF2126" w:rsidP="00AF2126">
                        <w:pPr>
                          <w:pStyle w:val="NormalWeb"/>
                          <w:spacing w:before="0" w:after="0"/>
                          <w:jc w:val="center"/>
                          <w:rPr>
                            <w:sz w:val="20"/>
                            <w:szCs w:val="20"/>
                          </w:rPr>
                        </w:pPr>
                        <w:r w:rsidRPr="00B34108">
                          <w:rPr>
                            <w:b/>
                            <w:bCs/>
                            <w:sz w:val="20"/>
                            <w:szCs w:val="20"/>
                            <w:lang w:val="fr-FR"/>
                          </w:rPr>
                          <w:t>7,5∙10</w:t>
                        </w:r>
                        <w:r w:rsidRPr="00B34108">
                          <w:rPr>
                            <w:b/>
                            <w:bCs/>
                            <w:sz w:val="20"/>
                            <w:szCs w:val="20"/>
                            <w:vertAlign w:val="superscript"/>
                            <w:lang w:val="fr-FR"/>
                          </w:rPr>
                          <w:t>1</w:t>
                        </w:r>
                        <w:r w:rsidRPr="00B34108">
                          <w:rPr>
                            <w:b/>
                            <w:bCs/>
                            <w:sz w:val="20"/>
                            <w:szCs w:val="20"/>
                            <w:lang w:val="fr-FR"/>
                          </w:rPr>
                          <w:t xml:space="preserve"> cd minimum</w:t>
                        </w:r>
                      </w:p>
                    </w:txbxContent>
                  </v:textbox>
                </v:shape>
                <v:shapetype id="_x0000_t32" coordsize="21600,21600" o:spt="32" o:oned="t" path="m,l21600,21600e" filled="f">
                  <v:path arrowok="t" fillok="f" o:connecttype="none"/>
                  <o:lock v:ext="edit" shapetype="t"/>
                </v:shapetype>
                <v:shape id="Gerade Verbindung mit Pfeil 1273" o:spid="_x0000_s1031"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032"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033"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034"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35DCFBD5" w14:textId="77777777" w:rsidR="00AF2126" w:rsidRPr="00B34108" w:rsidRDefault="00AF2126" w:rsidP="00AF2126">
                        <w:pPr>
                          <w:pStyle w:val="NormalWeb"/>
                          <w:spacing w:before="0" w:after="0"/>
                          <w:jc w:val="center"/>
                          <w:rPr>
                            <w:sz w:val="20"/>
                            <w:szCs w:val="20"/>
                          </w:rPr>
                        </w:pPr>
                        <w:r w:rsidRPr="00B34108">
                          <w:rPr>
                            <w:b/>
                            <w:bCs/>
                            <w:sz w:val="20"/>
                            <w:szCs w:val="20"/>
                            <w:lang w:val="fr-FR"/>
                          </w:rPr>
                          <w:t>V</w:t>
                        </w:r>
                      </w:p>
                    </w:txbxContent>
                  </v:textbox>
                </v:shape>
                <v:line id="Gerade Verbindung 1277" o:spid="_x0000_s1035"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036"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037"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038"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039"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040"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041"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042"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043"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524A7254" w14:textId="77777777" w:rsidR="00AF2126" w:rsidRPr="00B34108" w:rsidRDefault="00AF2126" w:rsidP="00AF2126">
                        <w:pPr>
                          <w:pStyle w:val="NormalWeb"/>
                          <w:spacing w:before="0" w:after="0"/>
                          <w:jc w:val="center"/>
                          <w:rPr>
                            <w:sz w:val="20"/>
                            <w:szCs w:val="20"/>
                          </w:rPr>
                        </w:pPr>
                        <w:r w:rsidRPr="00B34108">
                          <w:rPr>
                            <w:sz w:val="20"/>
                            <w:szCs w:val="20"/>
                            <w:lang w:val="fr-FR"/>
                          </w:rPr>
                          <w:t>5°</w:t>
                        </w:r>
                      </w:p>
                    </w:txbxContent>
                  </v:textbox>
                </v:shape>
                <v:shape id="Textfeld 93" o:spid="_x0000_s1044"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5BA99A50" w14:textId="77777777" w:rsidR="00AF2126" w:rsidRPr="00B34108" w:rsidRDefault="00AF2126" w:rsidP="00AF2126">
                        <w:pPr>
                          <w:pStyle w:val="NormalWeb"/>
                          <w:spacing w:before="0" w:after="0"/>
                          <w:jc w:val="center"/>
                          <w:rPr>
                            <w:sz w:val="20"/>
                            <w:szCs w:val="20"/>
                          </w:rPr>
                        </w:pPr>
                        <w:r w:rsidRPr="00B34108">
                          <w:rPr>
                            <w:sz w:val="20"/>
                            <w:szCs w:val="20"/>
                            <w:lang w:val="fr-FR"/>
                          </w:rPr>
                          <w:t>5°</w:t>
                        </w:r>
                      </w:p>
                    </w:txbxContent>
                  </v:textbox>
                </v:shape>
                <v:shape id="Textfeld 94" o:spid="_x0000_s1045" type="#_x0000_t202" style="position:absolute;left:3106;top:5875;width:3689;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3BB7AAD8" w14:textId="77777777" w:rsidR="00AF2126" w:rsidRPr="00B34108" w:rsidRDefault="00AF2126" w:rsidP="00AF2126">
                        <w:pPr>
                          <w:pStyle w:val="NormalWeb"/>
                          <w:spacing w:before="0" w:after="0"/>
                          <w:jc w:val="center"/>
                          <w:rPr>
                            <w:sz w:val="20"/>
                            <w:szCs w:val="20"/>
                          </w:rPr>
                        </w:pPr>
                        <w:r w:rsidRPr="00B34108">
                          <w:rPr>
                            <w:sz w:val="20"/>
                            <w:szCs w:val="20"/>
                            <w:lang w:val="fr-FR"/>
                          </w:rPr>
                          <w:t>10°</w:t>
                        </w:r>
                      </w:p>
                    </w:txbxContent>
                  </v:textbox>
                </v:shape>
                <v:shape id="Textfeld 95" o:spid="_x0000_s1046" type="#_x0000_t202" style="position:absolute;left:33722;top:16570;width:377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01840646" w14:textId="77777777" w:rsidR="00AF2126" w:rsidRPr="00B34108" w:rsidRDefault="00AF2126" w:rsidP="00AF2126">
                        <w:pPr>
                          <w:pStyle w:val="NormalWeb"/>
                          <w:spacing w:before="0" w:after="0"/>
                          <w:jc w:val="center"/>
                          <w:rPr>
                            <w:sz w:val="20"/>
                            <w:szCs w:val="20"/>
                          </w:rPr>
                        </w:pPr>
                        <w:r w:rsidRPr="00B34108">
                          <w:rPr>
                            <w:sz w:val="20"/>
                            <w:szCs w:val="20"/>
                            <w:lang w:val="fr-FR"/>
                          </w:rPr>
                          <w:t>10°</w:t>
                        </w:r>
                      </w:p>
                    </w:txbxContent>
                  </v:textbox>
                </v:shape>
                <v:shape id="Textfeld 96" o:spid="_x0000_s1047"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0615047E" w14:textId="77777777" w:rsidR="00AF2126" w:rsidRPr="00B34108" w:rsidRDefault="00AF2126" w:rsidP="00AF2126">
                        <w:pPr>
                          <w:pStyle w:val="NormalWeb"/>
                          <w:spacing w:before="0" w:after="0"/>
                          <w:jc w:val="center"/>
                          <w:rPr>
                            <w:sz w:val="20"/>
                            <w:szCs w:val="20"/>
                          </w:rPr>
                        </w:pPr>
                        <w:r w:rsidRPr="00B34108">
                          <w:rPr>
                            <w:b/>
                            <w:bCs/>
                            <w:sz w:val="20"/>
                            <w:szCs w:val="20"/>
                            <w:lang w:val="fr-FR"/>
                          </w:rPr>
                          <w:t>V</w:t>
                        </w:r>
                      </w:p>
                    </w:txbxContent>
                  </v:textbox>
                </v:shape>
                <v:shape id="Textfeld 97" o:spid="_x0000_s1048"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6E4C74F6" w14:textId="77777777" w:rsidR="00AF2126" w:rsidRPr="00B34108" w:rsidRDefault="00AF2126" w:rsidP="00AF2126">
                        <w:pPr>
                          <w:pStyle w:val="NormalWeb"/>
                          <w:spacing w:before="0" w:after="0"/>
                          <w:jc w:val="center"/>
                          <w:rPr>
                            <w:sz w:val="20"/>
                            <w:szCs w:val="20"/>
                          </w:rPr>
                        </w:pPr>
                        <w:r w:rsidRPr="00B34108">
                          <w:rPr>
                            <w:b/>
                            <w:bCs/>
                            <w:sz w:val="20"/>
                            <w:szCs w:val="20"/>
                            <w:lang w:val="fr-FR"/>
                          </w:rPr>
                          <w:t>H</w:t>
                        </w:r>
                      </w:p>
                    </w:txbxContent>
                  </v:textbox>
                </v:shape>
                <v:shape id="Textfeld 98" o:spid="_x0000_s1049"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7674C0ED" w14:textId="77777777" w:rsidR="00AF2126" w:rsidRPr="00B34108" w:rsidRDefault="00AF2126" w:rsidP="00AF2126">
                        <w:pPr>
                          <w:pStyle w:val="NormalWeb"/>
                          <w:spacing w:before="0" w:after="0"/>
                          <w:jc w:val="center"/>
                          <w:rPr>
                            <w:sz w:val="20"/>
                            <w:szCs w:val="20"/>
                          </w:rPr>
                        </w:pPr>
                        <w:r w:rsidRPr="00B34108">
                          <w:rPr>
                            <w:b/>
                            <w:bCs/>
                            <w:sz w:val="20"/>
                            <w:szCs w:val="20"/>
                            <w:lang w:val="fr-FR"/>
                          </w:rPr>
                          <w:t>H</w:t>
                        </w:r>
                      </w:p>
                    </w:txbxContent>
                  </v:textbox>
                </v:shape>
                <v:line id="Gerade Verbindung 1270" o:spid="_x0000_s1050"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571BAA68"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Lorsqu’à l’examen visuel, un feu semble présenter les variations locales d’intensité importantes, on vérifie qu’en dehors des axes, aucune intensité mesurée à l’intérieur du losange délimité par les directions de mesure extrêmes n’est inférieure à 7,5∙10</w:t>
      </w:r>
      <w:r w:rsidRPr="00D05C85">
        <w:rPr>
          <w:vertAlign w:val="superscript"/>
          <w:lang w:val="fr-FR"/>
        </w:rPr>
        <w:t>1</w:t>
      </w:r>
      <w:r w:rsidRPr="00D05C85">
        <w:rPr>
          <w:lang w:val="fr-FR"/>
        </w:rPr>
        <w:t xml:space="preserve"> cd (voir la figure A3-VI).</w:t>
      </w:r>
    </w:p>
    <w:p w14:paraId="5B654C85" w14:textId="77777777" w:rsidR="00AF2126" w:rsidRPr="00D05C85" w:rsidRDefault="00AF2126" w:rsidP="00AF2126">
      <w:pPr>
        <w:pStyle w:val="SingleTxtG"/>
        <w:keepNext/>
        <w:tabs>
          <w:tab w:val="left" w:pos="2268"/>
          <w:tab w:val="left" w:pos="2835"/>
        </w:tabs>
        <w:ind w:left="2268" w:hanging="1134"/>
        <w:rPr>
          <w:lang w:val="fr-FR"/>
        </w:rPr>
      </w:pPr>
      <w:r w:rsidRPr="00D05C85">
        <w:rPr>
          <w:lang w:val="fr-FR"/>
        </w:rPr>
        <w:lastRenderedPageBreak/>
        <w:t>2.7</w:t>
      </w:r>
      <w:r w:rsidRPr="00D05C85">
        <w:rPr>
          <w:lang w:val="fr-FR"/>
        </w:rPr>
        <w:tab/>
        <w:t>Répartition normalisée de la lumière pour les feux de position latéraux</w:t>
      </w:r>
    </w:p>
    <w:p w14:paraId="58356401" w14:textId="77777777" w:rsidR="00AF2126" w:rsidRPr="00D05C85" w:rsidRDefault="00AF2126" w:rsidP="00AF2126">
      <w:pPr>
        <w:pStyle w:val="SingleTxtG"/>
        <w:keepNext/>
        <w:tabs>
          <w:tab w:val="left" w:pos="2268"/>
          <w:tab w:val="left" w:pos="2835"/>
        </w:tabs>
        <w:ind w:left="2268" w:hanging="1134"/>
        <w:rPr>
          <w:lang w:val="fr-FR"/>
        </w:rPr>
      </w:pPr>
      <w:r w:rsidRPr="00D05C85">
        <w:rPr>
          <w:lang w:val="fr-FR"/>
        </w:rPr>
        <w:t>2.7.1</w:t>
      </w:r>
      <w:r w:rsidRPr="00D05C85">
        <w:rPr>
          <w:lang w:val="fr-FR"/>
        </w:rPr>
        <w:tab/>
        <w:t>Feux de position latéraux de la catégorie SM1</w:t>
      </w:r>
    </w:p>
    <w:p w14:paraId="134A6477"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A3-VII</w:t>
      </w:r>
      <w:r w:rsidRPr="00D05C85">
        <w:rPr>
          <w:lang w:val="fr-FR"/>
        </w:rPr>
        <w:br/>
      </w:r>
      <w:r w:rsidRPr="00D05C85">
        <w:rPr>
          <w:b/>
          <w:bCs/>
          <w:lang w:val="fr-FR"/>
        </w:rPr>
        <w:t>Répartition de la lumière pour les feux de position latéraux de la catégorie SM1</w:t>
      </w:r>
    </w:p>
    <w:p w14:paraId="27FCE480" w14:textId="77777777" w:rsidR="00AF2126" w:rsidRPr="00D05C85" w:rsidRDefault="00AF2126" w:rsidP="00AF2126">
      <w:pPr>
        <w:pStyle w:val="para"/>
        <w:rPr>
          <w:lang w:val="fr-FR"/>
        </w:rPr>
      </w:pPr>
      <w:r w:rsidRPr="00D05C85">
        <w:rPr>
          <w:noProof/>
          <w:lang w:val="fr-FR"/>
        </w:rPr>
        <w:drawing>
          <wp:inline distT="0" distB="0" distL="0" distR="0" wp14:anchorId="41D62903" wp14:editId="4FF03AEB">
            <wp:extent cx="5400000" cy="2775243"/>
            <wp:effectExtent l="0" t="0" r="0" b="6350"/>
            <wp:docPr id="9"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2775243"/>
                    </a:xfrm>
                    <a:prstGeom prst="rect">
                      <a:avLst/>
                    </a:prstGeom>
                    <a:noFill/>
                  </pic:spPr>
                </pic:pic>
              </a:graphicData>
            </a:graphic>
          </wp:inline>
        </w:drawing>
      </w:r>
    </w:p>
    <w:p w14:paraId="2BD6CFFA"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2.7.2</w:t>
      </w:r>
      <w:r w:rsidRPr="00D05C85">
        <w:rPr>
          <w:lang w:val="fr-FR"/>
        </w:rPr>
        <w:tab/>
        <w:t>Feux de position latéraux de la catégorie SM2</w:t>
      </w:r>
    </w:p>
    <w:p w14:paraId="6AF57C9D"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A3-VIII</w:t>
      </w:r>
      <w:r w:rsidRPr="00D05C85">
        <w:rPr>
          <w:lang w:val="fr-FR"/>
        </w:rPr>
        <w:br/>
      </w:r>
      <w:r w:rsidRPr="00D05C85">
        <w:rPr>
          <w:b/>
          <w:bCs/>
          <w:lang w:val="fr-FR"/>
        </w:rPr>
        <w:t>Répartition de la lumière pour les feux de position latéraux de la catégorie SM2</w:t>
      </w:r>
    </w:p>
    <w:p w14:paraId="66BA8839" w14:textId="77777777" w:rsidR="00AF2126" w:rsidRPr="00D05C85" w:rsidRDefault="00AF2126" w:rsidP="00AF2126">
      <w:pPr>
        <w:suppressAutoHyphens w:val="0"/>
        <w:spacing w:line="240" w:lineRule="auto"/>
        <w:jc w:val="center"/>
        <w:rPr>
          <w:lang w:val="fr-FR"/>
        </w:rPr>
      </w:pPr>
      <w:r w:rsidRPr="00D05C85">
        <w:rPr>
          <w:noProof/>
          <w:lang w:val="fr-FR"/>
        </w:rPr>
        <w:drawing>
          <wp:inline distT="0" distB="0" distL="0" distR="0" wp14:anchorId="4E11399D" wp14:editId="05DC19A0">
            <wp:extent cx="3950335" cy="2804160"/>
            <wp:effectExtent l="0" t="0" r="0" b="0"/>
            <wp:docPr id="10"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50335" cy="2804160"/>
                    </a:xfrm>
                    <a:prstGeom prst="rect">
                      <a:avLst/>
                    </a:prstGeom>
                    <a:noFill/>
                  </pic:spPr>
                </pic:pic>
              </a:graphicData>
            </a:graphic>
          </wp:inline>
        </w:drawing>
      </w:r>
    </w:p>
    <w:p w14:paraId="1D08CFD8" w14:textId="77777777" w:rsidR="00AF2126" w:rsidRPr="00D05C85" w:rsidRDefault="00AF2126" w:rsidP="00AF2126">
      <w:pPr>
        <w:pStyle w:val="SingleTxtG"/>
        <w:keepNext/>
        <w:tabs>
          <w:tab w:val="left" w:pos="2268"/>
          <w:tab w:val="left" w:pos="2835"/>
        </w:tabs>
        <w:ind w:left="2268" w:hanging="1134"/>
        <w:rPr>
          <w:lang w:val="fr-FR"/>
        </w:rPr>
      </w:pPr>
      <w:r w:rsidRPr="00D05C85">
        <w:rPr>
          <w:lang w:val="fr-FR"/>
        </w:rPr>
        <w:lastRenderedPageBreak/>
        <w:t>3.</w:t>
      </w:r>
      <w:r w:rsidRPr="00D05C85">
        <w:rPr>
          <w:lang w:val="fr-FR"/>
        </w:rPr>
        <w:tab/>
        <w:t>Points de mesure pour les feux d’éclairage de la plaque d’immatriculation arrière (voir le paragraphe 5.11.3)</w:t>
      </w:r>
    </w:p>
    <w:p w14:paraId="761A62D7" w14:textId="77777777" w:rsidR="00AF2126" w:rsidRPr="00D05C85" w:rsidRDefault="00AF2126" w:rsidP="00AF2126">
      <w:pPr>
        <w:pStyle w:val="SingleTxtG"/>
        <w:keepNext/>
        <w:tabs>
          <w:tab w:val="left" w:pos="2268"/>
          <w:tab w:val="left" w:pos="2835"/>
        </w:tabs>
        <w:ind w:left="2268" w:hanging="1134"/>
        <w:rPr>
          <w:lang w:val="fr-FR"/>
        </w:rPr>
      </w:pPr>
      <w:r w:rsidRPr="00D05C85">
        <w:rPr>
          <w:lang w:val="fr-FR"/>
        </w:rPr>
        <w:t>3.1</w:t>
      </w:r>
      <w:r w:rsidRPr="00D05C85">
        <w:rPr>
          <w:lang w:val="fr-FR"/>
        </w:rPr>
        <w:tab/>
        <w:t>Catégorie 1a − plaques hautes (340 x 240 mm)</w:t>
      </w:r>
    </w:p>
    <w:p w14:paraId="6D4EB5FC"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A3-IX</w:t>
      </w:r>
      <w:r w:rsidRPr="00D05C85">
        <w:rPr>
          <w:lang w:val="fr-FR"/>
        </w:rPr>
        <w:br/>
      </w:r>
      <w:r w:rsidRPr="00D05C85">
        <w:rPr>
          <w:b/>
          <w:bCs/>
          <w:lang w:val="fr-FR"/>
        </w:rPr>
        <w:t>Points de mesure pour les plaques dont les dimensions sont de 340 x 240 mm</w:t>
      </w:r>
    </w:p>
    <w:p w14:paraId="7FA86354" w14:textId="77777777" w:rsidR="00AF2126" w:rsidRPr="00D05C85" w:rsidRDefault="00AF2126" w:rsidP="00AF2126">
      <w:pPr>
        <w:pStyle w:val="SingleTxtG"/>
        <w:rPr>
          <w:b/>
          <w:sz w:val="28"/>
          <w:lang w:val="fr-FR" w:eastAsia="en-GB"/>
        </w:rPr>
      </w:pPr>
      <w:r w:rsidRPr="00D05C85">
        <w:rPr>
          <w:b/>
          <w:noProof/>
          <w:sz w:val="28"/>
          <w:lang w:val="fr-FR" w:eastAsia="en-GB"/>
        </w:rPr>
        <w:drawing>
          <wp:inline distT="0" distB="0" distL="0" distR="0" wp14:anchorId="67CFBD94" wp14:editId="27A8C849">
            <wp:extent cx="3829050" cy="2169530"/>
            <wp:effectExtent l="0" t="0" r="0" b="2540"/>
            <wp:docPr id="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9906" cy="2181347"/>
                    </a:xfrm>
                    <a:prstGeom prst="rect">
                      <a:avLst/>
                    </a:prstGeom>
                    <a:noFill/>
                  </pic:spPr>
                </pic:pic>
              </a:graphicData>
            </a:graphic>
          </wp:inline>
        </w:drawing>
      </w:r>
    </w:p>
    <w:p w14:paraId="79F7852C" w14:textId="77777777" w:rsidR="00AF2126" w:rsidRPr="00D05C85" w:rsidRDefault="00AF2126" w:rsidP="00AF2126">
      <w:pPr>
        <w:pStyle w:val="SingleTxtG"/>
        <w:tabs>
          <w:tab w:val="left" w:pos="2268"/>
          <w:tab w:val="left" w:pos="2835"/>
        </w:tabs>
        <w:spacing w:before="240"/>
        <w:ind w:left="2268" w:hanging="1134"/>
        <w:rPr>
          <w:lang w:val="fr-FR"/>
        </w:rPr>
      </w:pPr>
      <w:r w:rsidRPr="00D05C85">
        <w:rPr>
          <w:lang w:val="fr-FR"/>
        </w:rPr>
        <w:t>3.2</w:t>
      </w:r>
      <w:r w:rsidRPr="00D05C85">
        <w:rPr>
          <w:lang w:val="fr-FR"/>
        </w:rPr>
        <w:tab/>
        <w:t>Catégorie 1b − plaques longues (520 x 120 mm)</w:t>
      </w:r>
    </w:p>
    <w:p w14:paraId="27BCEC56"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A3-X</w:t>
      </w:r>
      <w:r w:rsidRPr="00D05C85">
        <w:rPr>
          <w:lang w:val="fr-FR"/>
        </w:rPr>
        <w:br/>
      </w:r>
      <w:r w:rsidRPr="00D05C85">
        <w:rPr>
          <w:b/>
          <w:bCs/>
          <w:lang w:val="fr-FR"/>
        </w:rPr>
        <w:t>Points de mesure pour les plaques dont les dimensions sont de 520 x 120 mm</w:t>
      </w:r>
    </w:p>
    <w:p w14:paraId="15C362C1" w14:textId="77777777" w:rsidR="00AF2126" w:rsidRPr="00D05C85" w:rsidRDefault="00AF2126" w:rsidP="00AF2126">
      <w:pPr>
        <w:pStyle w:val="SingleTxtG"/>
        <w:ind w:left="567"/>
        <w:rPr>
          <w:lang w:val="fr-FR"/>
        </w:rPr>
      </w:pPr>
      <w:r w:rsidRPr="00D05C85">
        <w:rPr>
          <w:noProof/>
          <w:lang w:val="fr-FR"/>
        </w:rPr>
        <w:drawing>
          <wp:inline distT="0" distB="0" distL="0" distR="0" wp14:anchorId="1118531E" wp14:editId="6D395B05">
            <wp:extent cx="5400000" cy="1468253"/>
            <wp:effectExtent l="0" t="0" r="0" b="0"/>
            <wp:docPr id="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0" cy="1468253"/>
                    </a:xfrm>
                    <a:prstGeom prst="rect">
                      <a:avLst/>
                    </a:prstGeom>
                    <a:noFill/>
                  </pic:spPr>
                </pic:pic>
              </a:graphicData>
            </a:graphic>
          </wp:inline>
        </w:drawing>
      </w:r>
    </w:p>
    <w:p w14:paraId="03B052D8" w14:textId="77777777" w:rsidR="00AF2126" w:rsidRPr="00D05C85" w:rsidRDefault="00AF2126" w:rsidP="00AF2126">
      <w:pPr>
        <w:pStyle w:val="SingleTxtG"/>
        <w:tabs>
          <w:tab w:val="left" w:pos="2268"/>
          <w:tab w:val="left" w:pos="2835"/>
        </w:tabs>
        <w:spacing w:before="240"/>
        <w:ind w:left="2268" w:hanging="1134"/>
        <w:rPr>
          <w:lang w:val="fr-FR"/>
        </w:rPr>
      </w:pPr>
      <w:r w:rsidRPr="00D05C85">
        <w:rPr>
          <w:lang w:val="fr-FR"/>
        </w:rPr>
        <w:t>3.3</w:t>
      </w:r>
      <w:r w:rsidRPr="00D05C85">
        <w:rPr>
          <w:lang w:val="fr-FR"/>
        </w:rPr>
        <w:tab/>
        <w:t>Catégorie 1c − plaques pour tracteurs agricoles ou forestiers (255 x 165 mm)</w:t>
      </w:r>
    </w:p>
    <w:p w14:paraId="1E66DBF2" w14:textId="77777777" w:rsidR="00AF2126" w:rsidRPr="00D05C85" w:rsidRDefault="00AF2126" w:rsidP="00AF2126">
      <w:pPr>
        <w:pStyle w:val="Titre1"/>
        <w:tabs>
          <w:tab w:val="left" w:pos="1701"/>
          <w:tab w:val="left" w:pos="2268"/>
          <w:tab w:val="left" w:pos="2835"/>
        </w:tabs>
        <w:spacing w:after="120"/>
        <w:rPr>
          <w:b/>
          <w:bCs/>
          <w:lang w:val="fr-FR"/>
        </w:rPr>
      </w:pPr>
      <w:r w:rsidRPr="00D05C85">
        <w:rPr>
          <w:lang w:val="fr-FR"/>
        </w:rPr>
        <w:t>Figure A3-XI</w:t>
      </w:r>
      <w:r w:rsidRPr="00D05C85">
        <w:rPr>
          <w:lang w:val="fr-FR"/>
        </w:rPr>
        <w:br/>
      </w:r>
      <w:r w:rsidRPr="00D05C85">
        <w:rPr>
          <w:b/>
          <w:bCs/>
          <w:lang w:val="fr-FR"/>
        </w:rPr>
        <w:t>Points de mesure pour les plaques dont les dimensions sont de 255 x 165 mm</w:t>
      </w:r>
    </w:p>
    <w:p w14:paraId="6B10A495" w14:textId="77777777" w:rsidR="00AF2126" w:rsidRPr="00D05C85" w:rsidRDefault="00AF2126" w:rsidP="00AF2126">
      <w:pPr>
        <w:pStyle w:val="SingleTxtG"/>
        <w:rPr>
          <w:lang w:val="fr-FR"/>
        </w:rPr>
      </w:pPr>
      <w:r w:rsidRPr="00D05C85">
        <w:rPr>
          <w:noProof/>
          <w:lang w:val="fr-FR"/>
        </w:rPr>
        <w:drawing>
          <wp:inline distT="0" distB="0" distL="0" distR="0" wp14:anchorId="4C65C6B4" wp14:editId="7784B2D7">
            <wp:extent cx="3754800" cy="2151028"/>
            <wp:effectExtent l="0" t="0" r="0" b="190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54800" cy="2151028"/>
                    </a:xfrm>
                    <a:prstGeom prst="rect">
                      <a:avLst/>
                    </a:prstGeom>
                  </pic:spPr>
                </pic:pic>
              </a:graphicData>
            </a:graphic>
          </wp:inline>
        </w:drawing>
      </w:r>
    </w:p>
    <w:p w14:paraId="7886E7E1" w14:textId="77777777" w:rsidR="00AF2126" w:rsidRPr="00D05C85" w:rsidRDefault="00AF2126" w:rsidP="00AF2126">
      <w:pPr>
        <w:pStyle w:val="SingleTxtG"/>
        <w:keepNext/>
        <w:tabs>
          <w:tab w:val="left" w:pos="2268"/>
          <w:tab w:val="left" w:pos="2835"/>
        </w:tabs>
        <w:ind w:left="2268" w:hanging="1134"/>
        <w:rPr>
          <w:lang w:val="fr-FR"/>
        </w:rPr>
      </w:pPr>
      <w:r w:rsidRPr="00D05C85">
        <w:rPr>
          <w:lang w:val="fr-FR"/>
        </w:rPr>
        <w:lastRenderedPageBreak/>
        <w:t>3.4</w:t>
      </w:r>
      <w:r w:rsidRPr="00D05C85">
        <w:rPr>
          <w:lang w:val="fr-FR"/>
        </w:rPr>
        <w:tab/>
        <w:t>Catégorie 2a − petites plaques (330 x 165 mm)</w:t>
      </w:r>
    </w:p>
    <w:p w14:paraId="6A7A9766"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A3-XII</w:t>
      </w:r>
      <w:r w:rsidRPr="00D05C85">
        <w:rPr>
          <w:lang w:val="fr-FR"/>
        </w:rPr>
        <w:br/>
      </w:r>
      <w:r w:rsidRPr="00D05C85">
        <w:rPr>
          <w:b/>
          <w:bCs/>
          <w:lang w:val="fr-FR"/>
        </w:rPr>
        <w:t>Points de mesure pour les plaques dont les dimensions sont de 330 x 165 mm</w:t>
      </w:r>
    </w:p>
    <w:p w14:paraId="7C0F1D36" w14:textId="77777777" w:rsidR="00AF2126" w:rsidRPr="00D05C85" w:rsidRDefault="00AF2126" w:rsidP="00AF2126">
      <w:pPr>
        <w:pStyle w:val="SingleTxtG"/>
        <w:rPr>
          <w:lang w:val="fr-FR"/>
        </w:rPr>
      </w:pPr>
      <w:r w:rsidRPr="00D05C85">
        <w:rPr>
          <w:noProof/>
          <w:lang w:val="fr-FR"/>
        </w:rPr>
        <w:drawing>
          <wp:inline distT="0" distB="0" distL="0" distR="0" wp14:anchorId="38CDDEF0" wp14:editId="4CEE6857">
            <wp:extent cx="3895200" cy="1787491"/>
            <wp:effectExtent l="0" t="0" r="0" b="381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95200" cy="1787491"/>
                    </a:xfrm>
                    <a:prstGeom prst="rect">
                      <a:avLst/>
                    </a:prstGeom>
                  </pic:spPr>
                </pic:pic>
              </a:graphicData>
            </a:graphic>
          </wp:inline>
        </w:drawing>
      </w:r>
    </w:p>
    <w:p w14:paraId="6AE095CE" w14:textId="77777777" w:rsidR="00AF2126" w:rsidRPr="00D05C85" w:rsidRDefault="00AF2126" w:rsidP="00AF2126">
      <w:pPr>
        <w:pStyle w:val="SingleTxtG"/>
        <w:tabs>
          <w:tab w:val="left" w:pos="2268"/>
          <w:tab w:val="left" w:pos="2835"/>
        </w:tabs>
        <w:spacing w:before="240"/>
        <w:ind w:left="2268" w:hanging="1134"/>
        <w:rPr>
          <w:lang w:val="fr-FR"/>
        </w:rPr>
      </w:pPr>
      <w:r w:rsidRPr="00D05C85">
        <w:rPr>
          <w:lang w:val="fr-FR"/>
        </w:rPr>
        <w:t>3.5</w:t>
      </w:r>
      <w:r w:rsidRPr="00D05C85">
        <w:rPr>
          <w:lang w:val="fr-FR"/>
        </w:rPr>
        <w:tab/>
        <w:t>Catégorie 2b − plaques longues (440 x 220 mm)</w:t>
      </w:r>
    </w:p>
    <w:p w14:paraId="44DFDCF9"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A3-XIII</w:t>
      </w:r>
      <w:r w:rsidRPr="00D05C85">
        <w:rPr>
          <w:lang w:val="fr-FR"/>
        </w:rPr>
        <w:br/>
      </w:r>
      <w:r w:rsidRPr="00D05C85">
        <w:rPr>
          <w:b/>
          <w:bCs/>
          <w:lang w:val="fr-FR"/>
        </w:rPr>
        <w:t>Points de mesure pour les plaques dont les dimensions sont de 440 x 220 mm</w:t>
      </w:r>
    </w:p>
    <w:p w14:paraId="5B2D0DE7" w14:textId="77777777" w:rsidR="00AF2126" w:rsidRPr="00D05C85" w:rsidRDefault="00AF2126" w:rsidP="00AF2126">
      <w:pPr>
        <w:pStyle w:val="SingleTxtG"/>
        <w:rPr>
          <w:lang w:val="fr-FR"/>
        </w:rPr>
      </w:pPr>
      <w:r w:rsidRPr="00D05C85">
        <w:rPr>
          <w:noProof/>
          <w:lang w:val="fr-FR" w:eastAsia="en-GB"/>
        </w:rPr>
        <w:drawing>
          <wp:inline distT="0" distB="0" distL="0" distR="0" wp14:anchorId="7125B28F" wp14:editId="4E4019CD">
            <wp:extent cx="4680000" cy="1846082"/>
            <wp:effectExtent l="0" t="0" r="6350" b="1905"/>
            <wp:docPr id="14"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4680000" cy="1846082"/>
                    </a:xfrm>
                    <a:prstGeom prst="rect">
                      <a:avLst/>
                    </a:prstGeom>
                    <a:noFill/>
                    <a:ln>
                      <a:noFill/>
                      <a:prstDash/>
                    </a:ln>
                  </pic:spPr>
                </pic:pic>
              </a:graphicData>
            </a:graphic>
          </wp:inline>
        </w:drawing>
      </w:r>
    </w:p>
    <w:p w14:paraId="6A7B41C3" w14:textId="77777777" w:rsidR="00AF2126" w:rsidRPr="00D05C85" w:rsidRDefault="00AF2126" w:rsidP="00AF2126">
      <w:pPr>
        <w:pStyle w:val="SingleTxtG"/>
        <w:rPr>
          <w:lang w:val="fr-FR"/>
        </w:rPr>
      </w:pPr>
      <w:r w:rsidRPr="00D05C85">
        <w:rPr>
          <w:i/>
          <w:iCs/>
          <w:lang w:val="fr-FR"/>
        </w:rPr>
        <w:t>Note</w:t>
      </w:r>
      <w:r w:rsidRPr="00D05C85">
        <w:rPr>
          <w:lang w:val="fr-FR"/>
        </w:rPr>
        <w:t> : Dans le cas de dispositifs destinés à l’éclairage de deux plaques ou de toutes les plaques, les points de mesure sont ceux résultant de la combinaison des figures correspondantes ci-dessus selon le contour indiqué par le fabricant ou le constructeur, mais, dans le cas où deux points de mesure sont distants de moins de 30 mm, il n’est retenu que l’un d’eux.</w:t>
      </w:r>
    </w:p>
    <w:p w14:paraId="1596D6CB" w14:textId="77777777" w:rsidR="00AF2126" w:rsidRPr="00D05C85" w:rsidRDefault="00AF2126" w:rsidP="00AF2126">
      <w:pPr>
        <w:pStyle w:val="SingleTxtG"/>
        <w:tabs>
          <w:tab w:val="left" w:pos="2268"/>
          <w:tab w:val="left" w:pos="2835"/>
        </w:tabs>
        <w:ind w:left="2268" w:hanging="1134"/>
        <w:rPr>
          <w:lang w:val="fr-FR"/>
        </w:rPr>
      </w:pPr>
      <w:r w:rsidRPr="00D05C85">
        <w:rPr>
          <w:lang w:val="fr-FR"/>
        </w:rPr>
        <w:t>3.6</w:t>
      </w:r>
      <w:r w:rsidRPr="00D05C85">
        <w:rPr>
          <w:lang w:val="fr-FR"/>
        </w:rPr>
        <w:tab/>
        <w:t>Catégorie 1 (240 x 130 mm) pour les véhicules de la catégorie L</w:t>
      </w:r>
    </w:p>
    <w:p w14:paraId="56BAF460"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A3-XIV</w:t>
      </w:r>
      <w:r w:rsidRPr="00D05C85">
        <w:rPr>
          <w:lang w:val="fr-FR"/>
        </w:rPr>
        <w:br/>
      </w:r>
      <w:r w:rsidRPr="00D05C85">
        <w:rPr>
          <w:b/>
          <w:bCs/>
          <w:lang w:val="fr-FR"/>
        </w:rPr>
        <w:t>Points de mesure pour les plaques dont les dimensions sont de 240 x 130 mm</w:t>
      </w:r>
    </w:p>
    <w:p w14:paraId="5D3DDD6A" w14:textId="77777777" w:rsidR="00AF2126" w:rsidRPr="00D05C85" w:rsidRDefault="00AF2126" w:rsidP="00AF2126">
      <w:pPr>
        <w:pStyle w:val="SingleTxtG"/>
        <w:rPr>
          <w:lang w:val="fr-FR"/>
        </w:rPr>
      </w:pPr>
      <w:r w:rsidRPr="00D05C85">
        <w:rPr>
          <w:noProof/>
          <w:lang w:val="fr-FR" w:eastAsia="en-GB"/>
        </w:rPr>
        <w:drawing>
          <wp:inline distT="0" distB="0" distL="0" distR="0" wp14:anchorId="0C2A9F13" wp14:editId="5A2547F5">
            <wp:extent cx="4680000" cy="1877756"/>
            <wp:effectExtent l="0" t="0" r="0" b="8255"/>
            <wp:docPr id="15"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4680000" cy="1877756"/>
                    </a:xfrm>
                    <a:prstGeom prst="rect">
                      <a:avLst/>
                    </a:prstGeom>
                    <a:noFill/>
                    <a:ln>
                      <a:noFill/>
                      <a:prstDash/>
                    </a:ln>
                  </pic:spPr>
                </pic:pic>
              </a:graphicData>
            </a:graphic>
          </wp:inline>
        </w:drawing>
      </w:r>
    </w:p>
    <w:p w14:paraId="296423D8" w14:textId="77777777" w:rsidR="00AF2126" w:rsidRPr="00D05C85" w:rsidRDefault="00AF2126" w:rsidP="00AF2126">
      <w:pPr>
        <w:pStyle w:val="SingleTxtG"/>
        <w:keepNext/>
        <w:tabs>
          <w:tab w:val="left" w:pos="2268"/>
          <w:tab w:val="left" w:pos="2835"/>
        </w:tabs>
        <w:ind w:left="2268" w:hanging="1134"/>
        <w:rPr>
          <w:lang w:val="fr-FR"/>
        </w:rPr>
      </w:pPr>
      <w:r w:rsidRPr="00D05C85">
        <w:rPr>
          <w:lang w:val="fr-FR"/>
        </w:rPr>
        <w:lastRenderedPageBreak/>
        <w:t>3.7</w:t>
      </w:r>
      <w:r w:rsidRPr="00D05C85">
        <w:rPr>
          <w:lang w:val="fr-FR"/>
        </w:rPr>
        <w:tab/>
        <w:t>Catégorie 2 (280 x 200 mm) pour les véhicules de la catégorie L</w:t>
      </w:r>
    </w:p>
    <w:p w14:paraId="01BFE45F"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A3-XV</w:t>
      </w:r>
      <w:r w:rsidRPr="00D05C85">
        <w:rPr>
          <w:lang w:val="fr-FR"/>
        </w:rPr>
        <w:br/>
      </w:r>
      <w:r w:rsidRPr="00D05C85">
        <w:rPr>
          <w:b/>
          <w:bCs/>
          <w:lang w:val="fr-FR"/>
        </w:rPr>
        <w:t>Points de mesure pour les plaques dont les dimensions sont de 280 x 200 mm</w:t>
      </w:r>
    </w:p>
    <w:p w14:paraId="39A8CE41" w14:textId="77777777" w:rsidR="00AF2126" w:rsidRPr="00D05C85" w:rsidRDefault="00AF2126" w:rsidP="00AF2126">
      <w:pPr>
        <w:pStyle w:val="SingleTxtG"/>
        <w:rPr>
          <w:lang w:val="fr-FR"/>
        </w:rPr>
      </w:pPr>
      <w:r w:rsidRPr="00D05C85">
        <w:rPr>
          <w:noProof/>
          <w:lang w:val="fr-FR" w:eastAsia="en-GB"/>
        </w:rPr>
        <w:drawing>
          <wp:inline distT="0" distB="0" distL="0" distR="0" wp14:anchorId="63467AB6" wp14:editId="21DE89DC">
            <wp:extent cx="4680000" cy="2639516"/>
            <wp:effectExtent l="0" t="0" r="0" b="8890"/>
            <wp:docPr id="16"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4680000" cy="2639516"/>
                    </a:xfrm>
                    <a:prstGeom prst="rect">
                      <a:avLst/>
                    </a:prstGeom>
                    <a:noFill/>
                    <a:ln>
                      <a:noFill/>
                      <a:prstDash/>
                    </a:ln>
                  </pic:spPr>
                </pic:pic>
              </a:graphicData>
            </a:graphic>
          </wp:inline>
        </w:drawing>
      </w:r>
    </w:p>
    <w:p w14:paraId="1BFD60DF" w14:textId="77777777" w:rsidR="00AF2126" w:rsidRPr="00D05C85" w:rsidRDefault="00AF2126" w:rsidP="00AF2126">
      <w:pPr>
        <w:suppressAutoHyphens w:val="0"/>
        <w:spacing w:line="240" w:lineRule="auto"/>
        <w:rPr>
          <w:rFonts w:eastAsiaTheme="minorEastAsia"/>
          <w:b/>
          <w:sz w:val="28"/>
          <w:szCs w:val="28"/>
          <w:lang w:val="fr-FR"/>
        </w:rPr>
      </w:pPr>
      <w:r w:rsidRPr="00D05C85">
        <w:rPr>
          <w:szCs w:val="28"/>
          <w:lang w:val="fr-FR"/>
        </w:rPr>
        <w:br w:type="page"/>
      </w:r>
    </w:p>
    <w:p w14:paraId="6279F98A" w14:textId="77777777" w:rsidR="00AF2126" w:rsidRPr="00D05C85" w:rsidRDefault="00AF2126" w:rsidP="00AF2126">
      <w:pPr>
        <w:pStyle w:val="HChG"/>
        <w:rPr>
          <w:lang w:val="fr-FR"/>
        </w:rPr>
      </w:pPr>
      <w:bookmarkStart w:id="27" w:name="_Hlk79141182"/>
      <w:r w:rsidRPr="00D05C85">
        <w:rPr>
          <w:lang w:val="fr-FR"/>
        </w:rPr>
        <w:lastRenderedPageBreak/>
        <w:t>Annexe 4</w:t>
      </w:r>
    </w:p>
    <w:p w14:paraId="7C671B9D" w14:textId="77777777" w:rsidR="00AF2126" w:rsidRPr="00D05C85" w:rsidRDefault="00AF2126" w:rsidP="00AF2126">
      <w:pPr>
        <w:pStyle w:val="HChG"/>
        <w:rPr>
          <w:lang w:val="fr-FR"/>
        </w:rPr>
      </w:pPr>
      <w:r w:rsidRPr="00D05C85">
        <w:rPr>
          <w:lang w:val="fr-FR"/>
        </w:rPr>
        <w:tab/>
      </w:r>
      <w:r w:rsidRPr="00D05C85">
        <w:rPr>
          <w:lang w:val="fr-FR"/>
        </w:rPr>
        <w:tab/>
        <w:t xml:space="preserve">Prescriptions minimales concernant les procédures </w:t>
      </w:r>
      <w:r w:rsidRPr="00D05C85">
        <w:rPr>
          <w:lang w:val="fr-FR"/>
        </w:rPr>
        <w:br/>
        <w:t>de contrôle de la conformité de la production</w:t>
      </w:r>
    </w:p>
    <w:bookmarkEnd w:id="27"/>
    <w:p w14:paraId="1A9B593D"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w:t>
      </w:r>
      <w:r w:rsidRPr="00D05C85">
        <w:rPr>
          <w:lang w:val="fr-FR"/>
        </w:rPr>
        <w:tab/>
        <w:t>Généralités</w:t>
      </w:r>
    </w:p>
    <w:p w14:paraId="54BB2EBC" w14:textId="6920B424" w:rsidR="00AF2126" w:rsidRPr="00D05C85" w:rsidRDefault="00AF2126" w:rsidP="00AF2126">
      <w:pPr>
        <w:pStyle w:val="SingleTxtG"/>
        <w:tabs>
          <w:tab w:val="left" w:pos="2268"/>
          <w:tab w:val="left" w:pos="2835"/>
        </w:tabs>
        <w:ind w:left="2268" w:hanging="1134"/>
        <w:rPr>
          <w:lang w:val="fr-FR"/>
        </w:rPr>
      </w:pPr>
      <w:r w:rsidRPr="00D05C85">
        <w:rPr>
          <w:lang w:val="fr-FR"/>
        </w:rPr>
        <w:t>1.1</w:t>
      </w:r>
      <w:r w:rsidRPr="00D05C85">
        <w:rPr>
          <w:lang w:val="fr-FR"/>
        </w:rPr>
        <w:tab/>
        <w:t xml:space="preserve">Les prescriptions de conformité sont considérées comme satisfaites du point de vue mécanique </w:t>
      </w:r>
      <w:r w:rsidR="00910B33">
        <w:rPr>
          <w:lang w:val="fr-FR"/>
        </w:rPr>
        <w:t xml:space="preserve">et </w:t>
      </w:r>
      <w:r w:rsidRPr="00D05C85">
        <w:rPr>
          <w:lang w:val="fr-FR"/>
        </w:rPr>
        <w:t>géométrique, conformément aux prescriptions du présent Règlement, si les différences n’excèdent pas les écarts de fabrication inévitables.</w:t>
      </w:r>
    </w:p>
    <w:p w14:paraId="2BFCB744"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1.2</w:t>
      </w:r>
      <w:r w:rsidRPr="00D05C85">
        <w:rPr>
          <w:lang w:val="fr-FR"/>
        </w:rPr>
        <w:tab/>
        <w:t>Pour ce qui est des caractéristiques photométriques, la conformité des feux de série ne doit pas être contestée lors de l’essai des caractéristiques photométriques d’un feu prélevé au hasard conformément au paragraphe 4.8 du présent Règlement.</w:t>
      </w:r>
    </w:p>
    <w:p w14:paraId="190F84CC"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1.2.1</w:t>
      </w:r>
      <w:r w:rsidRPr="00D05C85">
        <w:rPr>
          <w:lang w:val="fr-FR"/>
        </w:rPr>
        <w:tab/>
        <w:t>Si, dans le cas d’un feu équipé d’une source lumineuse remplaçable, les résultats d’essai décrits ci-dessus ne sont pas conformes aux prescriptions, le feu est de nouveau soumis à des essais, avec une autre source lumineuse étalon.</w:t>
      </w:r>
    </w:p>
    <w:p w14:paraId="03663877"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1.3</w:t>
      </w:r>
      <w:r w:rsidRPr="00D05C85">
        <w:rPr>
          <w:lang w:val="fr-FR"/>
        </w:rPr>
        <w:tab/>
        <w:t>Les coordonnées chromatiques doivent être respectées lorsque l’essai est effectué dans les conditions définies au paragraphe 4.9 du présent Règlement.</w:t>
      </w:r>
    </w:p>
    <w:p w14:paraId="0390E31C"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1.4</w:t>
      </w:r>
      <w:r w:rsidRPr="00D05C85">
        <w:rPr>
          <w:lang w:val="fr-FR"/>
        </w:rPr>
        <w:tab/>
        <w:t>Dans le cas d’une ou plusieurs sources lumineuses à incandescence non remplaçables ou d’un ou plusieurs modules d’éclairage équipés d’une source lumineuse à incandescence non remplaçable, pour toute vérification de la conformité de la production :</w:t>
      </w:r>
    </w:p>
    <w:p w14:paraId="68654D49" w14:textId="23AF6ADC" w:rsidR="00AF2126" w:rsidRPr="00D05C85" w:rsidRDefault="00AF2126" w:rsidP="00AF2126">
      <w:pPr>
        <w:pStyle w:val="SingleTxtG"/>
        <w:tabs>
          <w:tab w:val="left" w:pos="2268"/>
          <w:tab w:val="left" w:pos="2835"/>
        </w:tabs>
        <w:ind w:left="2268" w:hanging="1134"/>
        <w:rPr>
          <w:lang w:val="fr-FR"/>
        </w:rPr>
      </w:pPr>
      <w:r w:rsidRPr="00D05C85">
        <w:rPr>
          <w:lang w:val="fr-FR"/>
        </w:rPr>
        <w:t>1.4.1</w:t>
      </w:r>
      <w:r w:rsidRPr="00D05C85">
        <w:rPr>
          <w:lang w:val="fr-FR"/>
        </w:rPr>
        <w:tab/>
        <w:t xml:space="preserve">Le détenteur de l’homologation est tenu d’apporter la preuve de son (leur) utilisation dans la fabrication courante </w:t>
      </w:r>
      <w:r w:rsidR="00910B33">
        <w:rPr>
          <w:lang w:val="fr-FR"/>
        </w:rPr>
        <w:t xml:space="preserve">et </w:t>
      </w:r>
      <w:r w:rsidRPr="00D05C85">
        <w:rPr>
          <w:lang w:val="fr-FR"/>
        </w:rPr>
        <w:t>de montrer l’identification de la ou des sources lumineuses à incandescence non remplaçables comme il est indiqué dans le dossier d’homologation de type.</w:t>
      </w:r>
    </w:p>
    <w:p w14:paraId="1152D87E"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w:t>
      </w:r>
      <w:r w:rsidRPr="00D05C85">
        <w:rPr>
          <w:lang w:val="fr-FR"/>
        </w:rPr>
        <w:tab/>
        <w:t>Exigences minimales pour la vérification de la conformité par le fabricant</w:t>
      </w:r>
    </w:p>
    <w:p w14:paraId="32480DA0"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Pour chaque type de feu, le détenteur de l’homologation est tenu d’effectuer au moins les essais ci-après, à une fréquence appropriée. Ces essais sont effectués conformément aux spécifications du présent Règlement.</w:t>
      </w:r>
    </w:p>
    <w:p w14:paraId="113F8147" w14:textId="633E981B" w:rsidR="00AF2126" w:rsidRPr="00D05C85" w:rsidRDefault="00AF2126" w:rsidP="00AF2126">
      <w:pPr>
        <w:pStyle w:val="SingleTxtG"/>
        <w:tabs>
          <w:tab w:val="left" w:pos="1701"/>
          <w:tab w:val="left" w:pos="2268"/>
          <w:tab w:val="left" w:pos="2835"/>
        </w:tabs>
        <w:ind w:left="2268"/>
        <w:rPr>
          <w:lang w:val="fr-FR"/>
        </w:rPr>
      </w:pPr>
      <w:r w:rsidRPr="00D05C85">
        <w:rPr>
          <w:lang w:val="fr-FR"/>
        </w:rPr>
        <w:t xml:space="preserve">Tout prélèvement d’échantillons mettant en évidence la non-conformité pour le type d’essai considéré donne lieu à un nouveau prélèvement </w:t>
      </w:r>
      <w:r w:rsidR="00910B33">
        <w:rPr>
          <w:lang w:val="fr-FR"/>
        </w:rPr>
        <w:t xml:space="preserve">et </w:t>
      </w:r>
      <w:r w:rsidRPr="00D05C85">
        <w:rPr>
          <w:lang w:val="fr-FR"/>
        </w:rPr>
        <w:t>à un nouvel essai. Le fabricant prend toute disposition pour assurer la conformité de la production correspondante.</w:t>
      </w:r>
    </w:p>
    <w:p w14:paraId="4C4F4594"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2.1</w:t>
      </w:r>
      <w:r w:rsidRPr="00D05C85">
        <w:rPr>
          <w:lang w:val="fr-FR"/>
        </w:rPr>
        <w:tab/>
        <w:t>Nature des essais</w:t>
      </w:r>
    </w:p>
    <w:p w14:paraId="182D0EDE" w14:textId="7F533C10" w:rsidR="00AF2126" w:rsidRPr="00D05C85" w:rsidRDefault="00AF2126" w:rsidP="00AF2126">
      <w:pPr>
        <w:pStyle w:val="SingleTxtG"/>
        <w:tabs>
          <w:tab w:val="left" w:pos="1701"/>
          <w:tab w:val="left" w:pos="2268"/>
          <w:tab w:val="left" w:pos="2835"/>
        </w:tabs>
        <w:ind w:left="2268"/>
        <w:rPr>
          <w:lang w:val="fr-FR"/>
        </w:rPr>
      </w:pPr>
      <w:r w:rsidRPr="00D05C85">
        <w:rPr>
          <w:lang w:val="fr-FR"/>
        </w:rPr>
        <w:t xml:space="preserve">Les essais de conformité du présent Règlement portent sur les caractéristiques photométriques </w:t>
      </w:r>
      <w:r w:rsidR="00910B33">
        <w:rPr>
          <w:lang w:val="fr-FR"/>
        </w:rPr>
        <w:t xml:space="preserve">et </w:t>
      </w:r>
      <w:r w:rsidRPr="00D05C85">
        <w:rPr>
          <w:lang w:val="fr-FR"/>
        </w:rPr>
        <w:t>les caractéristiques colorimétriques.</w:t>
      </w:r>
    </w:p>
    <w:p w14:paraId="13A014CC"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2.2</w:t>
      </w:r>
      <w:r w:rsidRPr="00D05C85">
        <w:rPr>
          <w:lang w:val="fr-FR"/>
        </w:rPr>
        <w:tab/>
        <w:t>Modalité des essais</w:t>
      </w:r>
    </w:p>
    <w:p w14:paraId="7F4A87C9" w14:textId="77777777" w:rsidR="00AF2126" w:rsidRPr="00D05C85" w:rsidRDefault="00AF2126" w:rsidP="00AF2126">
      <w:pPr>
        <w:pStyle w:val="SingleTxtG"/>
        <w:tabs>
          <w:tab w:val="left" w:pos="2268"/>
          <w:tab w:val="left" w:pos="2835"/>
        </w:tabs>
        <w:ind w:left="2268" w:hanging="1134"/>
        <w:rPr>
          <w:rStyle w:val="Carpredefinitoparagrafo1"/>
          <w:bCs/>
          <w:lang w:val="fr-FR"/>
        </w:rPr>
      </w:pPr>
      <w:r w:rsidRPr="00D05C85">
        <w:rPr>
          <w:lang w:val="fr-FR"/>
        </w:rPr>
        <w:t>2.2.1</w:t>
      </w:r>
      <w:r w:rsidRPr="00D05C85">
        <w:rPr>
          <w:lang w:val="fr-FR"/>
        </w:rPr>
        <w:tab/>
        <w:t>Les essais sont généralement effectués conformément aux méthodes définies dans le présent Règlement.</w:t>
      </w:r>
    </w:p>
    <w:p w14:paraId="69481444" w14:textId="77777777" w:rsidR="00AF2126" w:rsidRPr="00D05C85" w:rsidRDefault="00AF2126" w:rsidP="00AF2126">
      <w:pPr>
        <w:pStyle w:val="SingleTxtG"/>
        <w:tabs>
          <w:tab w:val="left" w:pos="2268"/>
          <w:tab w:val="left" w:pos="2835"/>
        </w:tabs>
        <w:ind w:left="2268" w:hanging="1134"/>
        <w:rPr>
          <w:rStyle w:val="Carpredefinitoparagrafo1"/>
          <w:bCs/>
          <w:lang w:val="fr-FR"/>
        </w:rPr>
      </w:pPr>
      <w:r w:rsidRPr="00D05C85">
        <w:rPr>
          <w:lang w:val="fr-FR"/>
        </w:rPr>
        <w:t>2.2.2</w:t>
      </w:r>
      <w:r w:rsidRPr="00D05C85">
        <w:rPr>
          <w:lang w:val="fr-FR"/>
        </w:rPr>
        <w:tab/>
        <w:t>Pour tout essai de conformité effectué par ses soins, le fabricant pourra cependant utiliser des méthodes équivalentes après approbation de l’autorité compétente chargée des essais d’homologation. Le fabricant est tenu de justifier que les méthodes utilisées sont équivalentes à celles qu’indique le présent Règlement.</w:t>
      </w:r>
    </w:p>
    <w:p w14:paraId="0D3E646D" w14:textId="1F22806B" w:rsidR="00AF2126" w:rsidRPr="00D05C85" w:rsidRDefault="00AF2126" w:rsidP="00AF2126">
      <w:pPr>
        <w:pStyle w:val="SingleTxtG"/>
        <w:tabs>
          <w:tab w:val="left" w:pos="2268"/>
          <w:tab w:val="left" w:pos="2835"/>
        </w:tabs>
        <w:ind w:left="2268" w:hanging="1134"/>
        <w:rPr>
          <w:lang w:val="fr-FR"/>
        </w:rPr>
      </w:pPr>
      <w:r w:rsidRPr="00D05C85">
        <w:rPr>
          <w:lang w:val="fr-FR"/>
        </w:rPr>
        <w:t>2.2.3</w:t>
      </w:r>
      <w:r w:rsidRPr="00D05C85">
        <w:rPr>
          <w:lang w:val="fr-FR"/>
        </w:rPr>
        <w:tab/>
        <w:t xml:space="preserve">L’application des paragraphes 2.2.1 </w:t>
      </w:r>
      <w:r w:rsidR="00910B33">
        <w:rPr>
          <w:lang w:val="fr-FR"/>
        </w:rPr>
        <w:t xml:space="preserve">et </w:t>
      </w:r>
      <w:r w:rsidRPr="00D05C85">
        <w:rPr>
          <w:lang w:val="fr-FR"/>
        </w:rPr>
        <w:t xml:space="preserve">2.2.2 donne lieu à un étalonnage régulier des matériels d’essais </w:t>
      </w:r>
      <w:r w:rsidR="00910B33">
        <w:rPr>
          <w:lang w:val="fr-FR"/>
        </w:rPr>
        <w:t xml:space="preserve">et </w:t>
      </w:r>
      <w:r w:rsidRPr="00D05C85">
        <w:rPr>
          <w:lang w:val="fr-FR"/>
        </w:rPr>
        <w:t>à une corrélation avec les mesures effectuées par une autorité compétente.</w:t>
      </w:r>
    </w:p>
    <w:p w14:paraId="2D9F5668" w14:textId="277860EC" w:rsidR="00AF2126" w:rsidRPr="00D05C85" w:rsidRDefault="00AF2126" w:rsidP="00AF2126">
      <w:pPr>
        <w:pStyle w:val="SingleTxtG"/>
        <w:tabs>
          <w:tab w:val="left" w:pos="2268"/>
          <w:tab w:val="left" w:pos="2835"/>
        </w:tabs>
        <w:ind w:left="2268" w:hanging="1134"/>
        <w:rPr>
          <w:lang w:val="fr-FR"/>
        </w:rPr>
      </w:pPr>
      <w:r w:rsidRPr="00D05C85">
        <w:rPr>
          <w:lang w:val="fr-FR"/>
        </w:rPr>
        <w:lastRenderedPageBreak/>
        <w:t>2.2.4</w:t>
      </w:r>
      <w:r w:rsidRPr="00D05C85">
        <w:rPr>
          <w:lang w:val="fr-FR"/>
        </w:rPr>
        <w:tab/>
        <w:t xml:space="preserve">Dans tous les cas, les méthodes de référence sont celles du présent Règlement, en particulier pour les contrôles </w:t>
      </w:r>
      <w:r w:rsidR="00910B33">
        <w:rPr>
          <w:lang w:val="fr-FR"/>
        </w:rPr>
        <w:t xml:space="preserve">et </w:t>
      </w:r>
      <w:r w:rsidRPr="00D05C85">
        <w:rPr>
          <w:lang w:val="fr-FR"/>
        </w:rPr>
        <w:t>prélèvements administratifs.</w:t>
      </w:r>
    </w:p>
    <w:p w14:paraId="54C29F15"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2.3</w:t>
      </w:r>
      <w:r w:rsidRPr="00D05C85">
        <w:rPr>
          <w:lang w:val="fr-FR"/>
        </w:rPr>
        <w:tab/>
        <w:t>Nature du prélèvement</w:t>
      </w:r>
    </w:p>
    <w:p w14:paraId="495DD786"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Les échantillons de feux doivent être prélevés au hasard, dans un lot homogène. On entend par lot homogène un ensemble de feux de même type, défini selon les méthodes de production du fabricant.</w:t>
      </w:r>
    </w:p>
    <w:p w14:paraId="302202ED" w14:textId="1DA7B16F" w:rsidR="00AF2126" w:rsidRPr="00D05C85" w:rsidRDefault="00AF2126" w:rsidP="00AF2126">
      <w:pPr>
        <w:pStyle w:val="SingleTxtG"/>
        <w:tabs>
          <w:tab w:val="left" w:pos="1701"/>
          <w:tab w:val="left" w:pos="2268"/>
          <w:tab w:val="left" w:pos="2835"/>
        </w:tabs>
        <w:ind w:left="2268"/>
        <w:rPr>
          <w:lang w:val="fr-FR"/>
        </w:rPr>
      </w:pPr>
      <w:r w:rsidRPr="00D05C85">
        <w:rPr>
          <w:lang w:val="fr-FR"/>
        </w:rPr>
        <w:t xml:space="preserve">L’évaluation porte généralement sur des feux produits en série par une seule usine. Cependant, un fabricant peut grouper les chiffres de production concernant le même type de feu produit par plusieurs usines, à condition que celles-ci appliquent les mêmes critères de qualité </w:t>
      </w:r>
      <w:r w:rsidR="00910B33">
        <w:rPr>
          <w:lang w:val="fr-FR"/>
        </w:rPr>
        <w:t xml:space="preserve">et </w:t>
      </w:r>
      <w:r w:rsidRPr="00D05C85">
        <w:rPr>
          <w:lang w:val="fr-FR"/>
        </w:rPr>
        <w:t>la même gestion de la qualité.</w:t>
      </w:r>
    </w:p>
    <w:p w14:paraId="23D7105F" w14:textId="76ED6B71" w:rsidR="00AF2126" w:rsidRPr="00D05C85" w:rsidRDefault="00AF2126" w:rsidP="00AF2126">
      <w:pPr>
        <w:pStyle w:val="SingleTxtG"/>
        <w:tabs>
          <w:tab w:val="left" w:pos="2268"/>
          <w:tab w:val="left" w:pos="2835"/>
        </w:tabs>
        <w:ind w:left="2268" w:hanging="1134"/>
        <w:rPr>
          <w:lang w:val="fr-FR"/>
        </w:rPr>
      </w:pPr>
      <w:r w:rsidRPr="00D05C85">
        <w:rPr>
          <w:lang w:val="fr-FR"/>
        </w:rPr>
        <w:t>2.4</w:t>
      </w:r>
      <w:r w:rsidRPr="00D05C85">
        <w:rPr>
          <w:lang w:val="fr-FR"/>
        </w:rPr>
        <w:tab/>
        <w:t xml:space="preserve">Caractéristiques photométriques mesurées </w:t>
      </w:r>
      <w:r w:rsidR="00910B33">
        <w:rPr>
          <w:lang w:val="fr-FR"/>
        </w:rPr>
        <w:t xml:space="preserve">et </w:t>
      </w:r>
      <w:r w:rsidRPr="00D05C85">
        <w:rPr>
          <w:lang w:val="fr-FR"/>
        </w:rPr>
        <w:t>relevées</w:t>
      </w:r>
    </w:p>
    <w:p w14:paraId="0C9BD0ED"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Les feux prélevés sont soumis à des mesures photométriques pour vérifier les valeurs minimales prescrites aux points indiqués à l’annexe 3 ainsi que les coordonnées chromatiques requises.</w:t>
      </w:r>
    </w:p>
    <w:p w14:paraId="50AAC15B"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2.5</w:t>
      </w:r>
      <w:r w:rsidRPr="00D05C85">
        <w:rPr>
          <w:lang w:val="fr-FR"/>
        </w:rPr>
        <w:tab/>
        <w:t>Critères d’acceptabilité</w:t>
      </w:r>
    </w:p>
    <w:p w14:paraId="41C88ECF" w14:textId="60CD6855" w:rsidR="00AF2126" w:rsidRPr="00D05C85" w:rsidRDefault="00AF2126" w:rsidP="00AF2126">
      <w:pPr>
        <w:pStyle w:val="SingleTxtG"/>
        <w:tabs>
          <w:tab w:val="left" w:pos="1701"/>
          <w:tab w:val="left" w:pos="2268"/>
          <w:tab w:val="left" w:pos="2835"/>
        </w:tabs>
        <w:ind w:left="2268"/>
        <w:rPr>
          <w:lang w:val="fr-FR"/>
        </w:rPr>
      </w:pPr>
      <w:r w:rsidRPr="00D05C85">
        <w:rPr>
          <w:lang w:val="fr-FR"/>
        </w:rPr>
        <w:t xml:space="preserve">Le fabricant est tenu d’effectuer l’exploitation statistique des résultats d’essais </w:t>
      </w:r>
      <w:r w:rsidR="00910B33">
        <w:rPr>
          <w:lang w:val="fr-FR"/>
        </w:rPr>
        <w:t xml:space="preserve">et </w:t>
      </w:r>
      <w:r w:rsidRPr="00D05C85">
        <w:rPr>
          <w:lang w:val="fr-FR"/>
        </w:rPr>
        <w:t>de définir en accord avec l’autorité compétente les critères d’acceptabilité de sa production afin de satisfaire aux prescriptions définies pour le contrôle de la conformité de la production au paragraphe 6.1 du présent Règlement.</w:t>
      </w:r>
    </w:p>
    <w:p w14:paraId="461B715E"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Les critères gouvernant l’acceptabilité doivent être tels que, avec un degré de confiance de 95 %, la probabilité minimum de passer avec succès une vérification par sondage telle que décrite à l’annexe 5 serait de 0,95.</w:t>
      </w:r>
    </w:p>
    <w:p w14:paraId="25D8F8A5" w14:textId="77777777" w:rsidR="00AF2126" w:rsidRPr="00D05C85" w:rsidRDefault="00AF2126" w:rsidP="00910B33">
      <w:pPr>
        <w:pStyle w:val="SingleTxtG"/>
        <w:rPr>
          <w:lang w:val="fr-FR"/>
        </w:rPr>
      </w:pPr>
      <w:bookmarkStart w:id="28" w:name="_Toc473483485"/>
      <w:r w:rsidRPr="00D05C85">
        <w:rPr>
          <w:lang w:val="fr-FR"/>
        </w:rPr>
        <w:br w:type="page"/>
      </w:r>
    </w:p>
    <w:p w14:paraId="0FC78F16" w14:textId="77777777" w:rsidR="00AF2126" w:rsidRPr="00D05C85" w:rsidRDefault="00AF2126" w:rsidP="00AF2126">
      <w:pPr>
        <w:pStyle w:val="HChG"/>
        <w:rPr>
          <w:lang w:val="fr-FR"/>
        </w:rPr>
      </w:pPr>
      <w:r w:rsidRPr="00D05C85">
        <w:rPr>
          <w:lang w:val="fr-FR"/>
        </w:rPr>
        <w:lastRenderedPageBreak/>
        <w:t>Annexe 5</w:t>
      </w:r>
      <w:bookmarkEnd w:id="28"/>
    </w:p>
    <w:p w14:paraId="75C8FADB" w14:textId="77777777" w:rsidR="00AF2126" w:rsidRPr="00D05C85" w:rsidRDefault="00AF2126" w:rsidP="00AF2126">
      <w:pPr>
        <w:pStyle w:val="HChG"/>
        <w:rPr>
          <w:lang w:val="fr-FR"/>
        </w:rPr>
      </w:pPr>
      <w:r w:rsidRPr="00D05C85">
        <w:rPr>
          <w:lang w:val="fr-FR"/>
        </w:rPr>
        <w:tab/>
      </w:r>
      <w:r w:rsidRPr="00D05C85">
        <w:rPr>
          <w:lang w:val="fr-FR"/>
        </w:rPr>
        <w:tab/>
        <w:t>Prescriptions minimales concernant l’échantillonnage fait par un inspecteur</w:t>
      </w:r>
    </w:p>
    <w:p w14:paraId="3A4CA8C8"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w:t>
      </w:r>
      <w:r w:rsidRPr="00D05C85">
        <w:rPr>
          <w:lang w:val="fr-FR"/>
        </w:rPr>
        <w:tab/>
        <w:t>Généralités</w:t>
      </w:r>
    </w:p>
    <w:p w14:paraId="29F3D900" w14:textId="7F5923EB" w:rsidR="00AF2126" w:rsidRPr="00D05C85" w:rsidRDefault="00AF2126" w:rsidP="00AF2126">
      <w:pPr>
        <w:pStyle w:val="SingleTxtG"/>
        <w:tabs>
          <w:tab w:val="left" w:pos="2268"/>
          <w:tab w:val="left" w:pos="2835"/>
        </w:tabs>
        <w:ind w:left="2268" w:hanging="1134"/>
        <w:rPr>
          <w:lang w:val="fr-FR"/>
        </w:rPr>
      </w:pPr>
      <w:r w:rsidRPr="00D05C85">
        <w:rPr>
          <w:lang w:val="fr-FR"/>
        </w:rPr>
        <w:t>1.1</w:t>
      </w:r>
      <w:r w:rsidRPr="00D05C85">
        <w:rPr>
          <w:lang w:val="fr-FR"/>
        </w:rPr>
        <w:tab/>
        <w:t xml:space="preserve">Les prescriptions de conformité sont considérées comme satisfaites du point de vue mécanique </w:t>
      </w:r>
      <w:r w:rsidR="00910B33">
        <w:rPr>
          <w:lang w:val="fr-FR"/>
        </w:rPr>
        <w:t xml:space="preserve">et </w:t>
      </w:r>
      <w:r w:rsidRPr="00D05C85">
        <w:rPr>
          <w:lang w:val="fr-FR"/>
        </w:rPr>
        <w:t>géométrique, conformément aux prescriptions du présent Règlement, si les différences, le cas échéant, n’excèdent pas les écarts de fabrication inévitables.</w:t>
      </w:r>
    </w:p>
    <w:p w14:paraId="0AD88E66"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1.2</w:t>
      </w:r>
      <w:r w:rsidRPr="00D05C85">
        <w:rPr>
          <w:lang w:val="fr-FR"/>
        </w:rPr>
        <w:tab/>
        <w:t>Pour ce qui est des caractéristiques photométriques, la conformité des feux de série n’est pas contestée si, lors de l’essai des caractéristiques photométriques d’un feu prélevé au hasard conformément au paragraphe 4.8 du présent Règlement :</w:t>
      </w:r>
    </w:p>
    <w:p w14:paraId="30DB97C7" w14:textId="77777777" w:rsidR="00AF2126" w:rsidRPr="00D05C85" w:rsidRDefault="00AF2126" w:rsidP="00AF2126">
      <w:pPr>
        <w:pStyle w:val="SingleTxtG"/>
        <w:tabs>
          <w:tab w:val="left" w:pos="1701"/>
          <w:tab w:val="left" w:pos="2268"/>
          <w:tab w:val="left" w:pos="2835"/>
        </w:tabs>
        <w:ind w:left="2835" w:hanging="567"/>
        <w:rPr>
          <w:lang w:val="fr-FR"/>
        </w:rPr>
      </w:pPr>
      <w:r w:rsidRPr="00D05C85">
        <w:rPr>
          <w:lang w:val="fr-FR"/>
        </w:rPr>
        <w:t>a)</w:t>
      </w:r>
      <w:r w:rsidRPr="00D05C85">
        <w:rPr>
          <w:lang w:val="fr-FR"/>
        </w:rPr>
        <w:tab/>
        <w:t>Aucune valeur mesurée ne s’écarte des valeurs prescrites au paragraphe 6.1.3 du présent Règlement ;</w:t>
      </w:r>
    </w:p>
    <w:p w14:paraId="735A7406" w14:textId="77777777" w:rsidR="00AF2126" w:rsidRPr="00D05C85" w:rsidRDefault="00AF2126" w:rsidP="00AF2126">
      <w:pPr>
        <w:pStyle w:val="SingleTxtG"/>
        <w:tabs>
          <w:tab w:val="left" w:pos="1701"/>
          <w:tab w:val="left" w:pos="2268"/>
          <w:tab w:val="left" w:pos="2835"/>
        </w:tabs>
        <w:ind w:left="2835" w:hanging="567"/>
        <w:rPr>
          <w:lang w:val="fr-FR"/>
        </w:rPr>
      </w:pPr>
      <w:r w:rsidRPr="00D05C85">
        <w:rPr>
          <w:lang w:val="fr-FR"/>
        </w:rPr>
        <w:t>b)</w:t>
      </w:r>
      <w:r w:rsidRPr="00D05C85">
        <w:rPr>
          <w:lang w:val="fr-FR"/>
        </w:rPr>
        <w:tab/>
        <w:t>Si, dans le cas d’un feu équipé d’une source lumineuse remplaçable, les résultats d’essai décrits ci-dessus ne sont pas conformes aux prescriptions, le feu est de nouveau soumis à des essais, avec une autre source lumineuse étalon.</w:t>
      </w:r>
    </w:p>
    <w:p w14:paraId="7021F600"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1.3</w:t>
      </w:r>
      <w:r w:rsidRPr="00D05C85">
        <w:rPr>
          <w:lang w:val="fr-FR"/>
        </w:rPr>
        <w:tab/>
        <w:t>Les feux présentant des défauts apparents ne sont pas pris en considération.</w:t>
      </w:r>
    </w:p>
    <w:p w14:paraId="61E74686"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1.4</w:t>
      </w:r>
      <w:r w:rsidRPr="00D05C85">
        <w:rPr>
          <w:lang w:val="fr-FR"/>
        </w:rPr>
        <w:tab/>
        <w:t>Les coordonnées chromatiques doivent être respectées lorsque l’essai est effectué dans les conditions définies au paragraphe 4.9 du présent Règlement.</w:t>
      </w:r>
    </w:p>
    <w:p w14:paraId="00896B82"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w:t>
      </w:r>
      <w:r w:rsidRPr="00D05C85">
        <w:rPr>
          <w:lang w:val="fr-FR"/>
        </w:rPr>
        <w:tab/>
        <w:t>Premier prélèvement</w:t>
      </w:r>
    </w:p>
    <w:p w14:paraId="32EE1220" w14:textId="199D0D74" w:rsidR="00AF2126" w:rsidRPr="00D05C85" w:rsidRDefault="00AF2126" w:rsidP="00AF2126">
      <w:pPr>
        <w:pStyle w:val="SingleTxtG"/>
        <w:ind w:left="2268"/>
        <w:rPr>
          <w:lang w:val="fr-FR"/>
        </w:rPr>
      </w:pPr>
      <w:r w:rsidRPr="00D05C85">
        <w:rPr>
          <w:lang w:val="fr-FR"/>
        </w:rPr>
        <w:tab/>
        <w:t xml:space="preserve">Quatre feux sont choisis au hasard. La lettre A est apposée sur le premier </w:t>
      </w:r>
      <w:r w:rsidR="00910B33">
        <w:rPr>
          <w:lang w:val="fr-FR"/>
        </w:rPr>
        <w:t xml:space="preserve">et </w:t>
      </w:r>
      <w:r w:rsidRPr="00D05C85">
        <w:rPr>
          <w:lang w:val="fr-FR"/>
        </w:rPr>
        <w:t xml:space="preserve">le troisième, </w:t>
      </w:r>
      <w:r w:rsidR="00910B33">
        <w:rPr>
          <w:lang w:val="fr-FR"/>
        </w:rPr>
        <w:t xml:space="preserve">et </w:t>
      </w:r>
      <w:r w:rsidRPr="00D05C85">
        <w:rPr>
          <w:lang w:val="fr-FR"/>
        </w:rPr>
        <w:t xml:space="preserve">la lettre B sur le deuxième </w:t>
      </w:r>
      <w:r w:rsidR="00910B33">
        <w:rPr>
          <w:lang w:val="fr-FR"/>
        </w:rPr>
        <w:t xml:space="preserve">et </w:t>
      </w:r>
      <w:r w:rsidRPr="00D05C85">
        <w:rPr>
          <w:lang w:val="fr-FR"/>
        </w:rPr>
        <w:t>le quatrième.</w:t>
      </w:r>
    </w:p>
    <w:p w14:paraId="723A1C6E" w14:textId="2D0FE0F8" w:rsidR="00AF2126" w:rsidRPr="00D05C85" w:rsidRDefault="00AF2126" w:rsidP="00AF2126">
      <w:pPr>
        <w:pStyle w:val="SingleTxtG"/>
        <w:tabs>
          <w:tab w:val="left" w:pos="2268"/>
          <w:tab w:val="left" w:pos="2835"/>
        </w:tabs>
        <w:ind w:left="2268" w:hanging="1134"/>
        <w:rPr>
          <w:lang w:val="fr-FR"/>
        </w:rPr>
      </w:pPr>
      <w:r w:rsidRPr="00D05C85">
        <w:rPr>
          <w:lang w:val="fr-FR"/>
        </w:rPr>
        <w:t>2.1</w:t>
      </w:r>
      <w:r w:rsidRPr="00D05C85">
        <w:rPr>
          <w:lang w:val="fr-FR"/>
        </w:rPr>
        <w:tab/>
        <w:t xml:space="preserve">La conformité des feux de série n’est pas contestée si aucune valeur mesurée sur les feux des échantillons A </w:t>
      </w:r>
      <w:r w:rsidR="00910B33">
        <w:rPr>
          <w:lang w:val="fr-FR"/>
        </w:rPr>
        <w:t xml:space="preserve">et </w:t>
      </w:r>
      <w:r w:rsidRPr="00D05C85">
        <w:rPr>
          <w:lang w:val="fr-FR"/>
        </w:rPr>
        <w:t>B ne s’écarte de plus de 20 % (pour aucun des quatre feux).</w:t>
      </w:r>
    </w:p>
    <w:p w14:paraId="3A61A641" w14:textId="77777777" w:rsidR="00AF2126" w:rsidRPr="00D05C85" w:rsidRDefault="00AF2126" w:rsidP="00AF2126">
      <w:pPr>
        <w:pStyle w:val="SingleTxtG"/>
        <w:ind w:left="2268"/>
        <w:rPr>
          <w:lang w:val="fr-FR"/>
        </w:rPr>
      </w:pPr>
      <w:r w:rsidRPr="00D05C85">
        <w:rPr>
          <w:lang w:val="fr-FR"/>
        </w:rPr>
        <w:t>Si l’écart n’est pas supérieur à 0 % pour les deux feux de l’échantillon A, on peut arrêter les mesures.</w:t>
      </w:r>
    </w:p>
    <w:p w14:paraId="4F33D844"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2.2</w:t>
      </w:r>
      <w:r w:rsidRPr="00D05C85">
        <w:rPr>
          <w:lang w:val="fr-FR"/>
        </w:rPr>
        <w:tab/>
        <w:t>La conformité des feux de série est contestée si l’écart de la valeur mesurée sur au moins un feu des échantillons A ou B dépasse 20 %.</w:t>
      </w:r>
    </w:p>
    <w:p w14:paraId="12FC7B94" w14:textId="0E39B97C" w:rsidR="00AF2126" w:rsidRPr="00D05C85" w:rsidRDefault="00AF2126" w:rsidP="00AF2126">
      <w:pPr>
        <w:pStyle w:val="SingleTxtG"/>
        <w:ind w:left="2268"/>
        <w:rPr>
          <w:lang w:val="fr-FR"/>
        </w:rPr>
      </w:pPr>
      <w:r w:rsidRPr="00D05C85">
        <w:rPr>
          <w:lang w:val="fr-FR"/>
        </w:rPr>
        <w:t xml:space="preserve">Le fabricant est prié de mettre sa production en conformité avec les prescriptions </w:t>
      </w:r>
      <w:r w:rsidR="00910B33">
        <w:rPr>
          <w:lang w:val="fr-FR"/>
        </w:rPr>
        <w:t xml:space="preserve">et </w:t>
      </w:r>
      <w:r w:rsidRPr="00D05C85">
        <w:rPr>
          <w:lang w:val="fr-FR"/>
        </w:rPr>
        <w:t>il faut procéder à un deuxième prélèvement, conformément au paragraphe</w:t>
      </w:r>
      <w:r w:rsidR="00910B33">
        <w:rPr>
          <w:lang w:val="fr-FR"/>
        </w:rPr>
        <w:t xml:space="preserve"> </w:t>
      </w:r>
      <w:r w:rsidRPr="00D05C85">
        <w:rPr>
          <w:lang w:val="fr-FR"/>
        </w:rPr>
        <w:t>3, dans les deux mois qui suivent la notification. Les échantillons</w:t>
      </w:r>
      <w:r w:rsidR="00910B33">
        <w:rPr>
          <w:lang w:val="fr-FR"/>
        </w:rPr>
        <w:t xml:space="preserve"> </w:t>
      </w:r>
      <w:r w:rsidRPr="00D05C85">
        <w:rPr>
          <w:lang w:val="fr-FR"/>
        </w:rPr>
        <w:t xml:space="preserve">A </w:t>
      </w:r>
      <w:r w:rsidR="00910B33">
        <w:rPr>
          <w:lang w:val="fr-FR"/>
        </w:rPr>
        <w:t xml:space="preserve">et </w:t>
      </w:r>
      <w:r w:rsidRPr="00D05C85">
        <w:rPr>
          <w:lang w:val="fr-FR"/>
        </w:rPr>
        <w:t>B doivent être conservés par le service technique jusqu’à la fin du processus de vérification de la conformité.</w:t>
      </w:r>
    </w:p>
    <w:p w14:paraId="7B1D8C31" w14:textId="77777777" w:rsidR="00AF2126" w:rsidRPr="00D05C85" w:rsidRDefault="00AF2126" w:rsidP="00AF2126">
      <w:pPr>
        <w:pStyle w:val="SingleTxtG"/>
        <w:tabs>
          <w:tab w:val="left" w:pos="2268"/>
          <w:tab w:val="left" w:pos="2835"/>
        </w:tabs>
        <w:ind w:left="2268" w:hanging="1134"/>
        <w:rPr>
          <w:lang w:val="fr-FR"/>
        </w:rPr>
      </w:pPr>
      <w:r w:rsidRPr="00D05C85">
        <w:rPr>
          <w:lang w:val="fr-FR"/>
        </w:rPr>
        <w:t>3.</w:t>
      </w:r>
      <w:r w:rsidRPr="00D05C85">
        <w:rPr>
          <w:lang w:val="fr-FR"/>
        </w:rPr>
        <w:tab/>
        <w:t>Deuxième prélèvement</w:t>
      </w:r>
    </w:p>
    <w:p w14:paraId="3798332E" w14:textId="4BDD50FF" w:rsidR="00AF2126" w:rsidRPr="00D05C85" w:rsidRDefault="00AF2126" w:rsidP="00AF2126">
      <w:pPr>
        <w:pStyle w:val="SingleTxtG"/>
        <w:ind w:left="2268"/>
        <w:rPr>
          <w:lang w:val="fr-FR"/>
        </w:rPr>
      </w:pPr>
      <w:r w:rsidRPr="00D05C85">
        <w:rPr>
          <w:lang w:val="fr-FR"/>
        </w:rPr>
        <w:tab/>
        <w:t xml:space="preserve">Quatre feux sont choisis au hasard parmi les feux produits après la mise en conformité. La lettre C est apposée sur le premier </w:t>
      </w:r>
      <w:r w:rsidR="00910B33">
        <w:rPr>
          <w:lang w:val="fr-FR"/>
        </w:rPr>
        <w:t xml:space="preserve">et </w:t>
      </w:r>
      <w:r w:rsidRPr="00D05C85">
        <w:rPr>
          <w:lang w:val="fr-FR"/>
        </w:rPr>
        <w:t xml:space="preserve">le troisième, </w:t>
      </w:r>
      <w:r w:rsidR="00910B33">
        <w:rPr>
          <w:lang w:val="fr-FR"/>
        </w:rPr>
        <w:t xml:space="preserve">et </w:t>
      </w:r>
      <w:r w:rsidRPr="00D05C85">
        <w:rPr>
          <w:lang w:val="fr-FR"/>
        </w:rPr>
        <w:t xml:space="preserve">la lettre D sur le deuxième </w:t>
      </w:r>
      <w:r w:rsidR="00910B33">
        <w:rPr>
          <w:lang w:val="fr-FR"/>
        </w:rPr>
        <w:t xml:space="preserve">et </w:t>
      </w:r>
      <w:r w:rsidRPr="00D05C85">
        <w:rPr>
          <w:lang w:val="fr-FR"/>
        </w:rPr>
        <w:t>le quatrième.</w:t>
      </w:r>
    </w:p>
    <w:p w14:paraId="64F03D75" w14:textId="38919AF4" w:rsidR="00AF2126" w:rsidRPr="00D05C85" w:rsidRDefault="00AF2126" w:rsidP="00AF2126">
      <w:pPr>
        <w:pStyle w:val="SingleTxtG"/>
        <w:tabs>
          <w:tab w:val="left" w:pos="2268"/>
          <w:tab w:val="left" w:pos="2835"/>
        </w:tabs>
        <w:ind w:left="2268" w:hanging="1134"/>
        <w:rPr>
          <w:lang w:val="fr-FR"/>
        </w:rPr>
      </w:pPr>
      <w:r w:rsidRPr="00D05C85">
        <w:rPr>
          <w:lang w:val="fr-FR"/>
        </w:rPr>
        <w:t>3.1</w:t>
      </w:r>
      <w:r w:rsidRPr="00D05C85">
        <w:rPr>
          <w:lang w:val="fr-FR"/>
        </w:rPr>
        <w:tab/>
        <w:t xml:space="preserve">La conformité des feux de série n’est pas contestée si aucune valeur mesurée sur les feux des échantillons A </w:t>
      </w:r>
      <w:r w:rsidR="00910B33">
        <w:rPr>
          <w:lang w:val="fr-FR"/>
        </w:rPr>
        <w:t xml:space="preserve">et </w:t>
      </w:r>
      <w:r w:rsidRPr="00D05C85">
        <w:rPr>
          <w:lang w:val="fr-FR"/>
        </w:rPr>
        <w:t>B ne s’écarte de plus de 20 % (pour aucun des quatre feux).</w:t>
      </w:r>
    </w:p>
    <w:p w14:paraId="6F7291DC" w14:textId="77777777" w:rsidR="00AF2126" w:rsidRPr="00D05C85" w:rsidRDefault="00AF2126" w:rsidP="00AF2126">
      <w:pPr>
        <w:pStyle w:val="SingleTxtG"/>
        <w:ind w:left="2268"/>
        <w:rPr>
          <w:lang w:val="fr-FR"/>
        </w:rPr>
      </w:pPr>
      <w:r w:rsidRPr="00D05C85">
        <w:rPr>
          <w:lang w:val="fr-FR"/>
        </w:rPr>
        <w:t>Si l’écart n’est pas supérieur à 0 % pour les deux feux de l’échantillon C, on peut arrêter les mesures.</w:t>
      </w:r>
    </w:p>
    <w:p w14:paraId="19529564" w14:textId="77777777" w:rsidR="00AF2126" w:rsidRPr="00D05C85" w:rsidRDefault="00AF2126" w:rsidP="00910B33">
      <w:pPr>
        <w:pStyle w:val="SingleTxtG"/>
        <w:keepNext/>
        <w:tabs>
          <w:tab w:val="left" w:pos="2268"/>
          <w:tab w:val="left" w:pos="2835"/>
        </w:tabs>
        <w:ind w:left="2268" w:hanging="1134"/>
        <w:rPr>
          <w:lang w:val="fr-FR"/>
        </w:rPr>
      </w:pPr>
      <w:r w:rsidRPr="00D05C85">
        <w:rPr>
          <w:lang w:val="fr-FR"/>
        </w:rPr>
        <w:lastRenderedPageBreak/>
        <w:t>3.2</w:t>
      </w:r>
      <w:r w:rsidRPr="00D05C85">
        <w:rPr>
          <w:lang w:val="fr-FR"/>
        </w:rPr>
        <w:tab/>
        <w:t>La conformité des feux de série est contestée si l’écart de la valeur mesurée sur au moins un feu des échantillons C ou D :</w:t>
      </w:r>
    </w:p>
    <w:p w14:paraId="1039E989" w14:textId="77777777" w:rsidR="00AF2126" w:rsidRPr="00D05C85" w:rsidRDefault="00AF2126" w:rsidP="00AF2126">
      <w:pPr>
        <w:pStyle w:val="SingleTxtG"/>
        <w:tabs>
          <w:tab w:val="left" w:pos="2268"/>
          <w:tab w:val="left" w:pos="2835"/>
        </w:tabs>
        <w:ind w:left="2268" w:hanging="1134"/>
        <w:rPr>
          <w:lang w:val="fr-FR"/>
        </w:rPr>
      </w:pPr>
      <w:r w:rsidRPr="00D05C85">
        <w:rPr>
          <w:lang w:val="fr-FR"/>
        </w:rPr>
        <w:t>3.2.1</w:t>
      </w:r>
      <w:r w:rsidRPr="00D05C85">
        <w:rPr>
          <w:lang w:val="fr-FR"/>
        </w:rPr>
        <w:tab/>
        <w:t>Dépasse 20 %, mais l’écart sur l’ensemble de ces échantillons ne dépasse pas 30 %.</w:t>
      </w:r>
    </w:p>
    <w:p w14:paraId="18C0D5D5" w14:textId="77777777" w:rsidR="00AF2126" w:rsidRPr="00D05C85" w:rsidRDefault="00AF2126" w:rsidP="00AF2126">
      <w:pPr>
        <w:pStyle w:val="SingleTxtG"/>
        <w:ind w:left="2268"/>
        <w:rPr>
          <w:lang w:val="fr-FR"/>
        </w:rPr>
      </w:pPr>
      <w:r w:rsidRPr="00D05C85">
        <w:rPr>
          <w:lang w:val="fr-FR"/>
        </w:rPr>
        <w:tab/>
        <w:t>Le fabricant doit être à nouveau prié de mettre sa production en conformité avec les prescriptions.</w:t>
      </w:r>
    </w:p>
    <w:p w14:paraId="38D81489" w14:textId="22035EA6" w:rsidR="00AF2126" w:rsidRPr="00D05C85" w:rsidRDefault="00AF2126" w:rsidP="00AF2126">
      <w:pPr>
        <w:pStyle w:val="SingleTxtG"/>
        <w:ind w:left="2268"/>
        <w:rPr>
          <w:lang w:val="fr-FR"/>
        </w:rPr>
      </w:pPr>
      <w:r w:rsidRPr="00D05C85">
        <w:rPr>
          <w:lang w:val="fr-FR"/>
        </w:rPr>
        <w:tab/>
        <w:t xml:space="preserve">Il faut procéder à un troisième prélèvement, conformément au paragraphe 4, dans les deux mois qui suivent la notification. Les échantillons C </w:t>
      </w:r>
      <w:r w:rsidR="00910B33">
        <w:rPr>
          <w:lang w:val="fr-FR"/>
        </w:rPr>
        <w:t xml:space="preserve">et </w:t>
      </w:r>
      <w:r w:rsidRPr="00D05C85">
        <w:rPr>
          <w:lang w:val="fr-FR"/>
        </w:rPr>
        <w:t>D doivent être conservés par le service technique jusqu’à la fin du processus de vérification de la conformité.</w:t>
      </w:r>
    </w:p>
    <w:p w14:paraId="5498A289" w14:textId="77777777" w:rsidR="00AF2126" w:rsidRPr="00D05C85" w:rsidRDefault="00AF2126" w:rsidP="00AF2126">
      <w:pPr>
        <w:pStyle w:val="SingleTxtG"/>
        <w:tabs>
          <w:tab w:val="left" w:pos="2268"/>
          <w:tab w:val="left" w:pos="2835"/>
        </w:tabs>
        <w:ind w:left="2268" w:hanging="1134"/>
        <w:rPr>
          <w:lang w:val="fr-FR"/>
        </w:rPr>
      </w:pPr>
      <w:r w:rsidRPr="00D05C85">
        <w:rPr>
          <w:lang w:val="fr-FR"/>
        </w:rPr>
        <w:t>3.2.2</w:t>
      </w:r>
      <w:r w:rsidRPr="00D05C85">
        <w:rPr>
          <w:lang w:val="fr-FR"/>
        </w:rPr>
        <w:tab/>
        <w:t>Dépasse 30 %. Dans ce cas, il faut retirer l’homologation conformément aux dispositions du paragraphe 5.</w:t>
      </w:r>
    </w:p>
    <w:p w14:paraId="7EA048A4" w14:textId="77777777" w:rsidR="00AF2126" w:rsidRPr="00D05C85" w:rsidRDefault="00AF2126" w:rsidP="00AF2126">
      <w:pPr>
        <w:pStyle w:val="SingleTxtG"/>
        <w:tabs>
          <w:tab w:val="left" w:pos="2268"/>
          <w:tab w:val="left" w:pos="2835"/>
        </w:tabs>
        <w:ind w:left="2268" w:hanging="1134"/>
        <w:rPr>
          <w:lang w:val="fr-FR"/>
        </w:rPr>
      </w:pPr>
      <w:r w:rsidRPr="00D05C85">
        <w:rPr>
          <w:lang w:val="fr-FR"/>
        </w:rPr>
        <w:t>4.</w:t>
      </w:r>
      <w:r w:rsidRPr="00D05C85">
        <w:rPr>
          <w:lang w:val="fr-FR"/>
        </w:rPr>
        <w:tab/>
        <w:t>Troisième prélèvement</w:t>
      </w:r>
    </w:p>
    <w:p w14:paraId="660FCAD7" w14:textId="57F1FE37" w:rsidR="00AF2126" w:rsidRPr="00D05C85" w:rsidRDefault="00AF2126" w:rsidP="00AF2126">
      <w:pPr>
        <w:pStyle w:val="SingleTxtG"/>
        <w:ind w:left="2268"/>
        <w:rPr>
          <w:lang w:val="fr-FR"/>
        </w:rPr>
      </w:pPr>
      <w:r w:rsidRPr="00D05C85">
        <w:rPr>
          <w:lang w:val="fr-FR"/>
        </w:rPr>
        <w:tab/>
        <w:t xml:space="preserve">Quatre feux sont choisis au hasard parmi les feux produits après la mise en conformité. La lettre E est apposée sur le premier </w:t>
      </w:r>
      <w:r w:rsidR="00910B33">
        <w:rPr>
          <w:lang w:val="fr-FR"/>
        </w:rPr>
        <w:t xml:space="preserve">et </w:t>
      </w:r>
      <w:r w:rsidRPr="00D05C85">
        <w:rPr>
          <w:lang w:val="fr-FR"/>
        </w:rPr>
        <w:t xml:space="preserve">le troisième, </w:t>
      </w:r>
      <w:r w:rsidR="00910B33">
        <w:rPr>
          <w:lang w:val="fr-FR"/>
        </w:rPr>
        <w:t xml:space="preserve">et </w:t>
      </w:r>
      <w:r w:rsidRPr="00D05C85">
        <w:rPr>
          <w:lang w:val="fr-FR"/>
        </w:rPr>
        <w:t xml:space="preserve">la lettre F sur le deuxième </w:t>
      </w:r>
      <w:r w:rsidR="00910B33">
        <w:rPr>
          <w:lang w:val="fr-FR"/>
        </w:rPr>
        <w:t xml:space="preserve">et </w:t>
      </w:r>
      <w:r w:rsidRPr="00D05C85">
        <w:rPr>
          <w:lang w:val="fr-FR"/>
        </w:rPr>
        <w:t>le quatrième.</w:t>
      </w:r>
    </w:p>
    <w:p w14:paraId="06E57F56" w14:textId="49CBFE36" w:rsidR="00AF2126" w:rsidRPr="00D05C85" w:rsidRDefault="00AF2126" w:rsidP="00AF2126">
      <w:pPr>
        <w:pStyle w:val="SingleTxtG"/>
        <w:tabs>
          <w:tab w:val="left" w:pos="2268"/>
          <w:tab w:val="left" w:pos="2835"/>
        </w:tabs>
        <w:ind w:left="2268" w:hanging="1134"/>
        <w:rPr>
          <w:lang w:val="fr-FR"/>
        </w:rPr>
      </w:pPr>
      <w:r w:rsidRPr="00D05C85">
        <w:rPr>
          <w:lang w:val="fr-FR"/>
        </w:rPr>
        <w:t>4.1</w:t>
      </w:r>
      <w:r w:rsidRPr="00D05C85">
        <w:rPr>
          <w:lang w:val="fr-FR"/>
        </w:rPr>
        <w:tab/>
        <w:t xml:space="preserve">La conformité des feux de série n’est pas contestée si aucune valeur mesurée sur les feux des échantillons E </w:t>
      </w:r>
      <w:r w:rsidR="00910B33">
        <w:rPr>
          <w:lang w:val="fr-FR"/>
        </w:rPr>
        <w:t xml:space="preserve">et </w:t>
      </w:r>
      <w:r w:rsidRPr="00D05C85">
        <w:rPr>
          <w:lang w:val="fr-FR"/>
        </w:rPr>
        <w:t>F ne s’écarte de plus de 20 % (pour aucun des quatre feux). Si l’écart n’est pas supérieur à 0 % pour les deux feux de l’échantillon E, on peut arrêter les mesures.</w:t>
      </w:r>
    </w:p>
    <w:p w14:paraId="2D52C8EE" w14:textId="77777777" w:rsidR="00AF2126" w:rsidRPr="00D05C85" w:rsidRDefault="00AF2126" w:rsidP="00AF2126">
      <w:pPr>
        <w:pStyle w:val="SingleTxtG"/>
        <w:tabs>
          <w:tab w:val="left" w:pos="2268"/>
          <w:tab w:val="left" w:pos="2835"/>
        </w:tabs>
        <w:ind w:left="2268" w:hanging="1134"/>
        <w:rPr>
          <w:lang w:val="fr-FR"/>
        </w:rPr>
      </w:pPr>
      <w:r w:rsidRPr="00D05C85">
        <w:rPr>
          <w:lang w:val="fr-FR"/>
        </w:rPr>
        <w:t>4.2</w:t>
      </w:r>
      <w:r w:rsidRPr="00D05C85">
        <w:rPr>
          <w:lang w:val="fr-FR"/>
        </w:rPr>
        <w:tab/>
        <w:t>La conformité des feux de série est contestée si l’écart de la valeur mesurée sur au moins un feu des échantillons E ou F dépasse 20 %. Dans ce cas, il faut retirer l’homologation conformément aux dispositions du paragraphe 5.</w:t>
      </w:r>
    </w:p>
    <w:p w14:paraId="5BF31F43" w14:textId="77777777" w:rsidR="00AF2126" w:rsidRPr="00D05C85" w:rsidRDefault="00AF2126" w:rsidP="00AF2126">
      <w:pPr>
        <w:pStyle w:val="SingleTxtG"/>
        <w:tabs>
          <w:tab w:val="left" w:pos="2268"/>
          <w:tab w:val="left" w:pos="2835"/>
        </w:tabs>
        <w:ind w:left="2268" w:hanging="1134"/>
        <w:rPr>
          <w:lang w:val="fr-FR"/>
        </w:rPr>
      </w:pPr>
      <w:r w:rsidRPr="00D05C85">
        <w:rPr>
          <w:lang w:val="fr-FR"/>
        </w:rPr>
        <w:t>5.</w:t>
      </w:r>
      <w:r w:rsidRPr="00D05C85">
        <w:rPr>
          <w:lang w:val="fr-FR"/>
        </w:rPr>
        <w:tab/>
        <w:t>Retrait d’homologation</w:t>
      </w:r>
    </w:p>
    <w:p w14:paraId="19032E26" w14:textId="1D1EBEEF" w:rsidR="00AF2126" w:rsidRPr="00D05C85" w:rsidRDefault="00AF2126" w:rsidP="00AF2126">
      <w:pPr>
        <w:tabs>
          <w:tab w:val="left" w:pos="2000"/>
          <w:tab w:val="left" w:leader="dot" w:pos="8505"/>
        </w:tabs>
        <w:spacing w:after="120"/>
        <w:ind w:left="2268" w:right="1134"/>
        <w:jc w:val="both"/>
        <w:rPr>
          <w:lang w:val="fr-FR"/>
        </w:rPr>
      </w:pPr>
      <w:r w:rsidRPr="00D05C85">
        <w:rPr>
          <w:lang w:val="fr-FR"/>
        </w:rPr>
        <w:t xml:space="preserve">Conformément aux prescriptions des paragraphes 4.1 </w:t>
      </w:r>
      <w:r w:rsidR="00910B33">
        <w:rPr>
          <w:lang w:val="fr-FR"/>
        </w:rPr>
        <w:t xml:space="preserve">et </w:t>
      </w:r>
      <w:r w:rsidRPr="00D05C85">
        <w:rPr>
          <w:lang w:val="fr-FR"/>
        </w:rPr>
        <w:t>4.2, le retrait de l’homologation s’effectue en vertu du paragraphe 3.6 du présent Règlement.</w:t>
      </w:r>
    </w:p>
    <w:p w14:paraId="2A0E355B" w14:textId="77777777" w:rsidR="00AF2126" w:rsidRPr="00D05C85" w:rsidRDefault="00AF2126" w:rsidP="00AF2126">
      <w:pPr>
        <w:suppressAutoHyphens w:val="0"/>
        <w:kinsoku/>
        <w:overflowPunct/>
        <w:autoSpaceDE/>
        <w:autoSpaceDN/>
        <w:adjustRightInd/>
        <w:snapToGrid/>
        <w:spacing w:after="200" w:line="276" w:lineRule="auto"/>
        <w:rPr>
          <w:lang w:val="fr-FR"/>
        </w:rPr>
      </w:pPr>
      <w:r w:rsidRPr="00D05C85">
        <w:rPr>
          <w:lang w:val="fr-FR"/>
        </w:rPr>
        <w:br w:type="page"/>
      </w:r>
    </w:p>
    <w:p w14:paraId="7E21BDD2" w14:textId="77777777" w:rsidR="00AF2126" w:rsidRPr="00D05C85" w:rsidRDefault="00AF2126" w:rsidP="00AF2126">
      <w:pPr>
        <w:pStyle w:val="HChG"/>
        <w:rPr>
          <w:lang w:val="fr-FR"/>
        </w:rPr>
      </w:pPr>
      <w:r w:rsidRPr="00D05C85">
        <w:rPr>
          <w:lang w:val="fr-FR"/>
        </w:rPr>
        <w:lastRenderedPageBreak/>
        <w:t>Annexe 6</w:t>
      </w:r>
    </w:p>
    <w:p w14:paraId="6F7C125A" w14:textId="03AA9BC4" w:rsidR="00AF2126" w:rsidRPr="00D05C85" w:rsidRDefault="00AF2126" w:rsidP="00AF2126">
      <w:pPr>
        <w:pStyle w:val="HChG"/>
        <w:rPr>
          <w:lang w:val="fr-FR"/>
        </w:rPr>
      </w:pPr>
      <w:r w:rsidRPr="00D05C85">
        <w:rPr>
          <w:lang w:val="fr-FR"/>
        </w:rPr>
        <w:tab/>
      </w:r>
      <w:r w:rsidRPr="00D05C85">
        <w:rPr>
          <w:lang w:val="fr-FR"/>
        </w:rPr>
        <w:tab/>
        <w:t xml:space="preserve">Essai de résistance à la chaleur pour les feux de brouillard arrière </w:t>
      </w:r>
      <w:r w:rsidR="00910B33">
        <w:rPr>
          <w:lang w:val="fr-FR"/>
        </w:rPr>
        <w:t xml:space="preserve">et </w:t>
      </w:r>
      <w:r w:rsidRPr="00D05C85">
        <w:rPr>
          <w:lang w:val="fr-FR"/>
        </w:rPr>
        <w:t>les feux de circulation diurne</w:t>
      </w:r>
    </w:p>
    <w:p w14:paraId="05D90AA6" w14:textId="578D8B9C" w:rsidR="00AF2126" w:rsidRPr="00D05C85" w:rsidRDefault="00AF2126" w:rsidP="00AF2126">
      <w:pPr>
        <w:pStyle w:val="SingleTxtG"/>
        <w:tabs>
          <w:tab w:val="left" w:pos="2268"/>
          <w:tab w:val="left" w:pos="2835"/>
        </w:tabs>
        <w:ind w:left="2268" w:hanging="1134"/>
        <w:rPr>
          <w:lang w:val="fr-FR"/>
        </w:rPr>
      </w:pPr>
      <w:r w:rsidRPr="00D05C85">
        <w:rPr>
          <w:lang w:val="fr-FR"/>
        </w:rPr>
        <w:t>1.</w:t>
      </w:r>
      <w:r w:rsidRPr="00D05C85">
        <w:rPr>
          <w:lang w:val="fr-FR"/>
        </w:rPr>
        <w:tab/>
        <w:t xml:space="preserve">Le feu doit être soumis à un essai de fonctionnement continu d’une heure faisant suite à une période de mise en température de 20 minutes. La température ambiante doit être de 23 ±5 °C. La source lumineuse utilisée doit être de la catégorie prévue pour ce feu </w:t>
      </w:r>
      <w:r w:rsidR="00910B33">
        <w:rPr>
          <w:lang w:val="fr-FR"/>
        </w:rPr>
        <w:t xml:space="preserve">et </w:t>
      </w:r>
      <w:r w:rsidRPr="00D05C85">
        <w:rPr>
          <w:lang w:val="fr-FR"/>
        </w:rPr>
        <w:t xml:space="preserve">alimentée par un courant d’une tension telle qu’elle donne la puissance moyenne spécifiée à la tension d’essai correspondante. Toutefois, pour les feux équipés de sources lumineuses non remplaçables (sources à incandescence </w:t>
      </w:r>
      <w:r w:rsidR="00910B33">
        <w:rPr>
          <w:lang w:val="fr-FR"/>
        </w:rPr>
        <w:t xml:space="preserve">et </w:t>
      </w:r>
      <w:r w:rsidRPr="00D05C85">
        <w:rPr>
          <w:lang w:val="fr-FR"/>
        </w:rPr>
        <w:t>autres), l’essai doit être réalisé avec les sources lumineuses présentes dans le feu, conformément au paragraphe 5.4.5 du présent Règlement.</w:t>
      </w:r>
    </w:p>
    <w:p w14:paraId="727A30D5" w14:textId="29EF4294" w:rsidR="00AF2126" w:rsidRPr="00D05C85" w:rsidRDefault="00AF2126" w:rsidP="00AF2126">
      <w:pPr>
        <w:pStyle w:val="SingleTxtG"/>
        <w:tabs>
          <w:tab w:val="left" w:pos="2268"/>
          <w:tab w:val="left" w:pos="2835"/>
        </w:tabs>
        <w:ind w:left="2268" w:hanging="1134"/>
        <w:rPr>
          <w:lang w:val="fr-FR"/>
        </w:rPr>
      </w:pPr>
      <w:r w:rsidRPr="00D05C85">
        <w:rPr>
          <w:lang w:val="fr-FR"/>
        </w:rPr>
        <w:t>2.</w:t>
      </w:r>
      <w:r w:rsidRPr="00D05C85">
        <w:rPr>
          <w:lang w:val="fr-FR"/>
        </w:rPr>
        <w:tab/>
        <w:t>Lorsque seule la puissance maximale est indiquée, l’essai doit être effectué en réglant la tension de façon à obtenir une puissance égale à 90 % de cette puissance. La puissance moyenne ou maximale ci-dessus doit, dans tous les cas, être obtenue avec la tension nominale 6, 12 ou 24</w:t>
      </w:r>
      <w:r w:rsidR="005B36F1" w:rsidRPr="00D05C85">
        <w:rPr>
          <w:lang w:val="fr-FR"/>
        </w:rPr>
        <w:t> V</w:t>
      </w:r>
      <w:r w:rsidRPr="00D05C85">
        <w:rPr>
          <w:lang w:val="fr-FR"/>
        </w:rPr>
        <w:t xml:space="preserve"> qui lui perm</w:t>
      </w:r>
      <w:r w:rsidR="00910B33">
        <w:rPr>
          <w:lang w:val="fr-FR"/>
        </w:rPr>
        <w:t xml:space="preserve">et </w:t>
      </w:r>
      <w:r w:rsidRPr="00D05C85">
        <w:rPr>
          <w:lang w:val="fr-FR"/>
        </w:rPr>
        <w:t>d’atteindre les plus grandes valeurs ; pour les sources lumineuses non remplaçables, les conditions d’essai du paragraphe 5.4.5 ou du paragraphe 5.9.5 du présent Règlement doivent être appliquées.</w:t>
      </w:r>
    </w:p>
    <w:p w14:paraId="54B053DD"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2.1</w:t>
      </w:r>
      <w:r w:rsidRPr="00D05C85">
        <w:rPr>
          <w:lang w:val="fr-FR"/>
        </w:rPr>
        <w:tab/>
        <w:t>Dans le cas des sources lumineuses commandées par un régulateur d’intensité, pour obtenir une intensité lumineuse variable, l’essai doit être effectué dans des conditions telles que l’intensité lumineuse soit égale au minimum à 90 % de l’intensité lumineuse maximale.</w:t>
      </w:r>
    </w:p>
    <w:p w14:paraId="0B8E2220" w14:textId="77777777" w:rsidR="00AF2126" w:rsidRPr="00D05C85" w:rsidRDefault="00AF2126" w:rsidP="00AF2126">
      <w:pPr>
        <w:pStyle w:val="SingleTxtG"/>
        <w:tabs>
          <w:tab w:val="left" w:pos="2268"/>
          <w:tab w:val="left" w:pos="2835"/>
        </w:tabs>
        <w:ind w:left="2268" w:hanging="1134"/>
        <w:rPr>
          <w:lang w:val="fr-FR"/>
        </w:rPr>
      </w:pPr>
      <w:r w:rsidRPr="00D05C85">
        <w:rPr>
          <w:lang w:val="fr-FR"/>
        </w:rPr>
        <w:t>3.</w:t>
      </w:r>
      <w:r w:rsidRPr="00D05C85">
        <w:rPr>
          <w:lang w:val="fr-FR"/>
        </w:rPr>
        <w:tab/>
        <w:t>Une fois que le feu est revenu à la température ambiante, aucune distorsion, déformation, fissure ou modification de couleur ne doit être perceptible. En cas de doute, on doit mesurer l’intensité de la lumière conformément au paragraphe 5 du présent Règlement. Les valeurs obtenues doivent atteindre au moins 90 % de celles obtenues avant l’essai de résistance à la chaleur effectué sur le même feu.</w:t>
      </w:r>
    </w:p>
    <w:p w14:paraId="66BFDB1F" w14:textId="77777777" w:rsidR="00AF2126" w:rsidRPr="00D05C85" w:rsidRDefault="00AF2126" w:rsidP="00AF2126">
      <w:pPr>
        <w:suppressAutoHyphens w:val="0"/>
        <w:kinsoku/>
        <w:overflowPunct/>
        <w:autoSpaceDE/>
        <w:autoSpaceDN/>
        <w:adjustRightInd/>
        <w:snapToGrid/>
        <w:spacing w:after="200" w:line="276" w:lineRule="auto"/>
        <w:rPr>
          <w:rFonts w:eastAsiaTheme="minorEastAsia"/>
          <w:lang w:val="fr-FR"/>
        </w:rPr>
      </w:pPr>
      <w:r w:rsidRPr="00D05C85">
        <w:rPr>
          <w:lang w:val="fr-FR"/>
        </w:rPr>
        <w:br w:type="page"/>
      </w:r>
    </w:p>
    <w:p w14:paraId="694628A0" w14:textId="77777777" w:rsidR="00AF2126" w:rsidRPr="00D05C85" w:rsidRDefault="00AF2126" w:rsidP="00AF2126">
      <w:pPr>
        <w:pStyle w:val="HChG"/>
        <w:rPr>
          <w:lang w:val="fr-FR"/>
        </w:rPr>
      </w:pPr>
      <w:bookmarkStart w:id="29" w:name="_Toc473483489"/>
      <w:r w:rsidRPr="00D05C85">
        <w:rPr>
          <w:lang w:val="fr-FR"/>
        </w:rPr>
        <w:lastRenderedPageBreak/>
        <w:t>Annexe 7</w:t>
      </w:r>
      <w:bookmarkEnd w:id="29"/>
    </w:p>
    <w:p w14:paraId="43915F56" w14:textId="77777777" w:rsidR="00AF2126" w:rsidRPr="00D05C85" w:rsidRDefault="00AF2126" w:rsidP="00AF2126">
      <w:pPr>
        <w:pStyle w:val="HChG"/>
        <w:rPr>
          <w:lang w:val="fr-FR"/>
        </w:rPr>
      </w:pPr>
      <w:r w:rsidRPr="00D05C85">
        <w:rPr>
          <w:lang w:val="fr-FR"/>
        </w:rPr>
        <w:tab/>
      </w:r>
      <w:r w:rsidRPr="00D05C85">
        <w:rPr>
          <w:lang w:val="fr-FR"/>
        </w:rPr>
        <w:tab/>
        <w:t>Exemples de marques d’homologation</w:t>
      </w:r>
    </w:p>
    <w:p w14:paraId="3B033E95" w14:textId="7454D8D4" w:rsidR="00AF2126" w:rsidRPr="00D05C85" w:rsidRDefault="00AF2126" w:rsidP="00AF2126">
      <w:pPr>
        <w:pStyle w:val="SingleTxtG"/>
        <w:rPr>
          <w:lang w:val="fr-FR"/>
        </w:rPr>
      </w:pPr>
      <w:r w:rsidRPr="00D05C85">
        <w:rPr>
          <w:lang w:val="fr-FR"/>
        </w:rPr>
        <w:tab/>
      </w:r>
      <w:r w:rsidRPr="00D05C85">
        <w:rPr>
          <w:lang w:val="fr-FR"/>
        </w:rPr>
        <w:tab/>
        <w:t xml:space="preserve">Les marques d’homologation ci-dessous sont données à titre d’exemple seulement </w:t>
      </w:r>
      <w:r w:rsidR="00910B33">
        <w:rPr>
          <w:lang w:val="fr-FR"/>
        </w:rPr>
        <w:t xml:space="preserve">et </w:t>
      </w:r>
      <w:r w:rsidRPr="00D05C85">
        <w:rPr>
          <w:lang w:val="fr-FR"/>
        </w:rPr>
        <w:t>toute autre marque d’homologation conforme au paragraphe 3.3 du présent Règlement est acceptable.</w:t>
      </w:r>
    </w:p>
    <w:p w14:paraId="0684B9E4" w14:textId="77777777" w:rsidR="00AF2126" w:rsidRPr="00D05C85" w:rsidRDefault="00AF2126" w:rsidP="00AF2126">
      <w:pPr>
        <w:pStyle w:val="H1G"/>
        <w:rPr>
          <w:szCs w:val="24"/>
          <w:lang w:val="fr-FR"/>
        </w:rPr>
      </w:pPr>
      <w:r w:rsidRPr="00D05C85">
        <w:rPr>
          <w:lang w:val="fr-FR"/>
        </w:rPr>
        <w:tab/>
        <w:t>1.</w:t>
      </w:r>
      <w:r w:rsidRPr="00D05C85">
        <w:rPr>
          <w:lang w:val="fr-FR"/>
        </w:rPr>
        <w:tab/>
        <w:t>Marque d’homologation d’un feu de signalisation lumineuse unique</w:t>
      </w:r>
    </w:p>
    <w:tbl>
      <w:tblPr>
        <w:tblW w:w="8505" w:type="dxa"/>
        <w:tblInd w:w="1134" w:type="dxa"/>
        <w:tblLayout w:type="fixed"/>
        <w:tblCellMar>
          <w:left w:w="0" w:type="dxa"/>
          <w:right w:w="0" w:type="dxa"/>
        </w:tblCellMar>
        <w:tblLook w:val="0000" w:firstRow="0" w:lastRow="0" w:firstColumn="0" w:lastColumn="0" w:noHBand="0" w:noVBand="0"/>
      </w:tblPr>
      <w:tblGrid>
        <w:gridCol w:w="4175"/>
        <w:gridCol w:w="4330"/>
      </w:tblGrid>
      <w:tr w:rsidR="00AF2126" w:rsidRPr="00D05C85" w14:paraId="3C4167AB" w14:textId="77777777" w:rsidTr="00E70082">
        <w:trPr>
          <w:trHeight w:val="3428"/>
        </w:trPr>
        <w:tc>
          <w:tcPr>
            <w:tcW w:w="4175" w:type="dxa"/>
            <w:shd w:val="clear" w:color="auto" w:fill="auto"/>
            <w:tcMar>
              <w:top w:w="0" w:type="dxa"/>
              <w:left w:w="0" w:type="dxa"/>
              <w:bottom w:w="0" w:type="dxa"/>
              <w:right w:w="0" w:type="dxa"/>
            </w:tcMar>
          </w:tcPr>
          <w:p w14:paraId="2CDC188D" w14:textId="77777777" w:rsidR="00AF2126" w:rsidRPr="00D05C85" w:rsidRDefault="00AF2126" w:rsidP="00E70082">
            <w:pPr>
              <w:spacing w:before="120" w:after="120" w:line="240" w:lineRule="auto"/>
              <w:ind w:left="57" w:right="57"/>
              <w:jc w:val="center"/>
              <w:rPr>
                <w:lang w:val="fr-FR"/>
              </w:rPr>
            </w:pPr>
            <w:r w:rsidRPr="00D05C85">
              <w:rPr>
                <w:lang w:val="fr-FR"/>
              </w:rPr>
              <w:t xml:space="preserve">Figure A7-I − </w:t>
            </w:r>
            <w:r w:rsidRPr="00D05C85">
              <w:rPr>
                <w:b/>
                <w:bCs/>
                <w:lang w:val="fr-FR"/>
              </w:rPr>
              <w:t>Exemple de marque 1</w:t>
            </w:r>
          </w:p>
          <w:p w14:paraId="12A69FF5" w14:textId="77777777" w:rsidR="00AF2126" w:rsidRPr="00D05C85" w:rsidRDefault="00AF2126" w:rsidP="00E70082">
            <w:pPr>
              <w:spacing w:before="120" w:after="120" w:line="240" w:lineRule="auto"/>
              <w:ind w:left="57" w:right="57"/>
              <w:jc w:val="center"/>
              <w:rPr>
                <w:lang w:val="fr-FR"/>
              </w:rPr>
            </w:pPr>
            <w:r w:rsidRPr="00D05C85">
              <w:rPr>
                <w:noProof/>
                <w:lang w:val="fr-FR"/>
              </w:rPr>
              <w:drawing>
                <wp:inline distT="0" distB="0" distL="0" distR="0" wp14:anchorId="715B8C6B" wp14:editId="6026DA5B">
                  <wp:extent cx="2590132" cy="1753264"/>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1D533F77" w14:textId="7B1255F8" w:rsidR="00AF2126" w:rsidRPr="00D05C85" w:rsidRDefault="00AF2126" w:rsidP="00E70082">
            <w:pPr>
              <w:spacing w:after="120" w:line="240" w:lineRule="auto"/>
              <w:ind w:left="57" w:right="57"/>
              <w:jc w:val="both"/>
              <w:rPr>
                <w:lang w:val="fr-FR"/>
              </w:rPr>
            </w:pPr>
            <w:r w:rsidRPr="00D05C85">
              <w:rPr>
                <w:lang w:val="fr-FR"/>
              </w:rPr>
              <w:t xml:space="preserve">a = voir </w:t>
            </w:r>
            <w:r w:rsidR="005B36F1" w:rsidRPr="00D05C85">
              <w:rPr>
                <w:lang w:val="fr-FR"/>
              </w:rPr>
              <w:t>par. </w:t>
            </w:r>
            <w:r w:rsidRPr="00D05C85">
              <w:rPr>
                <w:lang w:val="fr-FR"/>
              </w:rPr>
              <w:t>3.3.1.2.1 du présent Règlement</w:t>
            </w:r>
          </w:p>
        </w:tc>
        <w:tc>
          <w:tcPr>
            <w:tcW w:w="4330" w:type="dxa"/>
            <w:shd w:val="clear" w:color="auto" w:fill="auto"/>
            <w:tcMar>
              <w:top w:w="0" w:type="dxa"/>
              <w:left w:w="0" w:type="dxa"/>
              <w:bottom w:w="0" w:type="dxa"/>
              <w:right w:w="0" w:type="dxa"/>
            </w:tcMar>
          </w:tcPr>
          <w:p w14:paraId="1DB67A52" w14:textId="77777777" w:rsidR="00AF2126" w:rsidRPr="00D05C85" w:rsidRDefault="00AF2126" w:rsidP="00E70082">
            <w:pPr>
              <w:spacing w:after="120" w:line="240" w:lineRule="auto"/>
              <w:ind w:left="57" w:right="57"/>
              <w:jc w:val="both"/>
              <w:rPr>
                <w:lang w:val="fr-FR"/>
              </w:rPr>
            </w:pPr>
            <w:r w:rsidRPr="00D05C85">
              <w:rPr>
                <w:lang w:val="fr-FR"/>
              </w:rPr>
              <w:t>Le feu portant la marque d’homologation ci-contre est un feu de position avant (A) homologué aux Pays</w:t>
            </w:r>
            <w:r w:rsidRPr="00D05C85">
              <w:rPr>
                <w:lang w:val="fr-FR"/>
              </w:rPr>
              <w:noBreakHyphen/>
              <w:t>Bas (E4) sous le numéro d’homologation 0221 en application du présent Règlement (148R).</w:t>
            </w:r>
          </w:p>
          <w:p w14:paraId="7C7F5734" w14:textId="402570AE" w:rsidR="00AF2126" w:rsidRPr="00D05C85" w:rsidRDefault="00AF2126" w:rsidP="00E70082">
            <w:pPr>
              <w:spacing w:after="120" w:line="240" w:lineRule="auto"/>
              <w:ind w:left="57" w:right="57"/>
              <w:jc w:val="both"/>
              <w:rPr>
                <w:lang w:val="fr-FR"/>
              </w:rPr>
            </w:pPr>
            <w:r w:rsidRPr="00D05C85">
              <w:rPr>
                <w:lang w:val="fr-FR"/>
              </w:rPr>
              <w:t xml:space="preserve">Le numéro (01) figurant après 148R indique que l’homologation a été accordée conformément aux prescriptions du présent Règlement tel que modifié par la série 01 d’amendements. La flèche horizontale indique l’extérieur du véhicule. La flèche verticale partant d’un segment horizontal </w:t>
            </w:r>
            <w:r w:rsidR="00910B33">
              <w:rPr>
                <w:lang w:val="fr-FR"/>
              </w:rPr>
              <w:t xml:space="preserve">et </w:t>
            </w:r>
            <w:r w:rsidRPr="00D05C85">
              <w:rPr>
                <w:lang w:val="fr-FR"/>
              </w:rPr>
              <w:t>dirigée vers le bas indique un feu dont le champ de répartition lumineuse est réduit (verticalement vers le bas et/ou horizontalement en dessous du plan H).</w:t>
            </w:r>
          </w:p>
        </w:tc>
      </w:tr>
      <w:tr w:rsidR="00AF2126" w:rsidRPr="00D05C85" w14:paraId="19949643" w14:textId="77777777" w:rsidTr="00E70082">
        <w:trPr>
          <w:trHeight w:val="2648"/>
        </w:trPr>
        <w:tc>
          <w:tcPr>
            <w:tcW w:w="4175" w:type="dxa"/>
            <w:shd w:val="clear" w:color="auto" w:fill="auto"/>
            <w:tcMar>
              <w:top w:w="0" w:type="dxa"/>
              <w:left w:w="0" w:type="dxa"/>
              <w:bottom w:w="0" w:type="dxa"/>
              <w:right w:w="0" w:type="dxa"/>
            </w:tcMar>
          </w:tcPr>
          <w:p w14:paraId="3432D5AD" w14:textId="77777777" w:rsidR="00AF2126" w:rsidRPr="00D05C85" w:rsidRDefault="00AF2126" w:rsidP="00E70082">
            <w:pPr>
              <w:spacing w:before="120" w:after="120" w:line="240" w:lineRule="auto"/>
              <w:ind w:left="57" w:right="57"/>
              <w:jc w:val="center"/>
              <w:rPr>
                <w:lang w:val="fr-FR"/>
              </w:rPr>
            </w:pPr>
            <w:r w:rsidRPr="00D05C85">
              <w:rPr>
                <w:lang w:val="fr-FR"/>
              </w:rPr>
              <w:t xml:space="preserve">Figure A7-II − </w:t>
            </w:r>
            <w:r w:rsidRPr="00D05C85">
              <w:rPr>
                <w:b/>
                <w:bCs/>
                <w:lang w:val="fr-FR"/>
              </w:rPr>
              <w:t>Exemple de marque 2</w:t>
            </w:r>
          </w:p>
          <w:p w14:paraId="1D3C1D6D" w14:textId="77777777" w:rsidR="00AF2126" w:rsidRPr="00D05C85" w:rsidRDefault="00AF2126" w:rsidP="00E70082">
            <w:pPr>
              <w:spacing w:before="120" w:after="120" w:line="240" w:lineRule="auto"/>
              <w:ind w:left="57" w:right="57"/>
              <w:jc w:val="center"/>
              <w:rPr>
                <w:lang w:val="fr-FR"/>
              </w:rPr>
            </w:pPr>
            <w:r w:rsidRPr="00D05C85">
              <w:rPr>
                <w:noProof/>
                <w:lang w:val="fr-FR"/>
              </w:rPr>
              <w:drawing>
                <wp:inline distT="0" distB="0" distL="0" distR="0" wp14:anchorId="4D93CE11" wp14:editId="3A55496D">
                  <wp:extent cx="2365375" cy="193230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0" w:type="dxa"/>
              <w:bottom w:w="0" w:type="dxa"/>
              <w:right w:w="0" w:type="dxa"/>
            </w:tcMar>
          </w:tcPr>
          <w:p w14:paraId="26418E54" w14:textId="421C1DE3" w:rsidR="00AF2126" w:rsidRPr="00D05C85" w:rsidRDefault="00AF2126" w:rsidP="00E70082">
            <w:pPr>
              <w:spacing w:after="120" w:line="240" w:lineRule="auto"/>
              <w:ind w:left="57" w:right="57"/>
              <w:jc w:val="both"/>
              <w:rPr>
                <w:lang w:val="fr-FR"/>
              </w:rPr>
            </w:pPr>
            <w:r w:rsidRPr="00D05C85">
              <w:rPr>
                <w:lang w:val="fr-FR"/>
              </w:rPr>
              <w:t xml:space="preserve">Le feu portant la marque d’homologation ci-contre est un ensemble comprenant un feu de position avant (A) </w:t>
            </w:r>
            <w:r w:rsidR="00910B33">
              <w:rPr>
                <w:lang w:val="fr-FR"/>
              </w:rPr>
              <w:t xml:space="preserve">et </w:t>
            </w:r>
            <w:r w:rsidRPr="00D05C85">
              <w:rPr>
                <w:lang w:val="fr-FR"/>
              </w:rPr>
              <w:t xml:space="preserve">un feu de brouillard avant (F3) muni d’une glace en plastique (PL), homologué en France (E2) sous le numéro d’homologation 3223 en application du présent Règlement (148R) </w:t>
            </w:r>
            <w:r w:rsidR="00910B33">
              <w:rPr>
                <w:lang w:val="fr-FR"/>
              </w:rPr>
              <w:t xml:space="preserve">et </w:t>
            </w:r>
            <w:r w:rsidRPr="00D05C85">
              <w:rPr>
                <w:lang w:val="fr-FR"/>
              </w:rPr>
              <w:t>du Règlement ONU relatif aux dispositifs d’éclairage de la route (149R).</w:t>
            </w:r>
          </w:p>
          <w:p w14:paraId="3BFDFB0B" w14:textId="3AD440ED" w:rsidR="00AF2126" w:rsidRPr="00D05C85" w:rsidRDefault="00AF2126" w:rsidP="00E70082">
            <w:pPr>
              <w:spacing w:after="120" w:line="240" w:lineRule="auto"/>
              <w:ind w:left="57" w:right="57"/>
              <w:jc w:val="both"/>
              <w:rPr>
                <w:lang w:val="fr-FR"/>
              </w:rPr>
            </w:pPr>
            <w:r w:rsidRPr="00D05C85">
              <w:rPr>
                <w:lang w:val="fr-FR"/>
              </w:rPr>
              <w:t xml:space="preserve">Le numéro (01) figurant après 148R </w:t>
            </w:r>
            <w:r w:rsidR="00910B33">
              <w:rPr>
                <w:lang w:val="fr-FR"/>
              </w:rPr>
              <w:t xml:space="preserve">et </w:t>
            </w:r>
            <w:r w:rsidRPr="00D05C85">
              <w:rPr>
                <w:lang w:val="fr-FR"/>
              </w:rPr>
              <w:t>après 149R indique que l’homologation a été accordée conformément aux prescriptions du Règlement pertinent tel que modifié par la série 01 d’amendements.</w:t>
            </w:r>
          </w:p>
        </w:tc>
      </w:tr>
    </w:tbl>
    <w:p w14:paraId="745543D4" w14:textId="77777777" w:rsidR="00AF2126" w:rsidRPr="00D05C85" w:rsidRDefault="00AF2126" w:rsidP="00AF2126">
      <w:pPr>
        <w:pStyle w:val="H1G"/>
        <w:rPr>
          <w:lang w:val="fr-FR"/>
        </w:rPr>
      </w:pPr>
      <w:r w:rsidRPr="00D05C85">
        <w:rPr>
          <w:lang w:val="fr-FR"/>
        </w:rPr>
        <w:tab/>
        <w:t>2.</w:t>
      </w:r>
      <w:r w:rsidRPr="00D05C85">
        <w:rPr>
          <w:lang w:val="fr-FR"/>
        </w:rPr>
        <w:tab/>
        <w:t>Marque d’homologation des feux groupés, combinés ou mutuellement incorporés</w:t>
      </w:r>
    </w:p>
    <w:p w14:paraId="061824C3" w14:textId="4AC4F0E6" w:rsidR="00AF2126" w:rsidRPr="00D05C85" w:rsidRDefault="00AF2126" w:rsidP="00AF2126">
      <w:pPr>
        <w:pStyle w:val="SingleTxtG"/>
        <w:rPr>
          <w:lang w:val="fr-FR"/>
        </w:rPr>
      </w:pPr>
      <w:r w:rsidRPr="00D05C85">
        <w:rPr>
          <w:i/>
          <w:iCs/>
          <w:lang w:val="fr-FR"/>
        </w:rPr>
        <w:t>Note :</w:t>
      </w:r>
      <w:r w:rsidRPr="00D05C85">
        <w:rPr>
          <w:lang w:val="fr-FR"/>
        </w:rPr>
        <w:t xml:space="preserve"> Les lignes verticales </w:t>
      </w:r>
      <w:r w:rsidR="00910B33">
        <w:rPr>
          <w:lang w:val="fr-FR"/>
        </w:rPr>
        <w:t xml:space="preserve">et </w:t>
      </w:r>
      <w:r w:rsidRPr="00D05C85">
        <w:rPr>
          <w:lang w:val="fr-FR"/>
        </w:rPr>
        <w:t>horizontales schématisent la forme du feu de signalisation lumineuse. Elles ne font pas partie de la marque d’homologation.</w:t>
      </w:r>
    </w:p>
    <w:p w14:paraId="67471358" w14:textId="77777777" w:rsidR="00AF2126" w:rsidRPr="00D05C85" w:rsidRDefault="00AF2126" w:rsidP="00AF2126">
      <w:pPr>
        <w:suppressAutoHyphens w:val="0"/>
        <w:spacing w:line="240" w:lineRule="auto"/>
        <w:rPr>
          <w:lang w:val="fr-FR"/>
        </w:rPr>
      </w:pPr>
      <w:r w:rsidRPr="00D05C85">
        <w:rPr>
          <w:lang w:val="fr-FR"/>
        </w:rPr>
        <w:br w:type="page"/>
      </w:r>
    </w:p>
    <w:p w14:paraId="2CBE1440" w14:textId="77777777" w:rsidR="00AF2126" w:rsidRPr="00D05C85" w:rsidRDefault="00AF2126" w:rsidP="00AF2126">
      <w:pPr>
        <w:pStyle w:val="Titre1"/>
        <w:tabs>
          <w:tab w:val="left" w:pos="1701"/>
          <w:tab w:val="left" w:pos="2268"/>
          <w:tab w:val="left" w:pos="2835"/>
        </w:tabs>
        <w:spacing w:after="120"/>
        <w:rPr>
          <w:b/>
          <w:bCs/>
          <w:lang w:val="fr-FR"/>
        </w:rPr>
      </w:pPr>
      <w:r w:rsidRPr="00D05C85">
        <w:rPr>
          <w:lang w:val="fr-FR"/>
        </w:rPr>
        <w:lastRenderedPageBreak/>
        <w:t>Figure A7-III</w:t>
      </w:r>
      <w:r w:rsidRPr="00D05C85">
        <w:rPr>
          <w:lang w:val="fr-FR"/>
        </w:rPr>
        <w:br/>
      </w:r>
      <w:r w:rsidRPr="00D05C85">
        <w:rPr>
          <w:b/>
          <w:bCs/>
          <w:lang w:val="fr-FR"/>
        </w:rPr>
        <w:t>Exemple de marque 3-a</w:t>
      </w:r>
    </w:p>
    <w:tbl>
      <w:tblPr>
        <w:tblW w:w="7361" w:type="dxa"/>
        <w:tblInd w:w="1134" w:type="dxa"/>
        <w:tblLayout w:type="fixed"/>
        <w:tblCellMar>
          <w:left w:w="10" w:type="dxa"/>
          <w:right w:w="10" w:type="dxa"/>
        </w:tblCellMar>
        <w:tblLook w:val="0000" w:firstRow="0" w:lastRow="0" w:firstColumn="0" w:lastColumn="0" w:noHBand="0" w:noVBand="0"/>
      </w:tblPr>
      <w:tblGrid>
        <w:gridCol w:w="7361"/>
      </w:tblGrid>
      <w:tr w:rsidR="00AF2126" w:rsidRPr="00D05C85" w14:paraId="3BD71E3B" w14:textId="77777777" w:rsidTr="00E70082">
        <w:trPr>
          <w:trHeight w:val="3625"/>
        </w:trPr>
        <w:tc>
          <w:tcPr>
            <w:tcW w:w="7361" w:type="dxa"/>
            <w:shd w:val="clear" w:color="auto" w:fill="auto"/>
            <w:tcMar>
              <w:top w:w="0" w:type="dxa"/>
              <w:left w:w="108" w:type="dxa"/>
              <w:bottom w:w="0" w:type="dxa"/>
              <w:right w:w="108" w:type="dxa"/>
            </w:tcMar>
          </w:tcPr>
          <w:p w14:paraId="131BA9B4" w14:textId="77777777" w:rsidR="00AF2126" w:rsidRPr="00D05C85" w:rsidRDefault="00AF2126" w:rsidP="00E70082">
            <w:pPr>
              <w:pStyle w:val="SingleTxtG"/>
              <w:spacing w:line="240" w:lineRule="auto"/>
              <w:ind w:left="0" w:right="0"/>
              <w:rPr>
                <w:lang w:val="fr-FR"/>
              </w:rPr>
            </w:pPr>
            <w:r w:rsidRPr="00D05C85">
              <w:rPr>
                <w:noProof/>
                <w:lang w:val="fr-FR"/>
              </w:rPr>
              <w:drawing>
                <wp:inline distT="0" distB="0" distL="0" distR="0" wp14:anchorId="74EEBFF9" wp14:editId="0647AA72">
                  <wp:extent cx="3562066" cy="1385631"/>
                  <wp:effectExtent l="0" t="0" r="635"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274A18B0" w14:textId="77777777" w:rsidR="00AF2126" w:rsidRPr="00D05C85" w:rsidRDefault="00AF2126" w:rsidP="00E70082">
            <w:pPr>
              <w:pStyle w:val="Titolo11"/>
              <w:spacing w:before="0" w:after="120"/>
              <w:ind w:hanging="2"/>
              <w:rPr>
                <w:rStyle w:val="Carpredefinitoparagrafo1"/>
                <w:b/>
                <w:bCs/>
                <w:lang w:val="fr-FR"/>
              </w:rPr>
            </w:pPr>
            <w:r w:rsidRPr="00D05C85">
              <w:rPr>
                <w:b/>
                <w:bCs/>
                <w:lang w:val="fr-FR"/>
              </w:rPr>
              <w:t>Exemple de marque 3-b</w:t>
            </w:r>
          </w:p>
          <w:p w14:paraId="60A1D78D" w14:textId="77777777" w:rsidR="00AF2126" w:rsidRPr="00D05C85" w:rsidRDefault="00AF2126" w:rsidP="00E70082">
            <w:pPr>
              <w:spacing w:after="120" w:line="240" w:lineRule="auto"/>
              <w:jc w:val="both"/>
              <w:rPr>
                <w:lang w:val="fr-FR"/>
              </w:rPr>
            </w:pPr>
            <w:r w:rsidRPr="00D05C85">
              <w:rPr>
                <w:noProof/>
                <w:lang w:val="fr-FR"/>
              </w:rPr>
              <w:drawing>
                <wp:inline distT="0" distB="0" distL="0" distR="0" wp14:anchorId="06629BFA" wp14:editId="10068104">
                  <wp:extent cx="3521122" cy="1347324"/>
                  <wp:effectExtent l="0" t="0" r="3175" b="571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AF2126" w:rsidRPr="00D05C85" w14:paraId="4C296D11" w14:textId="77777777" w:rsidTr="00E70082">
        <w:tc>
          <w:tcPr>
            <w:tcW w:w="7361" w:type="dxa"/>
            <w:shd w:val="clear" w:color="auto" w:fill="auto"/>
            <w:tcMar>
              <w:top w:w="0" w:type="dxa"/>
              <w:left w:w="108" w:type="dxa"/>
              <w:bottom w:w="0" w:type="dxa"/>
              <w:right w:w="108" w:type="dxa"/>
            </w:tcMar>
          </w:tcPr>
          <w:p w14:paraId="46AF8763" w14:textId="77777777" w:rsidR="00AF2126" w:rsidRPr="00D05C85" w:rsidRDefault="00AF2126" w:rsidP="00E70082">
            <w:pPr>
              <w:spacing w:before="40" w:after="120"/>
              <w:jc w:val="both"/>
              <w:rPr>
                <w:lang w:val="fr-FR"/>
              </w:rPr>
            </w:pPr>
            <w:r w:rsidRPr="00D05C85">
              <w:rPr>
                <w:lang w:val="fr-FR"/>
              </w:rPr>
              <w:tab/>
              <w:t>Ces exemples de marques d’homologation représentent deux variantes possibles du marquage d’un feu de signalisation lumineuse lorsque deux feux ou plus font partie du même ensemble de feux groupés, combinés ou mutuellement incorporés.</w:t>
            </w:r>
          </w:p>
          <w:p w14:paraId="56E9C584" w14:textId="29D5605E" w:rsidR="00AF2126" w:rsidRPr="00D05C85" w:rsidRDefault="00AF2126" w:rsidP="00E70082">
            <w:pPr>
              <w:spacing w:before="40" w:after="120"/>
              <w:jc w:val="both"/>
              <w:rPr>
                <w:lang w:val="fr-FR"/>
              </w:rPr>
            </w:pPr>
            <w:r w:rsidRPr="00D05C85">
              <w:rPr>
                <w:lang w:val="fr-FR"/>
              </w:rPr>
              <w:tab/>
              <w:t xml:space="preserve">Ils indiquent que le feu a été homologué aux Pays-Bas (E4) sous le numéro d’homologation 3333 </w:t>
            </w:r>
            <w:r w:rsidR="00910B33">
              <w:rPr>
                <w:lang w:val="fr-FR"/>
              </w:rPr>
              <w:t xml:space="preserve">et </w:t>
            </w:r>
            <w:r w:rsidRPr="00D05C85">
              <w:rPr>
                <w:lang w:val="fr-FR"/>
              </w:rPr>
              <w:t>qu’il comprend :</w:t>
            </w:r>
          </w:p>
          <w:p w14:paraId="614B5003" w14:textId="77777777" w:rsidR="00AF2126" w:rsidRPr="00D05C85" w:rsidRDefault="00AF2126" w:rsidP="00E70082">
            <w:pPr>
              <w:spacing w:before="40" w:after="120"/>
              <w:jc w:val="both"/>
              <w:rPr>
                <w:lang w:val="fr-FR"/>
              </w:rPr>
            </w:pPr>
            <w:r w:rsidRPr="00D05C85">
              <w:rPr>
                <w:lang w:val="fr-FR"/>
              </w:rPr>
              <w:tab/>
              <w:t>a)</w:t>
            </w:r>
            <w:r w:rsidRPr="00D05C85">
              <w:rPr>
                <w:lang w:val="fr-FR"/>
              </w:rPr>
              <w:tab/>
              <w:t>Un catadioptre de la classe IA ;</w:t>
            </w:r>
          </w:p>
          <w:p w14:paraId="214974FC" w14:textId="77777777" w:rsidR="00AF2126" w:rsidRPr="00D05C85" w:rsidRDefault="00AF2126" w:rsidP="00E70082">
            <w:pPr>
              <w:spacing w:before="40" w:after="120"/>
              <w:jc w:val="both"/>
              <w:rPr>
                <w:lang w:val="fr-FR"/>
              </w:rPr>
            </w:pPr>
            <w:r w:rsidRPr="00D05C85">
              <w:rPr>
                <w:lang w:val="fr-FR"/>
              </w:rPr>
              <w:tab/>
              <w:t>b)</w:t>
            </w:r>
            <w:r w:rsidRPr="00D05C85">
              <w:rPr>
                <w:lang w:val="fr-FR"/>
              </w:rPr>
              <w:tab/>
              <w:t>Un feu indicateur de direction arrière produisant une intensité lumineuse variable (catégorie 2b). La flèche horizontale indique dans quelle position ce dispositif, qui ne peut pas être monté indifféremment des deux côtés du véhicule, doit être monté ;</w:t>
            </w:r>
          </w:p>
          <w:p w14:paraId="1A199E9F" w14:textId="77777777" w:rsidR="00AF2126" w:rsidRPr="00D05C85" w:rsidRDefault="00AF2126" w:rsidP="00E70082">
            <w:pPr>
              <w:spacing w:before="40" w:after="120"/>
              <w:jc w:val="both"/>
              <w:rPr>
                <w:lang w:val="fr-FR"/>
              </w:rPr>
            </w:pPr>
            <w:r w:rsidRPr="00D05C85">
              <w:rPr>
                <w:lang w:val="fr-FR"/>
              </w:rPr>
              <w:tab/>
              <w:t>c)</w:t>
            </w:r>
            <w:r w:rsidRPr="00D05C85">
              <w:rPr>
                <w:lang w:val="fr-FR"/>
              </w:rPr>
              <w:tab/>
              <w:t>Un feu de position arrière produisant une intensité lumineuse variable (R2). La flèche horizontale indique le côté sur lequel les caractéristiques photométriques sont respectées jusqu’à un angle de 80° dans le plan H ;</w:t>
            </w:r>
          </w:p>
          <w:p w14:paraId="63E700A4" w14:textId="77777777" w:rsidR="00AF2126" w:rsidRPr="00910B33" w:rsidRDefault="00AF2126" w:rsidP="00E70082">
            <w:pPr>
              <w:spacing w:before="40" w:after="120"/>
              <w:jc w:val="both"/>
              <w:rPr>
                <w:spacing w:val="-2"/>
                <w:lang w:val="fr-FR"/>
              </w:rPr>
            </w:pPr>
            <w:r w:rsidRPr="00D05C85">
              <w:rPr>
                <w:lang w:val="fr-FR"/>
              </w:rPr>
              <w:tab/>
            </w:r>
            <w:r w:rsidRPr="00910B33">
              <w:rPr>
                <w:spacing w:val="-2"/>
                <w:lang w:val="fr-FR"/>
              </w:rPr>
              <w:t>d)</w:t>
            </w:r>
            <w:r w:rsidRPr="00910B33">
              <w:rPr>
                <w:spacing w:val="-2"/>
                <w:lang w:val="fr-FR"/>
              </w:rPr>
              <w:tab/>
              <w:t>Un feu de brouillard arrière produisant une intensité lumineuse variable (F2) ;</w:t>
            </w:r>
          </w:p>
          <w:p w14:paraId="30108D57" w14:textId="77777777" w:rsidR="00AF2126" w:rsidRPr="00D05C85" w:rsidRDefault="00AF2126" w:rsidP="00E70082">
            <w:pPr>
              <w:spacing w:before="40" w:after="120"/>
              <w:jc w:val="both"/>
              <w:rPr>
                <w:lang w:val="fr-FR"/>
              </w:rPr>
            </w:pPr>
            <w:r w:rsidRPr="00D05C85">
              <w:rPr>
                <w:lang w:val="fr-FR"/>
              </w:rPr>
              <w:tab/>
              <w:t>e)</w:t>
            </w:r>
            <w:r w:rsidRPr="00D05C85">
              <w:rPr>
                <w:lang w:val="fr-FR"/>
              </w:rPr>
              <w:tab/>
              <w:t>Un feu de marche arrière (AR) ;</w:t>
            </w:r>
          </w:p>
          <w:p w14:paraId="060AFC74" w14:textId="77777777" w:rsidR="00AF2126" w:rsidRPr="00D05C85" w:rsidRDefault="00AF2126" w:rsidP="00E70082">
            <w:pPr>
              <w:spacing w:before="40" w:after="120"/>
              <w:jc w:val="both"/>
              <w:rPr>
                <w:lang w:val="fr-FR"/>
              </w:rPr>
            </w:pPr>
            <w:r w:rsidRPr="00D05C85">
              <w:rPr>
                <w:lang w:val="fr-FR"/>
              </w:rPr>
              <w:tab/>
              <w:t>f)</w:t>
            </w:r>
            <w:r w:rsidRPr="00D05C85">
              <w:rPr>
                <w:lang w:val="fr-FR"/>
              </w:rPr>
              <w:tab/>
              <w:t>Un feu-stop produisant une intensité lumineuse variable (S2).</w:t>
            </w:r>
          </w:p>
          <w:p w14:paraId="6E83AA4E" w14:textId="70B3616F" w:rsidR="00AF2126" w:rsidRPr="00D05C85" w:rsidRDefault="00AF2126" w:rsidP="00E70082">
            <w:pPr>
              <w:spacing w:before="40" w:after="120"/>
              <w:jc w:val="both"/>
              <w:rPr>
                <w:lang w:val="fr-FR"/>
              </w:rPr>
            </w:pPr>
            <w:r w:rsidRPr="00D05C85">
              <w:rPr>
                <w:lang w:val="fr-FR"/>
              </w:rPr>
              <w:tab/>
              <w:t xml:space="preserve">Le numéro (01) figurant après 148R </w:t>
            </w:r>
            <w:r w:rsidR="00910B33">
              <w:rPr>
                <w:lang w:val="fr-FR"/>
              </w:rPr>
              <w:t xml:space="preserve">et </w:t>
            </w:r>
            <w:r w:rsidRPr="00D05C85">
              <w:rPr>
                <w:lang w:val="fr-FR"/>
              </w:rPr>
              <w:t>après 149R indique que tous ces feux (fonctions) ont été homologués conformément aux prescriptions du Règlement pertinent tel que modifié par la série 01 d’amendements.</w:t>
            </w:r>
          </w:p>
        </w:tc>
      </w:tr>
    </w:tbl>
    <w:p w14:paraId="6C4A1365" w14:textId="77777777" w:rsidR="00AF2126" w:rsidRPr="00D05C85" w:rsidRDefault="00AF2126" w:rsidP="00AF2126">
      <w:pPr>
        <w:suppressAutoHyphens w:val="0"/>
        <w:spacing w:line="240" w:lineRule="auto"/>
        <w:rPr>
          <w:rFonts w:eastAsiaTheme="minorEastAsia"/>
          <w:b/>
          <w:bCs/>
          <w:sz w:val="24"/>
          <w:lang w:val="fr-FR"/>
        </w:rPr>
      </w:pPr>
      <w:r w:rsidRPr="00D05C85">
        <w:rPr>
          <w:b/>
          <w:bCs/>
          <w:sz w:val="24"/>
          <w:lang w:val="fr-FR"/>
        </w:rPr>
        <w:br w:type="page"/>
      </w:r>
    </w:p>
    <w:p w14:paraId="70D6EAF2" w14:textId="77777777" w:rsidR="00AF2126" w:rsidRPr="00D05C85" w:rsidRDefault="00AF2126" w:rsidP="00AF2126">
      <w:pPr>
        <w:pStyle w:val="H1G"/>
        <w:rPr>
          <w:lang w:val="fr-FR"/>
        </w:rPr>
      </w:pPr>
      <w:r w:rsidRPr="00D05C85">
        <w:rPr>
          <w:lang w:val="fr-FR"/>
        </w:rPr>
        <w:lastRenderedPageBreak/>
        <w:tab/>
        <w:t>3.</w:t>
      </w:r>
      <w:r w:rsidRPr="00D05C85">
        <w:rPr>
          <w:lang w:val="fr-FR"/>
        </w:rPr>
        <w:tab/>
        <w:t>Marque d’homologation d’un feu dont la glace est destinée à être utilisée pour différents types de feux</w:t>
      </w:r>
    </w:p>
    <w:p w14:paraId="00003D6E" w14:textId="77777777" w:rsidR="00AF2126" w:rsidRPr="00D05C85" w:rsidRDefault="00AF2126" w:rsidP="00AF2126">
      <w:pPr>
        <w:pStyle w:val="Titre1"/>
        <w:tabs>
          <w:tab w:val="left" w:pos="1701"/>
          <w:tab w:val="left" w:pos="2268"/>
          <w:tab w:val="left" w:pos="2835"/>
        </w:tabs>
        <w:spacing w:after="120"/>
        <w:rPr>
          <w:b/>
          <w:bCs/>
          <w:lang w:val="fr-FR"/>
        </w:rPr>
      </w:pPr>
      <w:r w:rsidRPr="00D05C85">
        <w:rPr>
          <w:lang w:val="fr-FR"/>
        </w:rPr>
        <w:t>Figure A7-IV</w:t>
      </w:r>
      <w:r w:rsidRPr="00D05C85">
        <w:rPr>
          <w:lang w:val="fr-FR"/>
        </w:rPr>
        <w:br/>
      </w:r>
      <w:r w:rsidRPr="00D05C85">
        <w:rPr>
          <w:b/>
          <w:bCs/>
          <w:lang w:val="fr-FR"/>
        </w:rPr>
        <w:t>Exemple de marque 4</w:t>
      </w:r>
    </w:p>
    <w:tbl>
      <w:tblPr>
        <w:tblW w:w="7371" w:type="dxa"/>
        <w:tblInd w:w="1134" w:type="dxa"/>
        <w:tblLayout w:type="fixed"/>
        <w:tblCellMar>
          <w:left w:w="0" w:type="dxa"/>
          <w:right w:w="0" w:type="dxa"/>
        </w:tblCellMar>
        <w:tblLook w:val="0000" w:firstRow="0" w:lastRow="0" w:firstColumn="0" w:lastColumn="0" w:noHBand="0" w:noVBand="0"/>
      </w:tblPr>
      <w:tblGrid>
        <w:gridCol w:w="2829"/>
        <w:gridCol w:w="4542"/>
      </w:tblGrid>
      <w:tr w:rsidR="00AF2126" w:rsidRPr="00D05C85" w14:paraId="2F622A58" w14:textId="77777777" w:rsidTr="00E70082">
        <w:tc>
          <w:tcPr>
            <w:tcW w:w="2829" w:type="dxa"/>
            <w:shd w:val="clear" w:color="auto" w:fill="auto"/>
            <w:tcMar>
              <w:top w:w="0" w:type="dxa"/>
              <w:left w:w="0" w:type="dxa"/>
              <w:bottom w:w="0" w:type="dxa"/>
              <w:right w:w="0" w:type="dxa"/>
            </w:tcMar>
          </w:tcPr>
          <w:p w14:paraId="24414DA6" w14:textId="77777777" w:rsidR="00AF2126" w:rsidRPr="00D05C85" w:rsidRDefault="00AF2126" w:rsidP="00E70082">
            <w:pPr>
              <w:pStyle w:val="SingleTxtG"/>
              <w:ind w:left="0" w:right="-66"/>
              <w:rPr>
                <w:lang w:val="fr-FR"/>
              </w:rPr>
            </w:pPr>
            <w:r w:rsidRPr="00D05C85">
              <w:rPr>
                <w:noProof/>
                <w:lang w:val="fr-FR"/>
              </w:rPr>
              <w:drawing>
                <wp:inline distT="0" distB="0" distL="0" distR="0" wp14:anchorId="64903CF5" wp14:editId="0C7F804A">
                  <wp:extent cx="1789364" cy="115301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542" w:type="dxa"/>
            <w:shd w:val="clear" w:color="auto" w:fill="auto"/>
            <w:tcMar>
              <w:top w:w="0" w:type="dxa"/>
              <w:left w:w="0" w:type="dxa"/>
              <w:bottom w:w="0" w:type="dxa"/>
              <w:right w:w="0" w:type="dxa"/>
            </w:tcMar>
          </w:tcPr>
          <w:p w14:paraId="784CA4FB" w14:textId="264B0572" w:rsidR="00AF2126" w:rsidRPr="00D05C85" w:rsidRDefault="00AF2126" w:rsidP="00E70082">
            <w:pPr>
              <w:spacing w:after="120" w:line="240" w:lineRule="auto"/>
              <w:ind w:left="57" w:right="57"/>
              <w:jc w:val="both"/>
              <w:rPr>
                <w:lang w:val="fr-FR"/>
              </w:rPr>
            </w:pPr>
            <w:r w:rsidRPr="00D05C85">
              <w:rPr>
                <w:lang w:val="fr-FR"/>
              </w:rPr>
              <w:t xml:space="preserve">L’exemple ci-dessus correspond au marquage d’une glace destinée à être utilisée pour différents types de feux de signalisation lumineuse (voir le paragraphe 3.3.5.4 du présent Règlement). Les marques d’homologation indiquent qu’il s’agit d’un feu homologué en Espagne (E9) sous le numéro d’homologation 1432 </w:t>
            </w:r>
            <w:r w:rsidR="00910B33">
              <w:rPr>
                <w:lang w:val="fr-FR"/>
              </w:rPr>
              <w:t xml:space="preserve">et </w:t>
            </w:r>
            <w:r w:rsidRPr="00D05C85">
              <w:rPr>
                <w:lang w:val="fr-FR"/>
              </w:rPr>
              <w:t>pouvant comprendre toutes les fonctions énumérées.</w:t>
            </w:r>
          </w:p>
        </w:tc>
      </w:tr>
    </w:tbl>
    <w:p w14:paraId="63FF40DE" w14:textId="77777777" w:rsidR="00AF2126" w:rsidRPr="00D05C85" w:rsidRDefault="00AF2126" w:rsidP="00AF2126">
      <w:pPr>
        <w:pStyle w:val="H1G"/>
        <w:rPr>
          <w:lang w:val="fr-FR"/>
        </w:rPr>
      </w:pPr>
      <w:r w:rsidRPr="00D05C85">
        <w:rPr>
          <w:lang w:val="fr-FR"/>
        </w:rPr>
        <w:tab/>
        <w:t>4.</w:t>
      </w:r>
      <w:r w:rsidRPr="00D05C85">
        <w:rPr>
          <w:lang w:val="fr-FR"/>
        </w:rPr>
        <w:tab/>
        <w:t>Code d’identification des modules d’éclairage</w:t>
      </w:r>
    </w:p>
    <w:p w14:paraId="526868C0" w14:textId="77777777" w:rsidR="00AF2126" w:rsidRPr="00D05C85" w:rsidRDefault="00AF2126" w:rsidP="00AF2126">
      <w:pPr>
        <w:pStyle w:val="Titre1"/>
        <w:tabs>
          <w:tab w:val="left" w:pos="1701"/>
          <w:tab w:val="left" w:pos="2268"/>
          <w:tab w:val="left" w:pos="2835"/>
        </w:tabs>
        <w:spacing w:after="120"/>
        <w:rPr>
          <w:lang w:val="fr-FR"/>
        </w:rPr>
      </w:pPr>
      <w:r w:rsidRPr="00D05C85">
        <w:rPr>
          <w:lang w:val="fr-FR"/>
        </w:rPr>
        <w:t>Figure A7-V</w:t>
      </w:r>
      <w:r w:rsidRPr="00D05C85">
        <w:rPr>
          <w:lang w:val="fr-FR"/>
        </w:rPr>
        <w:br/>
      </w:r>
      <w:r w:rsidRPr="00D05C85">
        <w:rPr>
          <w:b/>
          <w:bCs/>
          <w:lang w:val="fr-FR"/>
        </w:rPr>
        <w:t>Exemple de marque 5</w:t>
      </w:r>
    </w:p>
    <w:p w14:paraId="0A87815E" w14:textId="77777777" w:rsidR="00AF2126" w:rsidRPr="00D05C85" w:rsidRDefault="00AF2126" w:rsidP="00AF2126">
      <w:pPr>
        <w:pStyle w:val="Titolo11"/>
        <w:ind w:left="1134"/>
        <w:rPr>
          <w:lang w:val="fr-FR"/>
        </w:rPr>
      </w:pPr>
      <w:r w:rsidRPr="00D05C85">
        <w:rPr>
          <w:b/>
          <w:bCs/>
          <w:lang w:val="fr-FR"/>
        </w:rPr>
        <w:t>Marquage du module d’éclairage</w:t>
      </w:r>
    </w:p>
    <w:p w14:paraId="0B7AB10B" w14:textId="77777777" w:rsidR="00AF2126" w:rsidRPr="00D05C85" w:rsidRDefault="00AF2126" w:rsidP="00AF2126">
      <w:pPr>
        <w:spacing w:before="120" w:after="120" w:line="240" w:lineRule="auto"/>
        <w:ind w:left="1134"/>
        <w:rPr>
          <w:rFonts w:ascii="Arial" w:hAnsi="Arial" w:cs="Arial"/>
          <w:sz w:val="48"/>
          <w:szCs w:val="48"/>
          <w:lang w:val="fr-FR"/>
        </w:rPr>
      </w:pPr>
      <w:r w:rsidRPr="00D05C85">
        <w:rPr>
          <w:rFonts w:ascii="Arial" w:hAnsi="Arial" w:cs="Arial"/>
          <w:sz w:val="48"/>
          <w:szCs w:val="48"/>
          <w:lang w:val="fr-FR"/>
        </w:rPr>
        <w:t>MD E3 17325</w:t>
      </w:r>
    </w:p>
    <w:p w14:paraId="7CE6A7D1" w14:textId="77777777" w:rsidR="00AF2126" w:rsidRPr="00D05C85" w:rsidRDefault="00AF2126" w:rsidP="00AF2126">
      <w:pPr>
        <w:pStyle w:val="SingleTxtG"/>
        <w:rPr>
          <w:lang w:val="fr-FR"/>
        </w:rPr>
      </w:pPr>
      <w:r w:rsidRPr="00D05C85">
        <w:rPr>
          <w:lang w:val="fr-FR"/>
        </w:rPr>
        <w:tab/>
      </w:r>
      <w:r w:rsidRPr="00D05C85">
        <w:rPr>
          <w:lang w:val="fr-FR"/>
        </w:rPr>
        <w:tab/>
        <w:t>Le module d’éclairage portant le code d’identification ci-dessus a été homologué en même temps qu’un feu lui-même homologué en Italie (E3) sous le numéro d’homologation 17325.</w:t>
      </w:r>
    </w:p>
    <w:p w14:paraId="37C0FF4D" w14:textId="77777777" w:rsidR="00AF2126" w:rsidRPr="00D05C85" w:rsidRDefault="00AF2126" w:rsidP="00AF2126">
      <w:pPr>
        <w:suppressAutoHyphens w:val="0"/>
        <w:kinsoku/>
        <w:overflowPunct/>
        <w:autoSpaceDE/>
        <w:autoSpaceDN/>
        <w:adjustRightInd/>
        <w:snapToGrid/>
        <w:spacing w:after="200" w:line="276" w:lineRule="auto"/>
        <w:rPr>
          <w:rFonts w:eastAsiaTheme="minorEastAsia"/>
          <w:lang w:val="fr-FR"/>
        </w:rPr>
      </w:pPr>
      <w:r w:rsidRPr="00D05C85">
        <w:rPr>
          <w:lang w:val="fr-FR"/>
        </w:rPr>
        <w:br w:type="page"/>
      </w:r>
    </w:p>
    <w:p w14:paraId="020F08EA" w14:textId="77777777" w:rsidR="00AF2126" w:rsidRPr="00D05C85" w:rsidRDefault="00AF2126" w:rsidP="00AF2126">
      <w:pPr>
        <w:pStyle w:val="HChG"/>
        <w:rPr>
          <w:lang w:val="fr-FR"/>
        </w:rPr>
      </w:pPr>
      <w:r w:rsidRPr="00D05C85">
        <w:rPr>
          <w:lang w:val="fr-FR"/>
        </w:rPr>
        <w:lastRenderedPageBreak/>
        <w:t>Annexe 8</w:t>
      </w:r>
    </w:p>
    <w:p w14:paraId="15D5A79E" w14:textId="77777777" w:rsidR="00AF2126" w:rsidRPr="00D05C85" w:rsidRDefault="00AF2126" w:rsidP="00AF2126">
      <w:pPr>
        <w:pStyle w:val="HChG"/>
        <w:rPr>
          <w:rStyle w:val="Carpredefinitoparagrafo1"/>
          <w:lang w:val="fr-FR"/>
        </w:rPr>
      </w:pPr>
      <w:r w:rsidRPr="00D05C85">
        <w:rPr>
          <w:lang w:val="fr-FR"/>
        </w:rPr>
        <w:tab/>
      </w:r>
      <w:r w:rsidRPr="00D05C85">
        <w:rPr>
          <w:lang w:val="fr-FR"/>
        </w:rPr>
        <w:tab/>
        <w:t>Procédures d’essai applicables aux sources lumineuses</w:t>
      </w:r>
    </w:p>
    <w:p w14:paraId="408C0B21"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w:t>
      </w:r>
      <w:r w:rsidRPr="00D05C85">
        <w:rPr>
          <w:lang w:val="fr-FR"/>
        </w:rPr>
        <w:tab/>
        <w:t>Prescriptions générales</w:t>
      </w:r>
    </w:p>
    <w:p w14:paraId="5793BA58" w14:textId="12988B5A" w:rsidR="00AF2126" w:rsidRPr="00D05C85" w:rsidRDefault="00AF2126" w:rsidP="00AF2126">
      <w:pPr>
        <w:pStyle w:val="SingleTxtG"/>
        <w:tabs>
          <w:tab w:val="left" w:pos="2268"/>
          <w:tab w:val="left" w:pos="2835"/>
        </w:tabs>
        <w:ind w:left="2268" w:hanging="1134"/>
        <w:rPr>
          <w:lang w:val="fr-FR"/>
        </w:rPr>
      </w:pPr>
      <w:r w:rsidRPr="00D05C85">
        <w:rPr>
          <w:lang w:val="fr-FR"/>
        </w:rPr>
        <w:t>1.1</w:t>
      </w:r>
      <w:r w:rsidRPr="00D05C85">
        <w:rPr>
          <w:lang w:val="fr-FR"/>
        </w:rPr>
        <w:tab/>
        <w:t xml:space="preserve">Pour les feux (fonctions) équipés uniquement de sources lumineuses à incandescence, les intensités lumineuses mesurées après que la stabilité photométrique a été atteinte doivent être conformes aux prescriptions minimales </w:t>
      </w:r>
      <w:r w:rsidR="00910B33">
        <w:rPr>
          <w:lang w:val="fr-FR"/>
        </w:rPr>
        <w:t xml:space="preserve">et </w:t>
      </w:r>
      <w:r w:rsidRPr="00D05C85">
        <w:rPr>
          <w:lang w:val="fr-FR"/>
        </w:rPr>
        <w:t>maximales.</w:t>
      </w:r>
    </w:p>
    <w:p w14:paraId="59609523" w14:textId="77777777" w:rsidR="00AF2126" w:rsidRPr="00D05C85" w:rsidRDefault="00AF2126" w:rsidP="00AF2126">
      <w:pPr>
        <w:pStyle w:val="SingleTxtG"/>
        <w:tabs>
          <w:tab w:val="left" w:pos="2268"/>
          <w:tab w:val="left" w:pos="2835"/>
        </w:tabs>
        <w:ind w:left="2268" w:hanging="1134"/>
        <w:rPr>
          <w:lang w:val="fr-FR"/>
        </w:rPr>
      </w:pPr>
      <w:r w:rsidRPr="00D05C85">
        <w:rPr>
          <w:lang w:val="fr-FR"/>
        </w:rPr>
        <w:t>1.2</w:t>
      </w:r>
      <w:r w:rsidRPr="00D05C85">
        <w:rPr>
          <w:lang w:val="fr-FR"/>
        </w:rPr>
        <w:tab/>
        <w:t>Pour les feux (fonctions) équipés uniquement de sources lumineuses autres que des sources à incandescence :</w:t>
      </w:r>
    </w:p>
    <w:p w14:paraId="69465161" w14:textId="44F09A99" w:rsidR="00AF2126" w:rsidRPr="00D05C85" w:rsidRDefault="00AF2126" w:rsidP="00AF2126">
      <w:pPr>
        <w:pStyle w:val="SingleTxtG"/>
        <w:tabs>
          <w:tab w:val="left" w:pos="2268"/>
          <w:tab w:val="left" w:pos="2835"/>
        </w:tabs>
        <w:ind w:left="2268" w:hanging="1134"/>
        <w:rPr>
          <w:lang w:val="fr-FR"/>
        </w:rPr>
      </w:pPr>
      <w:r w:rsidRPr="00D05C85">
        <w:rPr>
          <w:lang w:val="fr-FR"/>
        </w:rPr>
        <w:t>1.2.1</w:t>
      </w:r>
      <w:r w:rsidRPr="00D05C85">
        <w:rPr>
          <w:lang w:val="fr-FR"/>
        </w:rPr>
        <w:tab/>
        <w:t xml:space="preserve">Pour les feux de marche arrière </w:t>
      </w:r>
      <w:r w:rsidR="00910B33">
        <w:rPr>
          <w:lang w:val="fr-FR"/>
        </w:rPr>
        <w:t xml:space="preserve">et </w:t>
      </w:r>
      <w:r w:rsidRPr="00D05C85">
        <w:rPr>
          <w:lang w:val="fr-FR"/>
        </w:rPr>
        <w:t xml:space="preserve">les feux de manœuvre, les intensités lumineuses mesurées après 1 minute </w:t>
      </w:r>
      <w:r w:rsidR="00910B33">
        <w:rPr>
          <w:lang w:val="fr-FR"/>
        </w:rPr>
        <w:t xml:space="preserve">et </w:t>
      </w:r>
      <w:r w:rsidRPr="00D05C85">
        <w:rPr>
          <w:lang w:val="fr-FR"/>
        </w:rPr>
        <w:t xml:space="preserve">après 10 minutes de fonctionnement doivent être conformes aux prescriptions minimales </w:t>
      </w:r>
      <w:r w:rsidR="00910B33">
        <w:rPr>
          <w:lang w:val="fr-FR"/>
        </w:rPr>
        <w:t xml:space="preserve">et </w:t>
      </w:r>
      <w:r w:rsidRPr="00D05C85">
        <w:rPr>
          <w:lang w:val="fr-FR"/>
        </w:rPr>
        <w:t xml:space="preserve">maximales. La répartition de l’intensité lumineuse après 1 minute </w:t>
      </w:r>
      <w:r w:rsidR="00910B33">
        <w:rPr>
          <w:lang w:val="fr-FR"/>
        </w:rPr>
        <w:t xml:space="preserve">et </w:t>
      </w:r>
      <w:r w:rsidRPr="00D05C85">
        <w:rPr>
          <w:lang w:val="fr-FR"/>
        </w:rPr>
        <w:t>après 10 minutes de fonctionnement peut être calculée à partir de la répartition de l’intensité lumineuse mesurée après que la stabilité photométrique a été atteinte, en retenant à chaque point d’essai le rapport des intensités lumineuses mesurées en HV :</w:t>
      </w:r>
    </w:p>
    <w:p w14:paraId="49ACE522" w14:textId="77777777" w:rsidR="00AF2126" w:rsidRPr="00D05C85" w:rsidRDefault="00AF2126" w:rsidP="00AF2126">
      <w:pPr>
        <w:pStyle w:val="SingleTxtG"/>
        <w:tabs>
          <w:tab w:val="left" w:pos="1701"/>
          <w:tab w:val="left" w:pos="2268"/>
          <w:tab w:val="left" w:pos="2835"/>
        </w:tabs>
        <w:ind w:left="2835" w:hanging="567"/>
        <w:rPr>
          <w:rStyle w:val="Carpredefinitoparagrafo1"/>
          <w:bCs/>
          <w:lang w:val="fr-FR"/>
        </w:rPr>
      </w:pPr>
      <w:r w:rsidRPr="00D05C85">
        <w:rPr>
          <w:lang w:val="fr-FR"/>
        </w:rPr>
        <w:t>a)</w:t>
      </w:r>
      <w:r w:rsidRPr="00D05C85">
        <w:rPr>
          <w:lang w:val="fr-FR"/>
        </w:rPr>
        <w:tab/>
        <w:t>Après 1 minute ;</w:t>
      </w:r>
    </w:p>
    <w:p w14:paraId="08DF1C9A" w14:textId="77777777" w:rsidR="00AF2126" w:rsidRPr="00D05C85" w:rsidRDefault="00AF2126" w:rsidP="00AF2126">
      <w:pPr>
        <w:pStyle w:val="SingleTxtG"/>
        <w:tabs>
          <w:tab w:val="left" w:pos="1701"/>
          <w:tab w:val="left" w:pos="2268"/>
          <w:tab w:val="left" w:pos="2835"/>
        </w:tabs>
        <w:ind w:left="2835" w:hanging="567"/>
        <w:rPr>
          <w:rStyle w:val="Carpredefinitoparagrafo1"/>
          <w:bCs/>
          <w:lang w:val="fr-FR"/>
        </w:rPr>
      </w:pPr>
      <w:r w:rsidRPr="00D05C85">
        <w:rPr>
          <w:lang w:val="fr-FR"/>
        </w:rPr>
        <w:t>b)</w:t>
      </w:r>
      <w:r w:rsidRPr="00D05C85">
        <w:rPr>
          <w:lang w:val="fr-FR"/>
        </w:rPr>
        <w:tab/>
        <w:t xml:space="preserve">Après 10 minutes ; </w:t>
      </w:r>
    </w:p>
    <w:p w14:paraId="7258EBDA" w14:textId="77777777" w:rsidR="00AF2126" w:rsidRPr="00D05C85" w:rsidRDefault="00AF2126" w:rsidP="00AF2126">
      <w:pPr>
        <w:pStyle w:val="SingleTxtG"/>
        <w:tabs>
          <w:tab w:val="left" w:pos="1701"/>
          <w:tab w:val="left" w:pos="2268"/>
          <w:tab w:val="left" w:pos="2835"/>
        </w:tabs>
        <w:ind w:left="2835" w:hanging="567"/>
        <w:rPr>
          <w:rStyle w:val="Carpredefinitoparagrafo1"/>
          <w:bCs/>
          <w:lang w:val="fr-FR"/>
        </w:rPr>
      </w:pPr>
      <w:r w:rsidRPr="00D05C85">
        <w:rPr>
          <w:lang w:val="fr-FR"/>
        </w:rPr>
        <w:t>c)</w:t>
      </w:r>
      <w:r w:rsidRPr="00D05C85">
        <w:rPr>
          <w:lang w:val="fr-FR"/>
        </w:rPr>
        <w:tab/>
        <w:t>Après que la stabilité photométrique a été atteinte.</w:t>
      </w:r>
    </w:p>
    <w:p w14:paraId="585CF4F8" w14:textId="7DBD9979" w:rsidR="00AF2126" w:rsidRPr="00D05C85" w:rsidRDefault="00AF2126" w:rsidP="00AF2126">
      <w:pPr>
        <w:pStyle w:val="SingleTxtG"/>
        <w:tabs>
          <w:tab w:val="left" w:pos="2268"/>
          <w:tab w:val="left" w:pos="2835"/>
        </w:tabs>
        <w:ind w:left="2268" w:hanging="1134"/>
        <w:rPr>
          <w:lang w:val="fr-FR"/>
        </w:rPr>
      </w:pPr>
      <w:r w:rsidRPr="00D05C85">
        <w:rPr>
          <w:lang w:val="fr-FR"/>
        </w:rPr>
        <w:t>1.2.2</w:t>
      </w:r>
      <w:r w:rsidRPr="00D05C85">
        <w:rPr>
          <w:lang w:val="fr-FR"/>
        </w:rPr>
        <w:tab/>
        <w:t xml:space="preserve">Pour tous les autres feux, les intensités lumineuses mesurées après 1 minute </w:t>
      </w:r>
      <w:r w:rsidR="00910B33">
        <w:rPr>
          <w:lang w:val="fr-FR"/>
        </w:rPr>
        <w:t xml:space="preserve">et </w:t>
      </w:r>
      <w:r w:rsidRPr="00D05C85">
        <w:rPr>
          <w:lang w:val="fr-FR"/>
        </w:rPr>
        <w:t xml:space="preserve">après 30 minutes de fonctionnement doivent être conformes aux prescriptions minimales </w:t>
      </w:r>
      <w:r w:rsidR="00910B33">
        <w:rPr>
          <w:lang w:val="fr-FR"/>
        </w:rPr>
        <w:t xml:space="preserve">et </w:t>
      </w:r>
      <w:r w:rsidRPr="00D05C85">
        <w:rPr>
          <w:lang w:val="fr-FR"/>
        </w:rPr>
        <w:t>maximales.</w:t>
      </w:r>
    </w:p>
    <w:p w14:paraId="012EA1CB"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Les feux indicateurs de direction doivent fonctionner en mode clignotant (f = 1,5 Hz, facteur de marche 50 %).</w:t>
      </w:r>
    </w:p>
    <w:p w14:paraId="75019819" w14:textId="6C01B717" w:rsidR="00AF2126" w:rsidRPr="00D05C85" w:rsidRDefault="00AF2126" w:rsidP="00AF2126">
      <w:pPr>
        <w:pStyle w:val="SingleTxtG"/>
        <w:tabs>
          <w:tab w:val="left" w:pos="1701"/>
          <w:tab w:val="left" w:pos="2268"/>
          <w:tab w:val="left" w:pos="2835"/>
        </w:tabs>
        <w:ind w:left="2268"/>
        <w:rPr>
          <w:lang w:val="fr-FR"/>
        </w:rPr>
      </w:pPr>
      <w:r w:rsidRPr="00D05C85">
        <w:rPr>
          <w:lang w:val="fr-FR"/>
        </w:rPr>
        <w:t xml:space="preserve">La répartition de l’intensité lumineuse après 1 minute de fonctionnement peut être calculée à partir de la répartition de l’intensité lumineuse après 30 minutes de fonctionnement en retenant à chaque point d’essai le rapport des intensités lumineuses mesurées en HV après 1 minute </w:t>
      </w:r>
      <w:r w:rsidR="00910B33">
        <w:rPr>
          <w:lang w:val="fr-FR"/>
        </w:rPr>
        <w:t xml:space="preserve">et </w:t>
      </w:r>
      <w:r w:rsidRPr="00D05C85">
        <w:rPr>
          <w:lang w:val="fr-FR"/>
        </w:rPr>
        <w:t>après 30 minutes de fonctionnement.</w:t>
      </w:r>
    </w:p>
    <w:p w14:paraId="5934EF7E" w14:textId="77777777" w:rsidR="00AF2126" w:rsidRPr="00D05C85" w:rsidRDefault="00AF2126" w:rsidP="00AF2126">
      <w:pPr>
        <w:pStyle w:val="SingleTxtG"/>
        <w:tabs>
          <w:tab w:val="left" w:pos="2268"/>
          <w:tab w:val="left" w:pos="2835"/>
        </w:tabs>
        <w:ind w:left="2268" w:hanging="1134"/>
        <w:rPr>
          <w:rStyle w:val="Carpredefinitoparagrafo1"/>
          <w:lang w:val="fr-FR"/>
        </w:rPr>
      </w:pPr>
      <w:r w:rsidRPr="00D05C85">
        <w:rPr>
          <w:lang w:val="fr-FR"/>
        </w:rPr>
        <w:t>2.</w:t>
      </w:r>
      <w:r w:rsidRPr="00D05C85">
        <w:rPr>
          <w:lang w:val="fr-FR"/>
        </w:rPr>
        <w:tab/>
        <w:t>Prescriptions supplémentaires</w:t>
      </w:r>
    </w:p>
    <w:p w14:paraId="5ED49641" w14:textId="77777777" w:rsidR="00AF2126" w:rsidRPr="00D05C85" w:rsidRDefault="00AF2126" w:rsidP="00AF2126">
      <w:pPr>
        <w:pStyle w:val="SingleTxtG"/>
        <w:tabs>
          <w:tab w:val="left" w:pos="2268"/>
          <w:tab w:val="left" w:pos="2835"/>
        </w:tabs>
        <w:ind w:left="2268" w:hanging="1134"/>
        <w:rPr>
          <w:rStyle w:val="Carpredefinitoparagrafo1"/>
          <w:lang w:val="fr-FR"/>
        </w:rPr>
      </w:pPr>
      <w:r w:rsidRPr="00D05C85">
        <w:rPr>
          <w:lang w:val="fr-FR"/>
        </w:rPr>
        <w:t>2.1</w:t>
      </w:r>
      <w:r w:rsidRPr="00D05C85">
        <w:rPr>
          <w:lang w:val="fr-FR"/>
        </w:rPr>
        <w:tab/>
        <w:t>En plus des essais prévus au paragraphe 1, la conformité de la répartition de l’intensité lumineuse est vérifiée un certain temps après l’allumage en fonction du type de source lumineuse (voir le tableau A8-1).</w:t>
      </w:r>
    </w:p>
    <w:p w14:paraId="1C952185" w14:textId="77777777" w:rsidR="00AF2126" w:rsidRPr="00D05C85" w:rsidRDefault="00AF2126" w:rsidP="00AF2126">
      <w:pPr>
        <w:pStyle w:val="SingleTxtG"/>
        <w:tabs>
          <w:tab w:val="left" w:pos="1701"/>
          <w:tab w:val="left" w:pos="2268"/>
          <w:tab w:val="left" w:pos="2835"/>
        </w:tabs>
        <w:ind w:left="2268"/>
        <w:rPr>
          <w:lang w:val="fr-FR"/>
        </w:rPr>
      </w:pPr>
      <w:r w:rsidRPr="00D05C85">
        <w:rPr>
          <w:lang w:val="fr-FR"/>
        </w:rPr>
        <w:t>La répartition de l’intensité lumineuse après un temps de fonctionnement donné peut être calculée à partir de la répartition de l’intensité lumineuse mesurée conformément aux prescriptions du paragraphe 1 en retenant à chaque point d’essai le rapport des intensités lumineuses mesurées à la coordonnée de référence du feu (fonction) soumis à l’essai.</w:t>
      </w:r>
    </w:p>
    <w:p w14:paraId="20339FFE" w14:textId="77777777" w:rsidR="00AF2126" w:rsidRPr="00D05C85" w:rsidRDefault="00AF2126" w:rsidP="00AF2126">
      <w:pPr>
        <w:pStyle w:val="Titre1"/>
        <w:tabs>
          <w:tab w:val="left" w:pos="1701"/>
          <w:tab w:val="left" w:pos="2268"/>
          <w:tab w:val="left" w:pos="2835"/>
        </w:tabs>
        <w:spacing w:after="120"/>
        <w:ind w:left="2268"/>
        <w:rPr>
          <w:lang w:val="fr-FR"/>
        </w:rPr>
      </w:pPr>
      <w:r w:rsidRPr="00D05C85">
        <w:rPr>
          <w:lang w:val="fr-FR"/>
        </w:rPr>
        <w:t xml:space="preserve">Tableau A8-1 </w:t>
      </w:r>
      <w:r w:rsidRPr="00D05C85">
        <w:rPr>
          <w:lang w:val="fr-FR"/>
        </w:rPr>
        <w:br/>
      </w:r>
      <w:r w:rsidRPr="00D05C85">
        <w:rPr>
          <w:b/>
          <w:bCs/>
          <w:lang w:val="fr-FR"/>
        </w:rPr>
        <w:t>Essais supplémentaires : points dans le temps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1349"/>
        <w:gridCol w:w="1349"/>
      </w:tblGrid>
      <w:tr w:rsidR="00AF2126" w:rsidRPr="00D05C85" w14:paraId="604CF534" w14:textId="77777777" w:rsidTr="00E70082">
        <w:trPr>
          <w:tblHeader/>
        </w:trPr>
        <w:tc>
          <w:tcPr>
            <w:tcW w:w="3539" w:type="dxa"/>
            <w:shd w:val="clear" w:color="auto" w:fill="auto"/>
            <w:tcMar>
              <w:top w:w="0" w:type="dxa"/>
              <w:left w:w="0" w:type="dxa"/>
              <w:bottom w:w="0" w:type="dxa"/>
              <w:right w:w="0" w:type="dxa"/>
            </w:tcMar>
            <w:vAlign w:val="bottom"/>
          </w:tcPr>
          <w:p w14:paraId="778DA158" w14:textId="77777777" w:rsidR="00AF2126" w:rsidRPr="00D05C85" w:rsidRDefault="00AF2126" w:rsidP="00E70082">
            <w:pPr>
              <w:spacing w:before="80" w:after="80" w:line="200" w:lineRule="exact"/>
              <w:ind w:left="57" w:right="57"/>
              <w:rPr>
                <w:b/>
                <w:bCs/>
                <w:i/>
                <w:iCs/>
                <w:sz w:val="16"/>
                <w:szCs w:val="16"/>
                <w:lang w:val="fr-FR"/>
              </w:rPr>
            </w:pPr>
            <w:r w:rsidRPr="00D05C85">
              <w:rPr>
                <w:b/>
                <w:bCs/>
                <w:i/>
                <w:iCs/>
                <w:sz w:val="16"/>
                <w:szCs w:val="16"/>
                <w:lang w:val="fr-FR"/>
              </w:rPr>
              <w:t>Feu (fonction)</w:t>
            </w:r>
          </w:p>
        </w:tc>
        <w:tc>
          <w:tcPr>
            <w:tcW w:w="1349" w:type="dxa"/>
            <w:shd w:val="clear" w:color="auto" w:fill="auto"/>
            <w:tcMar>
              <w:top w:w="0" w:type="dxa"/>
              <w:left w:w="0" w:type="dxa"/>
              <w:bottom w:w="0" w:type="dxa"/>
              <w:right w:w="0" w:type="dxa"/>
            </w:tcMar>
            <w:vAlign w:val="bottom"/>
          </w:tcPr>
          <w:p w14:paraId="0F73B784" w14:textId="04E3E6A7"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 xml:space="preserve">Temps après l’allumage </w:t>
            </w:r>
            <w:r w:rsidR="00910B33">
              <w:rPr>
                <w:b/>
                <w:bCs/>
                <w:i/>
                <w:iCs/>
                <w:sz w:val="16"/>
                <w:szCs w:val="16"/>
                <w:lang w:val="fr-FR"/>
              </w:rPr>
              <w:br/>
            </w:r>
            <w:r w:rsidRPr="00D05C85">
              <w:rPr>
                <w:b/>
                <w:bCs/>
                <w:i/>
                <w:iCs/>
                <w:sz w:val="16"/>
                <w:szCs w:val="16"/>
                <w:lang w:val="fr-FR"/>
              </w:rPr>
              <w:t>(en secondes)</w:t>
            </w:r>
          </w:p>
        </w:tc>
        <w:tc>
          <w:tcPr>
            <w:tcW w:w="1349" w:type="dxa"/>
            <w:shd w:val="clear" w:color="auto" w:fill="auto"/>
            <w:tcMar>
              <w:top w:w="0" w:type="dxa"/>
              <w:left w:w="0" w:type="dxa"/>
              <w:bottom w:w="0" w:type="dxa"/>
              <w:right w:w="0" w:type="dxa"/>
            </w:tcMar>
            <w:vAlign w:val="bottom"/>
          </w:tcPr>
          <w:p w14:paraId="6553F0E2" w14:textId="0979133E" w:rsidR="00AF2126" w:rsidRPr="00D05C85" w:rsidRDefault="00AF2126" w:rsidP="00E70082">
            <w:pPr>
              <w:spacing w:before="80" w:after="80" w:line="200" w:lineRule="exact"/>
              <w:ind w:left="57" w:right="57"/>
              <w:jc w:val="center"/>
              <w:rPr>
                <w:b/>
                <w:bCs/>
                <w:i/>
                <w:iCs/>
                <w:sz w:val="16"/>
                <w:szCs w:val="16"/>
                <w:lang w:val="fr-FR"/>
              </w:rPr>
            </w:pPr>
            <w:r w:rsidRPr="00D05C85">
              <w:rPr>
                <w:b/>
                <w:bCs/>
                <w:i/>
                <w:iCs/>
                <w:sz w:val="16"/>
                <w:szCs w:val="16"/>
                <w:lang w:val="fr-FR"/>
              </w:rPr>
              <w:t xml:space="preserve">Coordonnée </w:t>
            </w:r>
            <w:r w:rsidR="00910B33">
              <w:rPr>
                <w:b/>
                <w:bCs/>
                <w:i/>
                <w:iCs/>
                <w:sz w:val="16"/>
                <w:szCs w:val="16"/>
                <w:lang w:val="fr-FR"/>
              </w:rPr>
              <w:br/>
            </w:r>
            <w:r w:rsidRPr="00D05C85">
              <w:rPr>
                <w:b/>
                <w:bCs/>
                <w:i/>
                <w:iCs/>
                <w:sz w:val="16"/>
                <w:szCs w:val="16"/>
                <w:lang w:val="fr-FR"/>
              </w:rPr>
              <w:t>de référence</w:t>
            </w:r>
          </w:p>
        </w:tc>
      </w:tr>
      <w:tr w:rsidR="00AF2126" w:rsidRPr="00D05C85" w14:paraId="544489C3" w14:textId="77777777" w:rsidTr="00E70082">
        <w:tc>
          <w:tcPr>
            <w:tcW w:w="3539" w:type="dxa"/>
            <w:shd w:val="clear" w:color="auto" w:fill="auto"/>
            <w:tcMar>
              <w:top w:w="0" w:type="dxa"/>
              <w:left w:w="0" w:type="dxa"/>
              <w:bottom w:w="0" w:type="dxa"/>
              <w:right w:w="0" w:type="dxa"/>
            </w:tcMar>
          </w:tcPr>
          <w:p w14:paraId="0367A356"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d’éclairage de la plaque d’immatriculation arrière</w:t>
            </w:r>
          </w:p>
        </w:tc>
        <w:tc>
          <w:tcPr>
            <w:tcW w:w="1349" w:type="dxa"/>
            <w:shd w:val="clear" w:color="auto" w:fill="auto"/>
            <w:tcMar>
              <w:top w:w="0" w:type="dxa"/>
              <w:left w:w="0" w:type="dxa"/>
              <w:bottom w:w="0" w:type="dxa"/>
              <w:right w:w="0" w:type="dxa"/>
            </w:tcMar>
          </w:tcPr>
          <w:p w14:paraId="39F1CCB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w:t>
            </w:r>
          </w:p>
        </w:tc>
        <w:tc>
          <w:tcPr>
            <w:tcW w:w="1349" w:type="dxa"/>
            <w:shd w:val="clear" w:color="auto" w:fill="auto"/>
            <w:tcMar>
              <w:top w:w="0" w:type="dxa"/>
              <w:left w:w="0" w:type="dxa"/>
              <w:bottom w:w="0" w:type="dxa"/>
              <w:right w:w="0" w:type="dxa"/>
            </w:tcMar>
          </w:tcPr>
          <w:p w14:paraId="0C487F3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Tout point de mesure indiqué à l’annexe 3</w:t>
            </w:r>
          </w:p>
        </w:tc>
      </w:tr>
      <w:tr w:rsidR="00AF2126" w:rsidRPr="00D05C85" w14:paraId="0C1FDD36" w14:textId="77777777" w:rsidTr="00E70082">
        <w:tc>
          <w:tcPr>
            <w:tcW w:w="3539" w:type="dxa"/>
            <w:shd w:val="clear" w:color="auto" w:fill="auto"/>
            <w:tcMar>
              <w:top w:w="0" w:type="dxa"/>
              <w:left w:w="0" w:type="dxa"/>
              <w:bottom w:w="0" w:type="dxa"/>
              <w:right w:w="0" w:type="dxa"/>
            </w:tcMar>
          </w:tcPr>
          <w:p w14:paraId="6465ED8E"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indicateur de direction (cat. 1, 2, 11 ou 12)</w:t>
            </w:r>
          </w:p>
        </w:tc>
        <w:tc>
          <w:tcPr>
            <w:tcW w:w="1349" w:type="dxa"/>
            <w:shd w:val="clear" w:color="auto" w:fill="auto"/>
            <w:tcMar>
              <w:top w:w="0" w:type="dxa"/>
              <w:left w:w="0" w:type="dxa"/>
              <w:bottom w:w="0" w:type="dxa"/>
              <w:right w:w="0" w:type="dxa"/>
            </w:tcMar>
          </w:tcPr>
          <w:p w14:paraId="35575A1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0,2</w:t>
            </w:r>
          </w:p>
        </w:tc>
        <w:tc>
          <w:tcPr>
            <w:tcW w:w="1349" w:type="dxa"/>
            <w:shd w:val="clear" w:color="auto" w:fill="auto"/>
            <w:tcMar>
              <w:top w:w="0" w:type="dxa"/>
              <w:left w:w="0" w:type="dxa"/>
              <w:bottom w:w="0" w:type="dxa"/>
              <w:right w:w="0" w:type="dxa"/>
            </w:tcMar>
          </w:tcPr>
          <w:p w14:paraId="73292290"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HV</w:t>
            </w:r>
          </w:p>
        </w:tc>
      </w:tr>
      <w:tr w:rsidR="00AF2126" w:rsidRPr="00D05C85" w14:paraId="56BACE4D" w14:textId="77777777" w:rsidTr="00E70082">
        <w:tc>
          <w:tcPr>
            <w:tcW w:w="3539" w:type="dxa"/>
            <w:shd w:val="clear" w:color="auto" w:fill="auto"/>
            <w:tcMar>
              <w:top w:w="0" w:type="dxa"/>
              <w:left w:w="0" w:type="dxa"/>
              <w:bottom w:w="0" w:type="dxa"/>
              <w:right w:w="0" w:type="dxa"/>
            </w:tcMar>
          </w:tcPr>
          <w:p w14:paraId="3D760D80"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lastRenderedPageBreak/>
              <w:t>Feu indicateur de direction (cat. 5 ou 6)</w:t>
            </w:r>
          </w:p>
        </w:tc>
        <w:tc>
          <w:tcPr>
            <w:tcW w:w="1349" w:type="dxa"/>
            <w:shd w:val="clear" w:color="auto" w:fill="auto"/>
            <w:tcMar>
              <w:top w:w="0" w:type="dxa"/>
              <w:left w:w="0" w:type="dxa"/>
              <w:bottom w:w="0" w:type="dxa"/>
              <w:right w:w="0" w:type="dxa"/>
            </w:tcMar>
          </w:tcPr>
          <w:p w14:paraId="74F0B9C5"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0,2</w:t>
            </w:r>
          </w:p>
        </w:tc>
        <w:tc>
          <w:tcPr>
            <w:tcW w:w="1349" w:type="dxa"/>
            <w:shd w:val="clear" w:color="auto" w:fill="auto"/>
            <w:tcMar>
              <w:top w:w="0" w:type="dxa"/>
              <w:left w:w="0" w:type="dxa"/>
              <w:bottom w:w="0" w:type="dxa"/>
              <w:right w:w="0" w:type="dxa"/>
            </w:tcMar>
          </w:tcPr>
          <w:p w14:paraId="5213A557" w14:textId="41E17378"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H5,</w:t>
            </w:r>
            <w:r w:rsidR="00910B33">
              <w:rPr>
                <w:sz w:val="18"/>
                <w:szCs w:val="18"/>
                <w:lang w:val="fr-FR"/>
              </w:rPr>
              <w:t xml:space="preserve"> </w:t>
            </w:r>
            <w:r w:rsidR="005B36F1" w:rsidRPr="00D05C85">
              <w:rPr>
                <w:sz w:val="18"/>
                <w:szCs w:val="18"/>
                <w:lang w:val="fr-FR"/>
              </w:rPr>
              <w:t>V</w:t>
            </w:r>
            <w:r w:rsidRPr="00D05C85">
              <w:rPr>
                <w:sz w:val="18"/>
                <w:szCs w:val="18"/>
                <w:lang w:val="fr-FR"/>
              </w:rPr>
              <w:t>0</w:t>
            </w:r>
          </w:p>
        </w:tc>
      </w:tr>
      <w:tr w:rsidR="00AF2126" w:rsidRPr="00D05C85" w14:paraId="7210A182" w14:textId="77777777" w:rsidTr="00E70082">
        <w:tc>
          <w:tcPr>
            <w:tcW w:w="3539" w:type="dxa"/>
            <w:shd w:val="clear" w:color="auto" w:fill="auto"/>
            <w:tcMar>
              <w:top w:w="0" w:type="dxa"/>
              <w:left w:w="0" w:type="dxa"/>
              <w:bottom w:w="0" w:type="dxa"/>
              <w:right w:w="0" w:type="dxa"/>
            </w:tcMar>
          </w:tcPr>
          <w:p w14:paraId="578935B1" w14:textId="78060086" w:rsidR="00AF2126" w:rsidRPr="00D05C85" w:rsidRDefault="00AF2126" w:rsidP="00E70082">
            <w:pPr>
              <w:spacing w:before="40" w:after="40" w:line="220" w:lineRule="exact"/>
              <w:ind w:left="57" w:right="57"/>
              <w:rPr>
                <w:sz w:val="18"/>
                <w:szCs w:val="18"/>
                <w:lang w:val="fr-FR"/>
              </w:rPr>
            </w:pPr>
            <w:r w:rsidRPr="00D05C85">
              <w:rPr>
                <w:sz w:val="18"/>
                <w:szCs w:val="18"/>
                <w:lang w:val="fr-FR"/>
              </w:rPr>
              <w:t xml:space="preserve">Feu de position avant </w:t>
            </w:r>
            <w:r w:rsidR="00910B33">
              <w:rPr>
                <w:sz w:val="18"/>
                <w:szCs w:val="18"/>
                <w:lang w:val="fr-FR"/>
              </w:rPr>
              <w:t xml:space="preserve">et </w:t>
            </w:r>
            <w:r w:rsidRPr="00D05C85">
              <w:rPr>
                <w:sz w:val="18"/>
                <w:szCs w:val="18"/>
                <w:lang w:val="fr-FR"/>
              </w:rPr>
              <w:t>arrière</w:t>
            </w:r>
          </w:p>
        </w:tc>
        <w:tc>
          <w:tcPr>
            <w:tcW w:w="1349" w:type="dxa"/>
            <w:shd w:val="clear" w:color="auto" w:fill="auto"/>
            <w:tcMar>
              <w:top w:w="0" w:type="dxa"/>
              <w:left w:w="0" w:type="dxa"/>
              <w:bottom w:w="0" w:type="dxa"/>
              <w:right w:w="0" w:type="dxa"/>
            </w:tcMar>
          </w:tcPr>
          <w:p w14:paraId="45DD9959"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w:t>
            </w:r>
          </w:p>
        </w:tc>
        <w:tc>
          <w:tcPr>
            <w:tcW w:w="1349" w:type="dxa"/>
            <w:shd w:val="clear" w:color="auto" w:fill="auto"/>
            <w:tcMar>
              <w:top w:w="0" w:type="dxa"/>
              <w:left w:w="0" w:type="dxa"/>
              <w:bottom w:w="0" w:type="dxa"/>
              <w:right w:w="0" w:type="dxa"/>
            </w:tcMar>
          </w:tcPr>
          <w:p w14:paraId="6150C133"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HV</w:t>
            </w:r>
          </w:p>
        </w:tc>
      </w:tr>
      <w:tr w:rsidR="00AF2126" w:rsidRPr="00D05C85" w14:paraId="78AB0BB3" w14:textId="77777777" w:rsidTr="00E70082">
        <w:tc>
          <w:tcPr>
            <w:tcW w:w="3539" w:type="dxa"/>
            <w:shd w:val="clear" w:color="auto" w:fill="auto"/>
            <w:tcMar>
              <w:top w:w="0" w:type="dxa"/>
              <w:left w:w="0" w:type="dxa"/>
              <w:bottom w:w="0" w:type="dxa"/>
              <w:right w:w="0" w:type="dxa"/>
            </w:tcMar>
          </w:tcPr>
          <w:p w14:paraId="0310EC38"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Feu-stop</w:t>
            </w:r>
          </w:p>
        </w:tc>
        <w:tc>
          <w:tcPr>
            <w:tcW w:w="1349" w:type="dxa"/>
            <w:shd w:val="clear" w:color="auto" w:fill="auto"/>
            <w:tcMar>
              <w:top w:w="0" w:type="dxa"/>
              <w:left w:w="0" w:type="dxa"/>
              <w:bottom w:w="0" w:type="dxa"/>
              <w:right w:w="0" w:type="dxa"/>
            </w:tcMar>
          </w:tcPr>
          <w:p w14:paraId="3B42DAB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0,2</w:t>
            </w:r>
          </w:p>
        </w:tc>
        <w:tc>
          <w:tcPr>
            <w:tcW w:w="1349" w:type="dxa"/>
            <w:shd w:val="clear" w:color="auto" w:fill="auto"/>
            <w:tcMar>
              <w:top w:w="0" w:type="dxa"/>
              <w:left w:w="0" w:type="dxa"/>
              <w:bottom w:w="0" w:type="dxa"/>
              <w:right w:w="0" w:type="dxa"/>
            </w:tcMar>
          </w:tcPr>
          <w:p w14:paraId="0ECD6512"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HV</w:t>
            </w:r>
          </w:p>
        </w:tc>
      </w:tr>
      <w:tr w:rsidR="00AF2126" w:rsidRPr="00D05C85" w14:paraId="422C1623" w14:textId="77777777" w:rsidTr="00E70082">
        <w:tc>
          <w:tcPr>
            <w:tcW w:w="3539" w:type="dxa"/>
            <w:shd w:val="clear" w:color="auto" w:fill="auto"/>
            <w:tcMar>
              <w:top w:w="0" w:type="dxa"/>
              <w:left w:w="0" w:type="dxa"/>
              <w:bottom w:w="0" w:type="dxa"/>
              <w:right w:w="0" w:type="dxa"/>
            </w:tcMar>
          </w:tcPr>
          <w:p w14:paraId="54ECB9A7"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d’encombrement</w:t>
            </w:r>
          </w:p>
        </w:tc>
        <w:tc>
          <w:tcPr>
            <w:tcW w:w="1349" w:type="dxa"/>
            <w:shd w:val="clear" w:color="auto" w:fill="auto"/>
            <w:tcMar>
              <w:top w:w="0" w:type="dxa"/>
              <w:left w:w="0" w:type="dxa"/>
              <w:bottom w:w="0" w:type="dxa"/>
              <w:right w:w="0" w:type="dxa"/>
            </w:tcMar>
          </w:tcPr>
          <w:p w14:paraId="189B1D9A"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 xml:space="preserve">4 </w:t>
            </w:r>
          </w:p>
        </w:tc>
        <w:tc>
          <w:tcPr>
            <w:tcW w:w="1349" w:type="dxa"/>
            <w:shd w:val="clear" w:color="auto" w:fill="auto"/>
            <w:tcMar>
              <w:top w:w="0" w:type="dxa"/>
              <w:left w:w="0" w:type="dxa"/>
              <w:bottom w:w="0" w:type="dxa"/>
              <w:right w:w="0" w:type="dxa"/>
            </w:tcMar>
          </w:tcPr>
          <w:p w14:paraId="11CB5FEF"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HV</w:t>
            </w:r>
          </w:p>
        </w:tc>
      </w:tr>
      <w:tr w:rsidR="00AF2126" w:rsidRPr="00D05C85" w14:paraId="45BCD29F" w14:textId="77777777" w:rsidTr="00E70082">
        <w:tc>
          <w:tcPr>
            <w:tcW w:w="3539" w:type="dxa"/>
            <w:shd w:val="clear" w:color="auto" w:fill="auto"/>
            <w:tcMar>
              <w:top w:w="0" w:type="dxa"/>
              <w:left w:w="0" w:type="dxa"/>
              <w:bottom w:w="0" w:type="dxa"/>
              <w:right w:w="0" w:type="dxa"/>
            </w:tcMar>
          </w:tcPr>
          <w:p w14:paraId="305A0D0A"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marche arrière</w:t>
            </w:r>
          </w:p>
        </w:tc>
        <w:tc>
          <w:tcPr>
            <w:tcW w:w="1349" w:type="dxa"/>
            <w:shd w:val="clear" w:color="auto" w:fill="auto"/>
            <w:tcMar>
              <w:top w:w="0" w:type="dxa"/>
              <w:left w:w="0" w:type="dxa"/>
              <w:bottom w:w="0" w:type="dxa"/>
              <w:right w:w="0" w:type="dxa"/>
            </w:tcMar>
          </w:tcPr>
          <w:p w14:paraId="09B307B0"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0,2</w:t>
            </w:r>
          </w:p>
        </w:tc>
        <w:tc>
          <w:tcPr>
            <w:tcW w:w="1349" w:type="dxa"/>
            <w:shd w:val="clear" w:color="auto" w:fill="auto"/>
            <w:tcMar>
              <w:top w:w="0" w:type="dxa"/>
              <w:left w:w="0" w:type="dxa"/>
              <w:bottom w:w="0" w:type="dxa"/>
              <w:right w:w="0" w:type="dxa"/>
            </w:tcMar>
          </w:tcPr>
          <w:p w14:paraId="343A9041"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HV</w:t>
            </w:r>
          </w:p>
        </w:tc>
      </w:tr>
      <w:tr w:rsidR="00AF2126" w:rsidRPr="00D05C85" w14:paraId="6685EFB0" w14:textId="77777777" w:rsidTr="00E70082">
        <w:tc>
          <w:tcPr>
            <w:tcW w:w="3539" w:type="dxa"/>
            <w:shd w:val="clear" w:color="auto" w:fill="auto"/>
            <w:tcMar>
              <w:top w:w="0" w:type="dxa"/>
              <w:left w:w="0" w:type="dxa"/>
              <w:bottom w:w="0" w:type="dxa"/>
              <w:right w:w="0" w:type="dxa"/>
            </w:tcMar>
          </w:tcPr>
          <w:p w14:paraId="77E902C3"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manœuvre</w:t>
            </w:r>
          </w:p>
        </w:tc>
        <w:tc>
          <w:tcPr>
            <w:tcW w:w="1349" w:type="dxa"/>
            <w:shd w:val="clear" w:color="auto" w:fill="auto"/>
            <w:tcMar>
              <w:top w:w="0" w:type="dxa"/>
              <w:left w:w="0" w:type="dxa"/>
              <w:bottom w:w="0" w:type="dxa"/>
              <w:right w:w="0" w:type="dxa"/>
            </w:tcMar>
          </w:tcPr>
          <w:p w14:paraId="411BED59" w14:textId="77777777" w:rsidR="00AF2126" w:rsidRPr="00D05C85" w:rsidRDefault="00AF2126" w:rsidP="00E70082">
            <w:pPr>
              <w:spacing w:before="40" w:after="40" w:line="220" w:lineRule="exact"/>
              <w:ind w:left="57" w:right="57"/>
              <w:jc w:val="center"/>
              <w:rPr>
                <w:sz w:val="18"/>
                <w:szCs w:val="18"/>
                <w:lang w:val="fr-FR"/>
              </w:rPr>
            </w:pPr>
            <w:proofErr w:type="spellStart"/>
            <w:r w:rsidRPr="00D05C85">
              <w:rPr>
                <w:sz w:val="18"/>
                <w:szCs w:val="18"/>
                <w:lang w:val="fr-FR"/>
              </w:rPr>
              <w:t>s.o</w:t>
            </w:r>
            <w:proofErr w:type="spellEnd"/>
            <w:r w:rsidRPr="00D05C85">
              <w:rPr>
                <w:sz w:val="18"/>
                <w:szCs w:val="18"/>
                <w:lang w:val="fr-FR"/>
              </w:rPr>
              <w:t>.</w:t>
            </w:r>
          </w:p>
        </w:tc>
        <w:tc>
          <w:tcPr>
            <w:tcW w:w="1349" w:type="dxa"/>
            <w:shd w:val="clear" w:color="auto" w:fill="auto"/>
            <w:tcMar>
              <w:top w:w="0" w:type="dxa"/>
              <w:left w:w="0" w:type="dxa"/>
              <w:bottom w:w="0" w:type="dxa"/>
              <w:right w:w="0" w:type="dxa"/>
            </w:tcMar>
          </w:tcPr>
          <w:p w14:paraId="676D4892" w14:textId="77777777" w:rsidR="00AF2126" w:rsidRPr="00D05C85" w:rsidRDefault="00AF2126" w:rsidP="00E70082">
            <w:pPr>
              <w:spacing w:before="40" w:after="40" w:line="220" w:lineRule="exact"/>
              <w:ind w:left="57" w:right="57"/>
              <w:jc w:val="center"/>
              <w:rPr>
                <w:sz w:val="18"/>
                <w:szCs w:val="18"/>
                <w:lang w:val="fr-FR"/>
              </w:rPr>
            </w:pPr>
            <w:proofErr w:type="spellStart"/>
            <w:r w:rsidRPr="00D05C85">
              <w:rPr>
                <w:sz w:val="18"/>
                <w:szCs w:val="18"/>
                <w:lang w:val="fr-FR"/>
              </w:rPr>
              <w:t>s.o</w:t>
            </w:r>
            <w:proofErr w:type="spellEnd"/>
            <w:r w:rsidRPr="00D05C85">
              <w:rPr>
                <w:sz w:val="18"/>
                <w:szCs w:val="18"/>
                <w:lang w:val="fr-FR"/>
              </w:rPr>
              <w:t>.</w:t>
            </w:r>
          </w:p>
        </w:tc>
      </w:tr>
      <w:tr w:rsidR="00AF2126" w:rsidRPr="00D05C85" w14:paraId="03FAEB7E" w14:textId="77777777" w:rsidTr="00E70082">
        <w:tc>
          <w:tcPr>
            <w:tcW w:w="3539" w:type="dxa"/>
            <w:shd w:val="clear" w:color="auto" w:fill="auto"/>
            <w:tcMar>
              <w:top w:w="0" w:type="dxa"/>
              <w:left w:w="0" w:type="dxa"/>
              <w:bottom w:w="0" w:type="dxa"/>
              <w:right w:w="0" w:type="dxa"/>
            </w:tcMar>
          </w:tcPr>
          <w:p w14:paraId="3B492D4C"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brouillard arrière</w:t>
            </w:r>
          </w:p>
        </w:tc>
        <w:tc>
          <w:tcPr>
            <w:tcW w:w="1349" w:type="dxa"/>
            <w:shd w:val="clear" w:color="auto" w:fill="auto"/>
            <w:tcMar>
              <w:top w:w="0" w:type="dxa"/>
              <w:left w:w="0" w:type="dxa"/>
              <w:bottom w:w="0" w:type="dxa"/>
              <w:right w:w="0" w:type="dxa"/>
            </w:tcMar>
          </w:tcPr>
          <w:p w14:paraId="015B87D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w:t>
            </w:r>
          </w:p>
        </w:tc>
        <w:tc>
          <w:tcPr>
            <w:tcW w:w="1349" w:type="dxa"/>
            <w:shd w:val="clear" w:color="auto" w:fill="auto"/>
            <w:tcMar>
              <w:top w:w="0" w:type="dxa"/>
              <w:left w:w="0" w:type="dxa"/>
              <w:bottom w:w="0" w:type="dxa"/>
              <w:right w:w="0" w:type="dxa"/>
            </w:tcMar>
          </w:tcPr>
          <w:p w14:paraId="2F7704A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HV</w:t>
            </w:r>
          </w:p>
        </w:tc>
      </w:tr>
      <w:tr w:rsidR="00AF2126" w:rsidRPr="00D05C85" w14:paraId="7F33728B" w14:textId="77777777" w:rsidTr="00E70082">
        <w:tc>
          <w:tcPr>
            <w:tcW w:w="3539" w:type="dxa"/>
            <w:shd w:val="clear" w:color="auto" w:fill="auto"/>
            <w:tcMar>
              <w:top w:w="0" w:type="dxa"/>
              <w:left w:w="0" w:type="dxa"/>
              <w:bottom w:w="0" w:type="dxa"/>
              <w:right w:w="0" w:type="dxa"/>
            </w:tcMar>
          </w:tcPr>
          <w:p w14:paraId="4C28F7CF"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stationnement</w:t>
            </w:r>
          </w:p>
        </w:tc>
        <w:tc>
          <w:tcPr>
            <w:tcW w:w="1349" w:type="dxa"/>
            <w:shd w:val="clear" w:color="auto" w:fill="auto"/>
            <w:tcMar>
              <w:top w:w="0" w:type="dxa"/>
              <w:left w:w="0" w:type="dxa"/>
              <w:bottom w:w="0" w:type="dxa"/>
              <w:right w:w="0" w:type="dxa"/>
            </w:tcMar>
          </w:tcPr>
          <w:p w14:paraId="5AB796C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w:t>
            </w:r>
          </w:p>
        </w:tc>
        <w:tc>
          <w:tcPr>
            <w:tcW w:w="1349" w:type="dxa"/>
            <w:shd w:val="clear" w:color="auto" w:fill="auto"/>
            <w:tcMar>
              <w:top w:w="0" w:type="dxa"/>
              <w:left w:w="0" w:type="dxa"/>
              <w:bottom w:w="0" w:type="dxa"/>
              <w:right w:w="0" w:type="dxa"/>
            </w:tcMar>
          </w:tcPr>
          <w:p w14:paraId="502038E4"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HV</w:t>
            </w:r>
          </w:p>
        </w:tc>
      </w:tr>
      <w:tr w:rsidR="00AF2126" w:rsidRPr="00D05C85" w14:paraId="02711EB5" w14:textId="77777777" w:rsidTr="00E70082">
        <w:tc>
          <w:tcPr>
            <w:tcW w:w="3539" w:type="dxa"/>
            <w:shd w:val="clear" w:color="auto" w:fill="auto"/>
            <w:tcMar>
              <w:top w:w="0" w:type="dxa"/>
              <w:left w:w="0" w:type="dxa"/>
              <w:bottom w:w="0" w:type="dxa"/>
              <w:right w:w="0" w:type="dxa"/>
            </w:tcMar>
          </w:tcPr>
          <w:p w14:paraId="73BE3807"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Feu de circulation diurne</w:t>
            </w:r>
          </w:p>
        </w:tc>
        <w:tc>
          <w:tcPr>
            <w:tcW w:w="1349" w:type="dxa"/>
            <w:shd w:val="clear" w:color="auto" w:fill="auto"/>
            <w:tcMar>
              <w:top w:w="0" w:type="dxa"/>
              <w:left w:w="0" w:type="dxa"/>
              <w:bottom w:w="0" w:type="dxa"/>
              <w:right w:w="0" w:type="dxa"/>
            </w:tcMar>
          </w:tcPr>
          <w:p w14:paraId="6378565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w:t>
            </w:r>
          </w:p>
        </w:tc>
        <w:tc>
          <w:tcPr>
            <w:tcW w:w="1349" w:type="dxa"/>
            <w:shd w:val="clear" w:color="auto" w:fill="auto"/>
            <w:tcMar>
              <w:top w:w="0" w:type="dxa"/>
              <w:left w:w="0" w:type="dxa"/>
              <w:bottom w:w="0" w:type="dxa"/>
              <w:right w:w="0" w:type="dxa"/>
            </w:tcMar>
          </w:tcPr>
          <w:p w14:paraId="1A95DDF7"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HV</w:t>
            </w:r>
          </w:p>
        </w:tc>
      </w:tr>
      <w:tr w:rsidR="00AF2126" w:rsidRPr="00D05C85" w14:paraId="3BF3AC72" w14:textId="77777777" w:rsidTr="00E70082">
        <w:tc>
          <w:tcPr>
            <w:tcW w:w="3539" w:type="dxa"/>
            <w:shd w:val="clear" w:color="auto" w:fill="auto"/>
            <w:tcMar>
              <w:top w:w="0" w:type="dxa"/>
              <w:left w:w="0" w:type="dxa"/>
              <w:bottom w:w="0" w:type="dxa"/>
              <w:right w:w="0" w:type="dxa"/>
            </w:tcMar>
          </w:tcPr>
          <w:p w14:paraId="48B3AE4A" w14:textId="77777777" w:rsidR="00AF2126" w:rsidRPr="00D05C85" w:rsidRDefault="00AF2126" w:rsidP="00E70082">
            <w:pPr>
              <w:spacing w:before="40" w:after="40" w:line="220" w:lineRule="exact"/>
              <w:ind w:left="57" w:right="57"/>
              <w:rPr>
                <w:sz w:val="18"/>
                <w:szCs w:val="18"/>
                <w:lang w:val="fr-FR"/>
              </w:rPr>
            </w:pPr>
            <w:r w:rsidRPr="00D05C85">
              <w:rPr>
                <w:sz w:val="18"/>
                <w:szCs w:val="18"/>
                <w:lang w:val="fr-FR"/>
              </w:rPr>
              <w:t xml:space="preserve">Feu de position latéral </w:t>
            </w:r>
          </w:p>
        </w:tc>
        <w:tc>
          <w:tcPr>
            <w:tcW w:w="1349" w:type="dxa"/>
            <w:shd w:val="clear" w:color="auto" w:fill="auto"/>
            <w:tcMar>
              <w:top w:w="0" w:type="dxa"/>
              <w:left w:w="0" w:type="dxa"/>
              <w:bottom w:w="0" w:type="dxa"/>
              <w:right w:w="0" w:type="dxa"/>
            </w:tcMar>
          </w:tcPr>
          <w:p w14:paraId="303230FE"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4</w:t>
            </w:r>
          </w:p>
        </w:tc>
        <w:tc>
          <w:tcPr>
            <w:tcW w:w="1349" w:type="dxa"/>
            <w:shd w:val="clear" w:color="auto" w:fill="auto"/>
            <w:tcMar>
              <w:top w:w="0" w:type="dxa"/>
              <w:left w:w="0" w:type="dxa"/>
              <w:bottom w:w="0" w:type="dxa"/>
              <w:right w:w="0" w:type="dxa"/>
            </w:tcMar>
          </w:tcPr>
          <w:p w14:paraId="108E3E2B" w14:textId="77777777" w:rsidR="00AF2126" w:rsidRPr="00D05C85" w:rsidRDefault="00AF2126" w:rsidP="00E70082">
            <w:pPr>
              <w:spacing w:before="40" w:after="40" w:line="220" w:lineRule="exact"/>
              <w:ind w:left="57" w:right="57"/>
              <w:jc w:val="center"/>
              <w:rPr>
                <w:sz w:val="18"/>
                <w:szCs w:val="18"/>
                <w:lang w:val="fr-FR"/>
              </w:rPr>
            </w:pPr>
            <w:r w:rsidRPr="00D05C85">
              <w:rPr>
                <w:sz w:val="18"/>
                <w:szCs w:val="18"/>
                <w:lang w:val="fr-FR"/>
              </w:rPr>
              <w:t>HV</w:t>
            </w:r>
          </w:p>
        </w:tc>
      </w:tr>
    </w:tbl>
    <w:p w14:paraId="0E2B6D6E" w14:textId="77777777" w:rsidR="00AF2126" w:rsidRPr="00D05C85" w:rsidRDefault="00AF2126" w:rsidP="00AF2126">
      <w:pPr>
        <w:pStyle w:val="SingleTxtG"/>
        <w:tabs>
          <w:tab w:val="left" w:pos="2268"/>
          <w:tab w:val="left" w:pos="2835"/>
        </w:tabs>
        <w:spacing w:before="240"/>
        <w:ind w:left="2268" w:hanging="1134"/>
        <w:rPr>
          <w:lang w:val="fr-FR"/>
        </w:rPr>
      </w:pPr>
      <w:r w:rsidRPr="00D05C85">
        <w:rPr>
          <w:lang w:val="fr-FR"/>
        </w:rPr>
        <w:t>2.1.1</w:t>
      </w:r>
      <w:r w:rsidRPr="00D05C85">
        <w:rPr>
          <w:lang w:val="fr-FR"/>
        </w:rPr>
        <w:tab/>
        <w:t>Dans le cas d’un feu (fonction) équipé uniquement de sources lumineuses à incandescence, le feu (fonction) est réputé conforme aux prescriptions d’intensité à tous les points dans le temps si les valeurs mesurées en application du paragraphe 1.1 sont conformes aux prescriptions.</w:t>
      </w:r>
    </w:p>
    <w:p w14:paraId="3311CA89"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2.1.2</w:t>
      </w:r>
      <w:r w:rsidRPr="00D05C85">
        <w:rPr>
          <w:lang w:val="fr-FR"/>
        </w:rPr>
        <w:tab/>
        <w:t>Dans le cas d’un feu (fonction) équipé uniquement de sources lumineuses à DEL, le feu (fonction) est réputé conforme aux prescriptions d’intensité à tous les points dans le temps si les valeurs mesurées en application du paragraphe 1.2 sont conformes aux prescriptions.</w:t>
      </w:r>
    </w:p>
    <w:p w14:paraId="4C93BEBD"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2.1.3</w:t>
      </w:r>
      <w:r w:rsidRPr="00D05C85">
        <w:rPr>
          <w:lang w:val="fr-FR"/>
        </w:rPr>
        <w:tab/>
        <w:t>Dans le cas d’un feu (fonction) qui produit la lumière au moyen d’une autre technologie, la conformité du feu (fonction) aux prescriptions d’intensité est vérifiée à partir de l’instant donné dans le tableau A8-1, l’essai prenant fin une fois que la stabilité photométrique a été atteinte.</w:t>
      </w:r>
    </w:p>
    <w:p w14:paraId="5B0931C0" w14:textId="77777777" w:rsidR="00AF2126" w:rsidRPr="00D05C85" w:rsidRDefault="00AF2126" w:rsidP="00AF2126">
      <w:pPr>
        <w:pStyle w:val="SingleTxtG"/>
        <w:tabs>
          <w:tab w:val="left" w:pos="2268"/>
          <w:tab w:val="left" w:pos="2835"/>
        </w:tabs>
        <w:ind w:left="2268" w:hanging="1134"/>
        <w:rPr>
          <w:lang w:val="fr-FR"/>
        </w:rPr>
      </w:pPr>
      <w:r w:rsidRPr="00D05C85">
        <w:rPr>
          <w:lang w:val="fr-FR"/>
        </w:rPr>
        <w:t>2.1.4</w:t>
      </w:r>
      <w:r w:rsidRPr="00D05C85">
        <w:rPr>
          <w:lang w:val="fr-FR"/>
        </w:rPr>
        <w:tab/>
        <w:t>Dans le cas d’un feu (fonction) qui produit la lumière au moyen de plusieurs technologies, la conformité du feu (fonction) aux prescriptions d’intensité est vérifiée, pour toutes les technologies, en appliquant les prescriptions les plus strictes des paragraphes 2.1.1 à 2.1.3 quant aux points dans le temps sur lesquels portent les essais.</w:t>
      </w:r>
    </w:p>
    <w:p w14:paraId="0AC66B78" w14:textId="130C6545" w:rsidR="00AF2126" w:rsidRPr="00D05C85" w:rsidRDefault="00AF2126" w:rsidP="00AF2126">
      <w:pPr>
        <w:pStyle w:val="SingleTxtG"/>
        <w:tabs>
          <w:tab w:val="left" w:pos="2268"/>
          <w:tab w:val="left" w:pos="2835"/>
        </w:tabs>
        <w:ind w:left="2268" w:hanging="1134"/>
        <w:rPr>
          <w:lang w:val="fr-FR"/>
        </w:rPr>
      </w:pPr>
      <w:r w:rsidRPr="00D05C85">
        <w:rPr>
          <w:lang w:val="fr-FR"/>
        </w:rPr>
        <w:t>2.1.5</w:t>
      </w:r>
      <w:r w:rsidRPr="00D05C85">
        <w:rPr>
          <w:lang w:val="fr-FR"/>
        </w:rPr>
        <w:tab/>
        <w:t>En cas de doute (comportement inattendu au moment de l’allumage, par exemple), la conformité du feu (fonction) aux prescriptions minimales d’intensité est vérifiée à tous les points dans le temps à partir de l’instant donné dans le tableau A8-1, l’essai prenant fin une fois que la stabilité photométrique a été atteinte. ».</w:t>
      </w:r>
    </w:p>
    <w:p w14:paraId="5D95C582" w14:textId="4A246F78" w:rsidR="00AF2126" w:rsidRPr="00D05C85" w:rsidRDefault="00AF2126" w:rsidP="00AF2126">
      <w:pPr>
        <w:pStyle w:val="SingleTxtG"/>
        <w:spacing w:before="240" w:after="0"/>
        <w:jc w:val="center"/>
        <w:rPr>
          <w:u w:val="single"/>
          <w:lang w:val="fr-FR"/>
        </w:rPr>
      </w:pPr>
      <w:r w:rsidRPr="00D05C85">
        <w:rPr>
          <w:u w:val="single"/>
          <w:lang w:val="fr-FR"/>
        </w:rPr>
        <w:tab/>
      </w:r>
      <w:r w:rsidRPr="00D05C85">
        <w:rPr>
          <w:u w:val="single"/>
          <w:lang w:val="fr-FR"/>
        </w:rPr>
        <w:tab/>
      </w:r>
      <w:r w:rsidRPr="00D05C85">
        <w:rPr>
          <w:u w:val="single"/>
          <w:lang w:val="fr-FR"/>
        </w:rPr>
        <w:tab/>
      </w:r>
      <w:r w:rsidRPr="00D05C85">
        <w:rPr>
          <w:u w:val="single"/>
          <w:lang w:val="fr-FR"/>
        </w:rPr>
        <w:tab/>
      </w:r>
    </w:p>
    <w:sectPr w:rsidR="00AF2126" w:rsidRPr="00D05C85" w:rsidSect="003C6CE4">
      <w:headerReference w:type="even" r:id="rId38"/>
      <w:headerReference w:type="default" r:id="rId39"/>
      <w:footerReference w:type="even" r:id="rId40"/>
      <w:footerReference w:type="default" r:id="rId41"/>
      <w:footerReference w:type="first" r:id="rId4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6FC6" w14:textId="77777777" w:rsidR="0065609D" w:rsidRDefault="0065609D"/>
  </w:endnote>
  <w:endnote w:type="continuationSeparator" w:id="0">
    <w:p w14:paraId="13A6F26B" w14:textId="77777777" w:rsidR="0065609D" w:rsidRDefault="0065609D">
      <w:pPr>
        <w:pStyle w:val="Pieddepage"/>
      </w:pPr>
    </w:p>
  </w:endnote>
  <w:endnote w:type="continuationNotice" w:id="1">
    <w:p w14:paraId="7661284B" w14:textId="77777777" w:rsidR="0065609D" w:rsidRPr="00C451B9" w:rsidRDefault="0065609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BAEC" w14:textId="77777777" w:rsidR="003C6CE4" w:rsidRPr="003C6CE4" w:rsidRDefault="003C6CE4" w:rsidP="003C6CE4">
    <w:pPr>
      <w:pStyle w:val="Pieddepage"/>
      <w:tabs>
        <w:tab w:val="right" w:pos="9638"/>
      </w:tabs>
    </w:pPr>
    <w:r w:rsidRPr="003C6CE4">
      <w:rPr>
        <w:b/>
        <w:sz w:val="18"/>
      </w:rPr>
      <w:fldChar w:fldCharType="begin"/>
    </w:r>
    <w:r w:rsidRPr="003C6CE4">
      <w:rPr>
        <w:b/>
        <w:sz w:val="18"/>
      </w:rPr>
      <w:instrText xml:space="preserve"> PAGE  \* MERGEFORMAT </w:instrText>
    </w:r>
    <w:r w:rsidRPr="003C6CE4">
      <w:rPr>
        <w:b/>
        <w:sz w:val="18"/>
      </w:rPr>
      <w:fldChar w:fldCharType="separate"/>
    </w:r>
    <w:r w:rsidRPr="003C6CE4">
      <w:rPr>
        <w:b/>
        <w:noProof/>
        <w:sz w:val="18"/>
      </w:rPr>
      <w:t>2</w:t>
    </w:r>
    <w:r w:rsidRPr="003C6CE4">
      <w:rPr>
        <w:b/>
        <w:sz w:val="18"/>
      </w:rPr>
      <w:fldChar w:fldCharType="end"/>
    </w:r>
    <w:r>
      <w:rPr>
        <w:b/>
        <w:sz w:val="18"/>
      </w:rPr>
      <w:tab/>
    </w:r>
    <w:r>
      <w:t>GE.23-04002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D0AF" w14:textId="77777777" w:rsidR="003C6CE4" w:rsidRPr="003C6CE4" w:rsidRDefault="003C6CE4" w:rsidP="003C6CE4">
    <w:pPr>
      <w:pStyle w:val="Pieddepage"/>
      <w:tabs>
        <w:tab w:val="right" w:pos="9638"/>
      </w:tabs>
      <w:rPr>
        <w:b/>
        <w:sz w:val="18"/>
      </w:rPr>
    </w:pPr>
    <w:r>
      <w:t>GE.23-04002</w:t>
    </w:r>
    <w:r>
      <w:tab/>
    </w:r>
    <w:r w:rsidRPr="003C6CE4">
      <w:rPr>
        <w:b/>
        <w:sz w:val="18"/>
      </w:rPr>
      <w:fldChar w:fldCharType="begin"/>
    </w:r>
    <w:r w:rsidRPr="003C6CE4">
      <w:rPr>
        <w:b/>
        <w:sz w:val="18"/>
      </w:rPr>
      <w:instrText xml:space="preserve"> PAGE  \* MERGEFORMAT </w:instrText>
    </w:r>
    <w:r w:rsidRPr="003C6CE4">
      <w:rPr>
        <w:b/>
        <w:sz w:val="18"/>
      </w:rPr>
      <w:fldChar w:fldCharType="separate"/>
    </w:r>
    <w:r w:rsidRPr="003C6CE4">
      <w:rPr>
        <w:b/>
        <w:noProof/>
        <w:sz w:val="18"/>
      </w:rPr>
      <w:t>3</w:t>
    </w:r>
    <w:r w:rsidRPr="003C6C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DA84" w14:textId="66D5D4C8" w:rsidR="00467F2C" w:rsidRPr="003C6CE4" w:rsidRDefault="003C6CE4" w:rsidP="003C6CE4">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3D16A3F1" wp14:editId="289C2DDE">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23-04002  (F)</w:t>
    </w:r>
    <w:r>
      <w:rPr>
        <w:noProof/>
        <w:sz w:val="20"/>
      </w:rPr>
      <w:drawing>
        <wp:anchor distT="0" distB="0" distL="114300" distR="114300" simplePos="0" relativeHeight="251660288" behindDoc="0" locked="0" layoutInCell="1" allowOverlap="1" wp14:anchorId="6B7944EF" wp14:editId="26567B23">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9A1">
      <w:rPr>
        <w:sz w:val="20"/>
      </w:rPr>
      <w:t xml:space="preserve">    130623    130623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EDEF" w14:textId="77777777" w:rsidR="0065609D" w:rsidRPr="00D27D5E" w:rsidRDefault="0065609D" w:rsidP="00D27D5E">
      <w:pPr>
        <w:tabs>
          <w:tab w:val="right" w:pos="2155"/>
        </w:tabs>
        <w:spacing w:after="80"/>
        <w:ind w:left="680"/>
        <w:rPr>
          <w:u w:val="single"/>
        </w:rPr>
      </w:pPr>
      <w:r>
        <w:rPr>
          <w:u w:val="single"/>
        </w:rPr>
        <w:tab/>
      </w:r>
    </w:p>
  </w:footnote>
  <w:footnote w:type="continuationSeparator" w:id="0">
    <w:p w14:paraId="4122B9E1" w14:textId="77777777" w:rsidR="0065609D" w:rsidRPr="00D171D4" w:rsidRDefault="0065609D" w:rsidP="00D171D4">
      <w:pPr>
        <w:tabs>
          <w:tab w:val="right" w:pos="2155"/>
        </w:tabs>
        <w:spacing w:after="80"/>
        <w:ind w:left="680"/>
        <w:rPr>
          <w:u w:val="single"/>
        </w:rPr>
      </w:pPr>
      <w:r w:rsidRPr="00D171D4">
        <w:rPr>
          <w:u w:val="single"/>
        </w:rPr>
        <w:tab/>
      </w:r>
    </w:p>
  </w:footnote>
  <w:footnote w:type="continuationNotice" w:id="1">
    <w:p w14:paraId="30D69FAC" w14:textId="77777777" w:rsidR="0065609D" w:rsidRPr="00C451B9" w:rsidRDefault="0065609D" w:rsidP="00C451B9">
      <w:pPr>
        <w:spacing w:line="240" w:lineRule="auto"/>
        <w:rPr>
          <w:sz w:val="2"/>
          <w:szCs w:val="2"/>
        </w:rPr>
      </w:pPr>
    </w:p>
  </w:footnote>
  <w:footnote w:id="2">
    <w:p w14:paraId="12693EF9" w14:textId="77777777" w:rsidR="00AF2126" w:rsidRPr="009D39AD" w:rsidRDefault="00AF2126" w:rsidP="00AF2126">
      <w:pPr>
        <w:pStyle w:val="Notedebasdepage"/>
        <w:rPr>
          <w:lang w:val="fr-FR"/>
        </w:rPr>
      </w:pPr>
      <w:r w:rsidRPr="00E50D6B">
        <w:tab/>
      </w:r>
      <w:r w:rsidRPr="004B3E41">
        <w:rPr>
          <w:rStyle w:val="Appelnotedebasdep"/>
          <w:sz w:val="20"/>
          <w:vertAlign w:val="baseline"/>
          <w:lang w:val="fr-FR"/>
        </w:rPr>
        <w:t>*</w:t>
      </w:r>
      <w:r w:rsidRPr="004B3E41">
        <w:rPr>
          <w:sz w:val="20"/>
          <w:lang w:val="fr-FR"/>
        </w:rPr>
        <w:tab/>
      </w:r>
      <w:r w:rsidRPr="009D39AD">
        <w:rPr>
          <w:lang w:val="fr-FR"/>
        </w:rPr>
        <w:t>Anciens titre de l’Accord :</w:t>
      </w:r>
    </w:p>
    <w:p w14:paraId="6AA190C0" w14:textId="6907436B" w:rsidR="00AF2126" w:rsidRPr="009D39AD" w:rsidRDefault="00AF2126" w:rsidP="00AF2126">
      <w:pPr>
        <w:pStyle w:val="Notedebasdepage"/>
        <w:rPr>
          <w:sz w:val="20"/>
          <w:lang w:val="fr-FR"/>
        </w:rPr>
      </w:pPr>
      <w:r w:rsidRPr="009D39AD">
        <w:rPr>
          <w:lang w:val="fr-FR"/>
        </w:rPr>
        <w:tab/>
      </w:r>
      <w:r w:rsidRPr="009D39AD">
        <w:rPr>
          <w:lang w:val="fr-FR"/>
        </w:rPr>
        <w:tab/>
      </w:r>
      <w:r w:rsidRPr="009D39AD">
        <w:rPr>
          <w:spacing w:val="-4"/>
        </w:rPr>
        <w:t xml:space="preserve">Accord concernant l’adoption de conditions uniformes d’homologation </w:t>
      </w:r>
      <w:r w:rsidR="00910B33">
        <w:rPr>
          <w:spacing w:val="-4"/>
        </w:rPr>
        <w:t xml:space="preserve">et </w:t>
      </w:r>
      <w:r w:rsidRPr="009D39AD">
        <w:rPr>
          <w:spacing w:val="-4"/>
        </w:rPr>
        <w:t xml:space="preserve">la reconnaissance réciproque de l’homologation des équipements </w:t>
      </w:r>
      <w:r w:rsidR="00910B33">
        <w:rPr>
          <w:spacing w:val="-4"/>
        </w:rPr>
        <w:t xml:space="preserve">et </w:t>
      </w:r>
      <w:r w:rsidRPr="009D39AD">
        <w:rPr>
          <w:spacing w:val="-4"/>
        </w:rPr>
        <w:t>pièces de véhicules à moteur, en date, à Genève, du 20</w:t>
      </w:r>
      <w:r>
        <w:rPr>
          <w:spacing w:val="-4"/>
        </w:rPr>
        <w:t> </w:t>
      </w:r>
      <w:r w:rsidRPr="009D39AD">
        <w:rPr>
          <w:spacing w:val="-4"/>
        </w:rPr>
        <w:t>mars 1958 (version originale</w:t>
      </w:r>
      <w:r w:rsidRPr="009D39AD">
        <w:rPr>
          <w:spacing w:val="-4"/>
          <w:lang w:val="fr-FR"/>
        </w:rPr>
        <w:t>)</w:t>
      </w:r>
      <w:r>
        <w:rPr>
          <w:spacing w:val="-4"/>
          <w:lang w:val="fr-FR"/>
        </w:rPr>
        <w:t> </w:t>
      </w:r>
      <w:r w:rsidRPr="009D39AD">
        <w:rPr>
          <w:spacing w:val="-4"/>
          <w:lang w:val="fr-FR"/>
        </w:rPr>
        <w:t>;</w:t>
      </w:r>
    </w:p>
    <w:p w14:paraId="533AFBBA" w14:textId="26C46FDD" w:rsidR="00AF2126" w:rsidRPr="00455C8E" w:rsidRDefault="00AF2126" w:rsidP="00AF2126">
      <w:pPr>
        <w:pStyle w:val="Notedebasdepage"/>
        <w:rPr>
          <w:lang w:val="fr-FR"/>
        </w:rPr>
      </w:pPr>
      <w:r w:rsidRPr="009D39AD">
        <w:rPr>
          <w:lang w:val="fr-FR"/>
        </w:rPr>
        <w:tab/>
      </w:r>
      <w:r w:rsidRPr="009D39AD">
        <w:rPr>
          <w:lang w:val="fr-FR"/>
        </w:rPr>
        <w:tab/>
      </w:r>
      <w:r w:rsidRPr="009D39AD">
        <w:t xml:space="preserve">Accord concernant l’adoption de prescriptions techniques uniformes applicables aux véhicules à roues, aux équipements </w:t>
      </w:r>
      <w:r w:rsidR="00910B33">
        <w:t xml:space="preserve">et </w:t>
      </w:r>
      <w:r w:rsidRPr="009D39AD">
        <w:t xml:space="preserve">aux pièces susceptibles d’être montés ou utilisés sur un véhicule à roues </w:t>
      </w:r>
      <w:r w:rsidR="00910B33">
        <w:t xml:space="preserve">et </w:t>
      </w:r>
      <w:r w:rsidRPr="009D39AD">
        <w:t>les conditions de reconnaissance réciproque des homologations délivrées conformément à ces prescriptions, en date, à Genève, du 5</w:t>
      </w:r>
      <w:r>
        <w:t> </w:t>
      </w:r>
      <w:r w:rsidRPr="009D39AD">
        <w:t xml:space="preserve">octobre 1995 (Révision </w:t>
      </w:r>
      <w:r w:rsidRPr="009D39AD">
        <w:rPr>
          <w:lang w:val="fr-FR"/>
        </w:rPr>
        <w:t>2).</w:t>
      </w:r>
    </w:p>
  </w:footnote>
  <w:footnote w:id="3">
    <w:p w14:paraId="18D7F094" w14:textId="522BC11C" w:rsidR="00AF2126" w:rsidRPr="00D226B9" w:rsidRDefault="00AF2126" w:rsidP="00AF2126">
      <w:pPr>
        <w:pStyle w:val="Notedebasdepage"/>
        <w:rPr>
          <w:szCs w:val="18"/>
          <w:lang w:val="fr-FR"/>
        </w:rPr>
      </w:pPr>
      <w:r w:rsidRPr="002522D2">
        <w:rPr>
          <w:lang w:val="fr-FR"/>
        </w:rPr>
        <w:tab/>
      </w:r>
      <w:r>
        <w:rPr>
          <w:rStyle w:val="Appelnotedebasdep"/>
          <w:lang w:val="fr-FR"/>
        </w:rPr>
        <w:footnoteRef/>
      </w:r>
      <w:r>
        <w:rPr>
          <w:lang w:val="fr-FR"/>
        </w:rPr>
        <w:tab/>
        <w:t xml:space="preserve">Le respect </w:t>
      </w:r>
      <w:r w:rsidRPr="00CB6287">
        <w:t>des</w:t>
      </w:r>
      <w:r>
        <w:rPr>
          <w:lang w:val="fr-FR"/>
        </w:rPr>
        <w:t xml:space="preserve"> prescriptions relatives à la compatibilité électromagnétique est fonction du type de</w:t>
      </w:r>
      <w:r w:rsidR="005B36F1">
        <w:rPr>
          <w:lang w:val="fr-FR"/>
        </w:rPr>
        <w:t> </w:t>
      </w:r>
      <w:r>
        <w:rPr>
          <w:lang w:val="fr-FR"/>
        </w:rPr>
        <w:t>véhicule.</w:t>
      </w:r>
    </w:p>
  </w:footnote>
  <w:footnote w:id="4">
    <w:p w14:paraId="2F3527B9" w14:textId="3F47A2EE" w:rsidR="00AF2126" w:rsidRPr="00D226B9" w:rsidRDefault="00AF2126" w:rsidP="00AF2126">
      <w:pPr>
        <w:pStyle w:val="Notedebasdepage"/>
        <w:rPr>
          <w:szCs w:val="18"/>
          <w:lang w:val="fr-FR"/>
        </w:rPr>
      </w:pPr>
      <w:r w:rsidRPr="00B85DDF">
        <w:rPr>
          <w:spacing w:val="-2"/>
          <w:szCs w:val="18"/>
          <w:lang w:val="fr-FR" w:eastAsia="fr-FR"/>
        </w:rPr>
        <w:tab/>
      </w:r>
      <w:r w:rsidRPr="00B85DDF">
        <w:rPr>
          <w:rStyle w:val="Appelnotedebasdep"/>
          <w:spacing w:val="-2"/>
          <w:lang w:val="fr-FR"/>
        </w:rPr>
        <w:footnoteRef/>
      </w:r>
      <w:r w:rsidRPr="00B85DDF">
        <w:rPr>
          <w:spacing w:val="-2"/>
          <w:lang w:val="fr-FR"/>
        </w:rPr>
        <w:tab/>
      </w:r>
      <w:r w:rsidRPr="00B85DDF">
        <w:rPr>
          <w:spacing w:val="-2"/>
        </w:rPr>
        <w:t>Bonne</w:t>
      </w:r>
      <w:r w:rsidRPr="00B85DDF">
        <w:rPr>
          <w:spacing w:val="-2"/>
          <w:lang w:val="fr-FR"/>
        </w:rPr>
        <w:t xml:space="preserve"> visibilité (portée optique météorologique POM &gt; 2 000 m, conformément au Guide des instruments </w:t>
      </w:r>
      <w:r w:rsidR="00910B33">
        <w:rPr>
          <w:spacing w:val="-2"/>
          <w:lang w:val="fr-FR"/>
        </w:rPr>
        <w:t xml:space="preserve">et </w:t>
      </w:r>
      <w:r w:rsidRPr="00B85DDF">
        <w:rPr>
          <w:spacing w:val="-2"/>
          <w:lang w:val="fr-FR"/>
        </w:rPr>
        <w:t>des méthodes d’observation météorologiques de l’OMM, 6</w:t>
      </w:r>
      <w:r w:rsidRPr="00B85DDF">
        <w:rPr>
          <w:spacing w:val="-2"/>
          <w:vertAlign w:val="superscript"/>
          <w:lang w:val="fr-FR"/>
        </w:rPr>
        <w:t>e</w:t>
      </w:r>
      <w:r w:rsidRPr="00B85DDF">
        <w:rPr>
          <w:spacing w:val="-2"/>
          <w:lang w:val="fr-FR"/>
        </w:rPr>
        <w:t xml:space="preserve"> éd., ISBN : 92-63-16008-2,</w:t>
      </w:r>
      <w:r>
        <w:rPr>
          <w:lang w:val="fr-FR"/>
        </w:rPr>
        <w:t xml:space="preserve"> </w:t>
      </w:r>
      <w:r w:rsidR="005B36F1">
        <w:rPr>
          <w:lang w:val="fr-FR"/>
        </w:rPr>
        <w:t>par. </w:t>
      </w:r>
      <w:r>
        <w:rPr>
          <w:lang w:val="fr-FR"/>
        </w:rPr>
        <w:t xml:space="preserve">1.9.1 à 1.9.1.1, Genève 1996) </w:t>
      </w:r>
      <w:r w:rsidR="00910B33">
        <w:rPr>
          <w:lang w:val="fr-FR"/>
        </w:rPr>
        <w:t xml:space="preserve">et </w:t>
      </w:r>
      <w:r>
        <w:rPr>
          <w:lang w:val="fr-FR"/>
        </w:rPr>
        <w:t>glaces propres.</w:t>
      </w:r>
    </w:p>
  </w:footnote>
  <w:footnote w:id="5">
    <w:p w14:paraId="2541A266" w14:textId="77777777" w:rsidR="00AF2126" w:rsidRPr="00B8080A" w:rsidRDefault="00AF2126" w:rsidP="00AF2126">
      <w:pPr>
        <w:widowControl w:val="0"/>
        <w:tabs>
          <w:tab w:val="right" w:pos="2154"/>
        </w:tabs>
        <w:spacing w:line="220" w:lineRule="exact"/>
        <w:ind w:left="1287" w:right="1134" w:hanging="360"/>
        <w:textAlignment w:val="baseline"/>
        <w:rPr>
          <w:rStyle w:val="FootnoteCharacters"/>
          <w:rFonts w:eastAsiaTheme="minorHAnsi"/>
          <w:vertAlign w:val="baseline"/>
          <w:lang w:val="fr-FR"/>
        </w:rPr>
      </w:pPr>
      <w:r w:rsidRPr="00B275BB">
        <w:rPr>
          <w:rStyle w:val="FootnoteCharacters"/>
          <w:rFonts w:eastAsiaTheme="minorHAnsi"/>
          <w:lang w:val="fr-FR"/>
        </w:rPr>
        <w:t>1</w:t>
      </w:r>
      <w:r w:rsidRPr="00B275BB">
        <w:rPr>
          <w:rStyle w:val="FootnoteCharacters"/>
          <w:rFonts w:eastAsiaTheme="minorHAnsi"/>
          <w:lang w:val="fr-FR"/>
        </w:rPr>
        <w:tab/>
      </w:r>
      <w:r w:rsidRPr="00B8080A">
        <w:rPr>
          <w:rStyle w:val="FootnoteCharacters"/>
          <w:rFonts w:eastAsiaTheme="minorHAnsi"/>
          <w:vertAlign w:val="baseline"/>
          <w:lang w:val="fr-FR"/>
        </w:rPr>
        <w:t>Numéro distinctif du pays qui a accordé/prorogé/refusé/retiré l’homologation (voir les dispositions du présent Règlement relatives à l’homologation).</w:t>
      </w:r>
    </w:p>
    <w:p w14:paraId="61FFF3C0" w14:textId="77777777" w:rsidR="00AF2126" w:rsidRPr="00B8080A" w:rsidRDefault="00AF2126" w:rsidP="00AF2126">
      <w:pPr>
        <w:widowControl w:val="0"/>
        <w:tabs>
          <w:tab w:val="right" w:pos="2154"/>
        </w:tabs>
        <w:spacing w:line="220" w:lineRule="exact"/>
        <w:ind w:left="1287" w:right="1134" w:hanging="360"/>
        <w:textAlignment w:val="baseline"/>
        <w:rPr>
          <w:sz w:val="18"/>
          <w:szCs w:val="18"/>
        </w:rPr>
      </w:pPr>
      <w:r w:rsidRPr="004B33BA">
        <w:rPr>
          <w:sz w:val="18"/>
          <w:szCs w:val="18"/>
          <w:vertAlign w:val="superscript"/>
        </w:rPr>
        <w:t>2</w:t>
      </w:r>
      <w:r w:rsidRPr="004B33BA">
        <w:rPr>
          <w:sz w:val="18"/>
          <w:szCs w:val="18"/>
          <w:vertAlign w:val="superscript"/>
        </w:rPr>
        <w:tab/>
      </w:r>
      <w:r w:rsidRPr="00B8080A">
        <w:rPr>
          <w:rStyle w:val="FootnoteCharacters"/>
          <w:rFonts w:eastAsiaTheme="minorHAnsi"/>
          <w:vertAlign w:val="baseline"/>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38E9" w14:textId="5407D6D4" w:rsidR="003C6CE4" w:rsidRPr="003C6CE4" w:rsidRDefault="003C6CE4">
    <w:pPr>
      <w:pStyle w:val="En-tte"/>
    </w:pPr>
    <w:fldSimple w:instr=" TITLE  \* MERGEFORMAT ">
      <w:r>
        <w:t>E/ECE/TRANS/505/Rev.3/Add.147/Amend.5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6F5F" w14:textId="6929A7D5" w:rsidR="003C6CE4" w:rsidRPr="003C6CE4" w:rsidRDefault="003C6CE4" w:rsidP="003C6CE4">
    <w:pPr>
      <w:pStyle w:val="En-tte"/>
      <w:jc w:val="right"/>
    </w:pPr>
    <w:fldSimple w:instr=" TITLE  \* MERGEFORMAT ">
      <w:r>
        <w:t>E/ECE/TRANS/505/Rev.3/Add.147/Amend.5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A2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6990"/>
    <w:multiLevelType w:val="hybridMultilevel"/>
    <w:tmpl w:val="5C56A47A"/>
    <w:lvl w:ilvl="0" w:tplc="04070007">
      <w:start w:val="1"/>
      <w:numFmt w:val="bullet"/>
      <w:pStyle w:val="Listepuces"/>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13" w15:restartNumberingAfterBreak="0">
    <w:nsid w:val="05843BA4"/>
    <w:multiLevelType w:val="hybridMultilevel"/>
    <w:tmpl w:val="96666F9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4"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5"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8"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9"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EAA22B8"/>
    <w:multiLevelType w:val="hybridMultilevel"/>
    <w:tmpl w:val="0AD01724"/>
    <w:lvl w:ilvl="0" w:tplc="3AF651E6">
      <w:start w:val="1"/>
      <w:numFmt w:val="decimal"/>
      <w:lvlText w:val="%1"/>
      <w:lvlJc w:val="left"/>
      <w:pPr>
        <w:ind w:left="1287" w:hanging="360"/>
      </w:pPr>
      <w:rPr>
        <w:rFonts w:hint="default"/>
        <w:vertAlign w:val="superscrip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22"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4"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2"/>
  </w:num>
  <w:num w:numId="2">
    <w:abstractNumId w:val="24"/>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34"/>
  </w:num>
  <w:num w:numId="16">
    <w:abstractNumId w:val="33"/>
  </w:num>
  <w:num w:numId="17">
    <w:abstractNumId w:val="22"/>
  </w:num>
  <w:num w:numId="18">
    <w:abstractNumId w:val="30"/>
  </w:num>
  <w:num w:numId="19">
    <w:abstractNumId w:val="27"/>
  </w:num>
  <w:num w:numId="20">
    <w:abstractNumId w:val="12"/>
  </w:num>
  <w:num w:numId="21">
    <w:abstractNumId w:val="21"/>
  </w:num>
  <w:num w:numId="22">
    <w:abstractNumId w:val="10"/>
  </w:num>
  <w:num w:numId="23">
    <w:abstractNumId w:val="31"/>
  </w:num>
  <w:num w:numId="24">
    <w:abstractNumId w:val="11"/>
  </w:num>
  <w:num w:numId="25">
    <w:abstractNumId w:val="23"/>
  </w:num>
  <w:num w:numId="26">
    <w:abstractNumId w:val="26"/>
  </w:num>
  <w:num w:numId="27">
    <w:abstractNumId w:val="29"/>
  </w:num>
  <w:num w:numId="28">
    <w:abstractNumId w:val="15"/>
  </w:num>
  <w:num w:numId="29">
    <w:abstractNumId w:val="14"/>
  </w:num>
  <w:num w:numId="30">
    <w:abstractNumId w:val="25"/>
  </w:num>
  <w:num w:numId="31">
    <w:abstractNumId w:val="28"/>
  </w:num>
  <w:num w:numId="32">
    <w:abstractNumId w:val="19"/>
  </w:num>
  <w:num w:numId="33">
    <w:abstractNumId w:val="20"/>
  </w:num>
  <w:num w:numId="34">
    <w:abstractNumId w:val="18"/>
  </w:num>
  <w:num w:numId="3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9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C6CE4"/>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3E41"/>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36F1"/>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5609D"/>
    <w:rsid w:val="00661E96"/>
    <w:rsid w:val="00665786"/>
    <w:rsid w:val="00666CD1"/>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79A1"/>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0B33"/>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AF2126"/>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BF64F4"/>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F1C7C"/>
    <w:rsid w:val="00D016B5"/>
    <w:rsid w:val="00D034F1"/>
    <w:rsid w:val="00D05828"/>
    <w:rsid w:val="00D05C85"/>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0FB"/>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9864E9"/>
  <w15:docId w15:val="{DD4B53BB-1D5C-4A54-A704-E82C696B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uiPriority w:val="99"/>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5_GR,Fußnotentext,Footnote Text Char"/>
    <w:basedOn w:val="Normal"/>
    <w:link w:val="NotedebasdepageCar"/>
    <w:uiPriority w:val="99"/>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uiPriority w:val="99"/>
    <w:qFormat/>
    <w:rsid w:val="0048687D"/>
    <w:pPr>
      <w:spacing w:line="240" w:lineRule="auto"/>
    </w:pPr>
    <w:rPr>
      <w:sz w:val="16"/>
    </w:rPr>
  </w:style>
  <w:style w:type="character" w:styleId="Appeldenotedefin">
    <w:name w:val="endnote reference"/>
    <w:aliases w:val="1_G"/>
    <w:uiPriority w:val="99"/>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4_GR"/>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uiPriority w:val="39"/>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uiPriority w:val="99"/>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5_GR Car,Fußnotentext Car,Footnote Text Char Car"/>
    <w:link w:val="Notedebasdepage"/>
    <w:rsid w:val="0048687D"/>
    <w:rPr>
      <w:rFonts w:eastAsiaTheme="minorHAnsi"/>
      <w:sz w:val="18"/>
      <w:lang w:val="fr-CH"/>
    </w:rPr>
  </w:style>
  <w:style w:type="character" w:customStyle="1" w:styleId="NotedefinCar">
    <w:name w:val="Note de fin Car"/>
    <w:aliases w:val="2_G Car"/>
    <w:link w:val="Notedefin"/>
    <w:uiPriority w:val="99"/>
    <w:rsid w:val="0048687D"/>
    <w:rPr>
      <w:rFonts w:eastAsiaTheme="minorHAnsi"/>
      <w:sz w:val="18"/>
      <w:lang w:val="fr-CH"/>
    </w:rPr>
  </w:style>
  <w:style w:type="character" w:customStyle="1" w:styleId="PieddepageCar">
    <w:name w:val="Pied de page Car"/>
    <w:aliases w:val="3_G Car"/>
    <w:link w:val="Pieddepage"/>
    <w:uiPriority w:val="99"/>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uiPriority w:val="99"/>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uiPriority w:val="99"/>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D4F"/>
    <w:rPr>
      <w:rFonts w:ascii="Tahoma" w:eastAsiaTheme="minorHAnsi" w:hAnsi="Tahoma" w:cs="Tahoma"/>
      <w:sz w:val="16"/>
      <w:szCs w:val="16"/>
      <w:lang w:val="fr-CH"/>
    </w:rPr>
  </w:style>
  <w:style w:type="character" w:customStyle="1" w:styleId="HChGChar">
    <w:name w:val="_ H _Ch_G Char"/>
    <w:link w:val="HChG"/>
    <w:rsid w:val="00AF2126"/>
    <w:rPr>
      <w:rFonts w:eastAsiaTheme="minorHAnsi"/>
      <w:b/>
      <w:sz w:val="28"/>
      <w:lang w:val="fr-CH"/>
    </w:rPr>
  </w:style>
  <w:style w:type="character" w:customStyle="1" w:styleId="H1GChar">
    <w:name w:val="_ H_1_G Char"/>
    <w:link w:val="H1G"/>
    <w:rsid w:val="00AF2126"/>
    <w:rPr>
      <w:rFonts w:eastAsiaTheme="minorHAnsi"/>
      <w:b/>
      <w:sz w:val="24"/>
      <w:lang w:val="fr-CH"/>
    </w:rPr>
  </w:style>
  <w:style w:type="paragraph" w:styleId="Paragraphedeliste">
    <w:name w:val="List Paragraph"/>
    <w:basedOn w:val="Normal"/>
    <w:uiPriority w:val="34"/>
    <w:qFormat/>
    <w:rsid w:val="00AF2126"/>
    <w:pPr>
      <w:kinsoku/>
      <w:overflowPunct/>
      <w:autoSpaceDE/>
      <w:autoSpaceDN/>
      <w:adjustRightInd/>
      <w:snapToGrid/>
      <w:ind w:left="720"/>
      <w:contextualSpacing/>
    </w:pPr>
    <w:rPr>
      <w:rFonts w:eastAsia="Times New Roman"/>
      <w:lang w:val="en-GB"/>
    </w:rPr>
  </w:style>
  <w:style w:type="paragraph" w:customStyle="1" w:styleId="PointDouble0">
    <w:name w:val="PointDouble 0"/>
    <w:basedOn w:val="Normal"/>
    <w:rsid w:val="00AF2126"/>
    <w:pPr>
      <w:tabs>
        <w:tab w:val="left" w:pos="850"/>
      </w:tabs>
      <w:suppressAutoHyphens w:val="0"/>
      <w:kinsoku/>
      <w:overflowPunct/>
      <w:autoSpaceDE/>
      <w:autoSpaceDN/>
      <w:adjustRightInd/>
      <w:snapToGrid/>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AF2126"/>
    <w:pPr>
      <w:kinsoku/>
      <w:overflowPunct/>
      <w:autoSpaceDE/>
      <w:autoSpaceDN/>
      <w:adjustRightInd/>
      <w:snapToGrid/>
      <w:spacing w:before="40" w:after="120"/>
      <w:ind w:right="113"/>
    </w:pPr>
    <w:rPr>
      <w:rFonts w:eastAsia="Times New Roman"/>
      <w:sz w:val="24"/>
      <w:szCs w:val="24"/>
      <w:lang w:val="en-GB"/>
    </w:rPr>
  </w:style>
  <w:style w:type="character" w:styleId="Marquedecommentaire">
    <w:name w:val="annotation reference"/>
    <w:uiPriority w:val="99"/>
    <w:qFormat/>
    <w:rsid w:val="00AF2126"/>
    <w:rPr>
      <w:sz w:val="16"/>
      <w:szCs w:val="16"/>
    </w:rPr>
  </w:style>
  <w:style w:type="paragraph" w:styleId="Commentaire">
    <w:name w:val="annotation text"/>
    <w:basedOn w:val="Normal"/>
    <w:link w:val="CommentaireCar"/>
    <w:uiPriority w:val="99"/>
    <w:qFormat/>
    <w:rsid w:val="00AF2126"/>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qFormat/>
    <w:rsid w:val="00AF2126"/>
    <w:rPr>
      <w:lang w:val="en-GB"/>
    </w:rPr>
  </w:style>
  <w:style w:type="paragraph" w:customStyle="1" w:styleId="TABFIGfootnote">
    <w:name w:val="TAB_FIG_footnote"/>
    <w:basedOn w:val="Notedebasdepage"/>
    <w:rsid w:val="00AF2126"/>
    <w:pPr>
      <w:tabs>
        <w:tab w:val="clear" w:pos="1021"/>
        <w:tab w:val="left" w:pos="284"/>
      </w:tabs>
      <w:suppressAutoHyphens w:val="0"/>
      <w:kinsoku/>
      <w:overflowPunct/>
      <w:autoSpaceDE/>
      <w:autoSpaceDN/>
      <w:adjustRightInd/>
      <w:spacing w:before="60" w:after="60" w:line="240" w:lineRule="auto"/>
      <w:ind w:left="284" w:right="0" w:hanging="284"/>
      <w:jc w:val="both"/>
    </w:pPr>
    <w:rPr>
      <w:rFonts w:ascii="Arial" w:eastAsia="Times New Roman" w:hAnsi="Arial" w:cs="Arial"/>
      <w:spacing w:val="8"/>
      <w:sz w:val="16"/>
      <w:szCs w:val="16"/>
      <w:lang w:val="en-GB" w:eastAsia="zh-CN"/>
    </w:rPr>
  </w:style>
  <w:style w:type="paragraph" w:customStyle="1" w:styleId="KeyTitle">
    <w:name w:val="Key Title"/>
    <w:basedOn w:val="KeyText"/>
    <w:next w:val="KeyText"/>
    <w:rsid w:val="00AF2126"/>
    <w:pPr>
      <w:jc w:val="left"/>
    </w:pPr>
    <w:rPr>
      <w:b/>
    </w:rPr>
  </w:style>
  <w:style w:type="paragraph" w:customStyle="1" w:styleId="KeyText">
    <w:name w:val="Key Text"/>
    <w:basedOn w:val="Normal"/>
    <w:rsid w:val="00AF2126"/>
    <w:pPr>
      <w:tabs>
        <w:tab w:val="left" w:pos="346"/>
      </w:tabs>
      <w:suppressAutoHyphens w:val="0"/>
      <w:kinsoku/>
      <w:overflowPunct/>
      <w:autoSpaceDE/>
      <w:autoSpaceDN/>
      <w:adjustRightInd/>
      <w:snapToGrid/>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AF2126"/>
    <w:pPr>
      <w:snapToGrid w:val="0"/>
      <w:spacing w:before="100" w:after="200"/>
      <w:jc w:val="both"/>
    </w:pPr>
    <w:rPr>
      <w:rFonts w:ascii="Arial" w:hAnsi="Arial" w:cs="Arial"/>
      <w:noProof/>
      <w:spacing w:val="8"/>
      <w:lang w:val="en-GB" w:eastAsia="zh-CN"/>
    </w:rPr>
  </w:style>
  <w:style w:type="paragraph" w:customStyle="1" w:styleId="NOTE">
    <w:name w:val="NOTE"/>
    <w:basedOn w:val="Normal"/>
    <w:next w:val="PARAGRAPH"/>
    <w:uiPriority w:val="99"/>
    <w:qFormat/>
    <w:rsid w:val="00AF2126"/>
    <w:pPr>
      <w:suppressAutoHyphens w:val="0"/>
      <w:kinsoku/>
      <w:overflowPunct/>
      <w:autoSpaceDE/>
      <w:autoSpaceDN/>
      <w:adjustRightInd/>
      <w:spacing w:before="100" w:after="100" w:line="240" w:lineRule="auto"/>
      <w:jc w:val="both"/>
    </w:pPr>
    <w:rPr>
      <w:rFonts w:ascii="Arial" w:eastAsia="Times New Roman" w:hAnsi="Arial" w:cs="Arial"/>
      <w:spacing w:val="8"/>
      <w:sz w:val="16"/>
      <w:szCs w:val="16"/>
      <w:lang w:val="en-GB" w:eastAsia="zh-CN"/>
    </w:rPr>
  </w:style>
  <w:style w:type="character" w:customStyle="1" w:styleId="SUBscript-small">
    <w:name w:val="SUBscript-small"/>
    <w:qFormat/>
    <w:rsid w:val="00AF2126"/>
    <w:rPr>
      <w:kern w:val="0"/>
      <w:position w:val="-6"/>
      <w:sz w:val="12"/>
      <w:szCs w:val="16"/>
    </w:rPr>
  </w:style>
  <w:style w:type="paragraph" w:customStyle="1" w:styleId="FIGURE">
    <w:name w:val="FIGURE"/>
    <w:basedOn w:val="Normal"/>
    <w:next w:val="Normal"/>
    <w:qFormat/>
    <w:rsid w:val="00AF2126"/>
    <w:pPr>
      <w:keepNext/>
      <w:suppressAutoHyphens w:val="0"/>
      <w:kinsoku/>
      <w:overflowPunct/>
      <w:autoSpaceDE/>
      <w:autoSpaceDN/>
      <w:adjustRightInd/>
      <w:spacing w:before="100" w:after="200" w:line="240" w:lineRule="auto"/>
      <w:jc w:val="center"/>
    </w:pPr>
    <w:rPr>
      <w:rFonts w:ascii="Arial" w:eastAsia="Times New Roman" w:hAnsi="Arial" w:cs="Arial"/>
      <w:spacing w:val="8"/>
      <w:lang w:val="en-GB" w:eastAsia="zh-CN"/>
    </w:rPr>
  </w:style>
  <w:style w:type="character" w:customStyle="1" w:styleId="PARAGRAPHChar">
    <w:name w:val="PARAGRAPH Char"/>
    <w:link w:val="PARAGRAPH"/>
    <w:rsid w:val="00AF2126"/>
    <w:rPr>
      <w:rFonts w:ascii="Arial" w:hAnsi="Arial" w:cs="Arial"/>
      <w:noProof/>
      <w:spacing w:val="8"/>
      <w:lang w:val="en-GB" w:eastAsia="zh-CN"/>
    </w:rPr>
  </w:style>
  <w:style w:type="paragraph" w:styleId="Objetducommentaire">
    <w:name w:val="annotation subject"/>
    <w:basedOn w:val="Commentaire"/>
    <w:next w:val="Commentaire"/>
    <w:link w:val="ObjetducommentaireCar"/>
    <w:uiPriority w:val="99"/>
    <w:semiHidden/>
    <w:unhideWhenUsed/>
    <w:rsid w:val="00AF2126"/>
    <w:rPr>
      <w:b/>
      <w:bCs/>
      <w:lang w:val="fr-CH"/>
    </w:rPr>
  </w:style>
  <w:style w:type="character" w:customStyle="1" w:styleId="ObjetducommentaireCar">
    <w:name w:val="Objet du commentaire Car"/>
    <w:basedOn w:val="CommentaireCar"/>
    <w:link w:val="Objetducommentaire"/>
    <w:uiPriority w:val="99"/>
    <w:semiHidden/>
    <w:rsid w:val="00AF2126"/>
    <w:rPr>
      <w:b/>
      <w:bCs/>
      <w:lang w:val="fr-CH"/>
    </w:rPr>
  </w:style>
  <w:style w:type="paragraph" w:customStyle="1" w:styleId="TABLE-col-heading">
    <w:name w:val="TABLE-col-heading"/>
    <w:basedOn w:val="Normal"/>
    <w:rsid w:val="00AF2126"/>
    <w:pPr>
      <w:suppressAutoHyphens w:val="0"/>
      <w:kinsoku/>
      <w:overflowPunct/>
      <w:autoSpaceDE/>
      <w:autoSpaceDN/>
      <w:adjustRightInd/>
      <w:spacing w:before="60" w:after="60" w:line="240" w:lineRule="auto"/>
      <w:ind w:right="113"/>
      <w:jc w:val="center"/>
    </w:pPr>
    <w:rPr>
      <w:rFonts w:ascii="Arial" w:eastAsia="Times New Roman" w:hAnsi="Arial" w:cs="Arial"/>
      <w:b/>
      <w:bCs/>
      <w:spacing w:val="8"/>
      <w:sz w:val="16"/>
      <w:szCs w:val="16"/>
      <w:lang w:val="en-GB" w:eastAsia="zh-CN"/>
    </w:rPr>
  </w:style>
  <w:style w:type="paragraph" w:customStyle="1" w:styleId="TABLE-cell">
    <w:name w:val="TABLE-cell"/>
    <w:basedOn w:val="TABLE-col-heading"/>
    <w:rsid w:val="00AF2126"/>
    <w:pPr>
      <w:jc w:val="left"/>
    </w:pPr>
    <w:rPr>
      <w:b w:val="0"/>
      <w:bCs w:val="0"/>
    </w:rPr>
  </w:style>
  <w:style w:type="paragraph" w:customStyle="1" w:styleId="para">
    <w:name w:val="para"/>
    <w:basedOn w:val="SingleTxtG"/>
    <w:link w:val="paraChar"/>
    <w:qFormat/>
    <w:rsid w:val="00AF2126"/>
    <w:pPr>
      <w:kinsoku/>
      <w:overflowPunct/>
      <w:autoSpaceDE/>
      <w:autoSpaceDN/>
      <w:adjustRightInd/>
      <w:snapToGrid/>
      <w:ind w:left="2268" w:hanging="1134"/>
    </w:pPr>
    <w:rPr>
      <w:rFonts w:eastAsia="Times New Roman"/>
    </w:rPr>
  </w:style>
  <w:style w:type="paragraph" w:customStyle="1" w:styleId="a">
    <w:name w:val="a)"/>
    <w:basedOn w:val="Normal"/>
    <w:rsid w:val="00AF2126"/>
    <w:pPr>
      <w:suppressAutoHyphens w:val="0"/>
      <w:kinsoku/>
      <w:overflowPunct/>
      <w:autoSpaceDE/>
      <w:autoSpaceDN/>
      <w:adjustRightInd/>
      <w:snapToGrid/>
      <w:spacing w:after="120"/>
      <w:ind w:left="2835" w:right="1134" w:hanging="567"/>
      <w:jc w:val="both"/>
    </w:pPr>
    <w:rPr>
      <w:rFonts w:eastAsia="Times New Roman"/>
      <w:snapToGrid w:val="0"/>
      <w:lang w:val="fr-FR"/>
    </w:rPr>
  </w:style>
  <w:style w:type="paragraph" w:customStyle="1" w:styleId="FIGURE-title">
    <w:name w:val="FIGURE-title"/>
    <w:basedOn w:val="Normal"/>
    <w:next w:val="PARAGRAPH"/>
    <w:qFormat/>
    <w:rsid w:val="00AF2126"/>
    <w:pPr>
      <w:suppressAutoHyphens w:val="0"/>
      <w:kinsoku/>
      <w:overflowPunct/>
      <w:autoSpaceDE/>
      <w:autoSpaceDN/>
      <w:adjustRightInd/>
      <w:spacing w:before="100" w:after="200" w:line="240" w:lineRule="auto"/>
      <w:jc w:val="center"/>
    </w:pPr>
    <w:rPr>
      <w:rFonts w:ascii="Arial" w:eastAsia="Times New Roman" w:hAnsi="Arial" w:cs="Arial"/>
      <w:b/>
      <w:bCs/>
      <w:noProof/>
      <w:spacing w:val="8"/>
      <w:lang w:val="en-GB" w:eastAsia="zh-CN"/>
    </w:rPr>
  </w:style>
  <w:style w:type="paragraph" w:customStyle="1" w:styleId="TABLE-title">
    <w:name w:val="TABLE-title"/>
    <w:basedOn w:val="PARAGRAPH"/>
    <w:next w:val="PARAGRAPH"/>
    <w:qFormat/>
    <w:rsid w:val="00AF2126"/>
    <w:pPr>
      <w:keepNext/>
      <w:jc w:val="center"/>
    </w:pPr>
    <w:rPr>
      <w:b/>
      <w:bCs/>
    </w:rPr>
  </w:style>
  <w:style w:type="character" w:customStyle="1" w:styleId="VARIABLE">
    <w:name w:val="VARIABLE"/>
    <w:rsid w:val="00AF2126"/>
    <w:rPr>
      <w:rFonts w:ascii="Times New Roman" w:hAnsi="Times New Roman"/>
      <w:i/>
      <w:iCs/>
    </w:rPr>
  </w:style>
  <w:style w:type="character" w:customStyle="1" w:styleId="SUBscript">
    <w:name w:val="SUBscript"/>
    <w:rsid w:val="00AF2126"/>
    <w:rPr>
      <w:kern w:val="0"/>
      <w:position w:val="-6"/>
      <w:sz w:val="16"/>
      <w:szCs w:val="16"/>
    </w:rPr>
  </w:style>
  <w:style w:type="paragraph" w:customStyle="1" w:styleId="ListDash">
    <w:name w:val="List Dash"/>
    <w:basedOn w:val="Listepuces"/>
    <w:qFormat/>
    <w:rsid w:val="00AF2126"/>
    <w:pPr>
      <w:numPr>
        <w:numId w:val="23"/>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epuces">
    <w:name w:val="List Bullet"/>
    <w:basedOn w:val="Normal"/>
    <w:uiPriority w:val="99"/>
    <w:semiHidden/>
    <w:unhideWhenUsed/>
    <w:rsid w:val="00AF2126"/>
    <w:pPr>
      <w:numPr>
        <w:numId w:val="22"/>
      </w:numPr>
      <w:kinsoku/>
      <w:overflowPunct/>
      <w:autoSpaceDE/>
      <w:autoSpaceDN/>
      <w:adjustRightInd/>
      <w:snapToGrid/>
      <w:contextualSpacing/>
    </w:pPr>
    <w:rPr>
      <w:rFonts w:eastAsia="Times New Roman"/>
      <w:lang w:val="en-GB"/>
    </w:rPr>
  </w:style>
  <w:style w:type="paragraph" w:customStyle="1" w:styleId="Figurefootnote">
    <w:name w:val="Figure footnote"/>
    <w:basedOn w:val="Normal"/>
    <w:rsid w:val="00AF2126"/>
    <w:pPr>
      <w:keepNext/>
      <w:tabs>
        <w:tab w:val="left" w:pos="340"/>
      </w:tabs>
      <w:suppressAutoHyphens w:val="0"/>
      <w:kinsoku/>
      <w:overflowPunct/>
      <w:autoSpaceDE/>
      <w:autoSpaceDN/>
      <w:adjustRightInd/>
      <w:snapToGrid/>
      <w:spacing w:after="60" w:line="220" w:lineRule="atLeast"/>
      <w:jc w:val="both"/>
    </w:pPr>
    <w:rPr>
      <w:rFonts w:ascii="Arial" w:eastAsia="MS Mincho" w:hAnsi="Arial"/>
      <w:sz w:val="18"/>
      <w:lang w:val="en-GB" w:eastAsia="ja-JP"/>
    </w:rPr>
  </w:style>
  <w:style w:type="character" w:customStyle="1" w:styleId="paraChar">
    <w:name w:val="para Char"/>
    <w:link w:val="para"/>
    <w:rsid w:val="00AF2126"/>
    <w:rPr>
      <w:lang w:val="fr-CH"/>
    </w:rPr>
  </w:style>
  <w:style w:type="paragraph" w:customStyle="1" w:styleId="endnotetable">
    <w:name w:val="endnote table"/>
    <w:basedOn w:val="Normal"/>
    <w:link w:val="endnotetableChar"/>
    <w:rsid w:val="00AF2126"/>
    <w:pPr>
      <w:kinsoku/>
      <w:overflowPunct/>
      <w:autoSpaceDE/>
      <w:autoSpaceDN/>
      <w:adjustRightInd/>
      <w:snapToGrid/>
      <w:spacing w:line="220" w:lineRule="exact"/>
      <w:ind w:left="1134" w:right="1134" w:firstLine="170"/>
    </w:pPr>
    <w:rPr>
      <w:rFonts w:eastAsia="Times New Roman"/>
      <w:sz w:val="18"/>
      <w:szCs w:val="18"/>
      <w:lang w:val="it-IT"/>
    </w:rPr>
  </w:style>
  <w:style w:type="character" w:customStyle="1" w:styleId="endnotetableChar">
    <w:name w:val="endnote table Char"/>
    <w:link w:val="endnotetable"/>
    <w:rsid w:val="00AF2126"/>
    <w:rPr>
      <w:sz w:val="18"/>
      <w:szCs w:val="18"/>
      <w:lang w:val="it-IT"/>
    </w:rPr>
  </w:style>
  <w:style w:type="table" w:customStyle="1" w:styleId="Grigliatabella1">
    <w:name w:val="Griglia tabella1"/>
    <w:basedOn w:val="TableauNormal"/>
    <w:next w:val="Grilledutableau"/>
    <w:uiPriority w:val="59"/>
    <w:rsid w:val="00AF212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Para4thlevel">
    <w:name w:val="4.Para 4th level"/>
    <w:basedOn w:val="Normal"/>
    <w:link w:val="4Para4thlevelCar"/>
    <w:qFormat/>
    <w:rsid w:val="00AF2126"/>
    <w:pPr>
      <w:kinsoku/>
      <w:overflowPunct/>
      <w:autoSpaceDE/>
      <w:autoSpaceDN/>
      <w:adjustRightInd/>
      <w:snapToGrid/>
      <w:spacing w:after="120"/>
      <w:ind w:left="2268" w:right="1134" w:hanging="1134"/>
      <w:jc w:val="both"/>
      <w:outlineLvl w:val="3"/>
    </w:pPr>
    <w:rPr>
      <w:rFonts w:eastAsiaTheme="minorEastAsia"/>
      <w:lang w:val="en-GB"/>
    </w:rPr>
  </w:style>
  <w:style w:type="character" w:customStyle="1" w:styleId="4Para4thlevelCar">
    <w:name w:val="4.Para 4th level Car"/>
    <w:basedOn w:val="Policepardfaut"/>
    <w:link w:val="4Para4thlevel"/>
    <w:rsid w:val="00AF2126"/>
    <w:rPr>
      <w:rFonts w:eastAsiaTheme="minorEastAsia"/>
      <w:lang w:val="en-GB"/>
    </w:rPr>
  </w:style>
  <w:style w:type="paragraph" w:customStyle="1" w:styleId="5para5thlevel">
    <w:name w:val="5.para 5th level"/>
    <w:basedOn w:val="4Para4thlevel"/>
    <w:link w:val="5para5thlevelCar"/>
    <w:qFormat/>
    <w:rsid w:val="00AF2126"/>
    <w:pPr>
      <w:outlineLvl w:val="4"/>
    </w:pPr>
  </w:style>
  <w:style w:type="character" w:customStyle="1" w:styleId="5para5thlevelCar">
    <w:name w:val="5.para 5th level Car"/>
    <w:basedOn w:val="4Para4thlevelCar"/>
    <w:link w:val="5para5thlevel"/>
    <w:rsid w:val="00AF2126"/>
    <w:rPr>
      <w:rFonts w:eastAsiaTheme="minorEastAsia"/>
      <w:lang w:val="en-GB"/>
    </w:rPr>
  </w:style>
  <w:style w:type="paragraph" w:customStyle="1" w:styleId="StyleSingleTxtGLeft2cmHanging206cm">
    <w:name w:val="Style _ Single Txt_G + Left:  2 cm Hanging:  2.06 cm"/>
    <w:basedOn w:val="Normal"/>
    <w:link w:val="StyleSingleTxtGLeft2cmHanging206cmChar"/>
    <w:rsid w:val="00AF2126"/>
    <w:pPr>
      <w:kinsoku/>
      <w:overflowPunct/>
      <w:autoSpaceDE/>
      <w:autoSpaceDN/>
      <w:adjustRightInd/>
      <w:snapToGrid/>
      <w:spacing w:after="120"/>
      <w:ind w:left="2268" w:right="1134" w:hanging="1134"/>
      <w:jc w:val="both"/>
    </w:pPr>
    <w:rPr>
      <w:rFonts w:eastAsia="Times New Roman"/>
      <w:lang w:val="en-GB"/>
    </w:rPr>
  </w:style>
  <w:style w:type="character" w:customStyle="1" w:styleId="StyleSingleTxtGLeft2cmHanging206cmChar">
    <w:name w:val="Style _ Single Txt_G + Left:  2 cm Hanging:  2.06 cm Char"/>
    <w:link w:val="StyleSingleTxtGLeft2cmHanging206cm"/>
    <w:rsid w:val="00AF2126"/>
    <w:rPr>
      <w:lang w:val="en-GB"/>
    </w:rPr>
  </w:style>
  <w:style w:type="paragraph" w:styleId="TM1">
    <w:name w:val="toc 1"/>
    <w:basedOn w:val="Normal"/>
    <w:next w:val="Normal"/>
    <w:autoRedefine/>
    <w:uiPriority w:val="39"/>
    <w:rsid w:val="00AF2126"/>
    <w:pPr>
      <w:tabs>
        <w:tab w:val="right" w:pos="851"/>
        <w:tab w:val="left" w:pos="1134"/>
        <w:tab w:val="left" w:pos="1701"/>
        <w:tab w:val="right" w:leader="dot" w:pos="8931"/>
        <w:tab w:val="right" w:pos="9639"/>
      </w:tabs>
      <w:kinsoku/>
      <w:overflowPunct/>
      <w:autoSpaceDE/>
      <w:autoSpaceDN/>
      <w:adjustRightInd/>
      <w:snapToGrid/>
      <w:spacing w:after="120"/>
      <w:ind w:left="1134" w:hanging="283"/>
    </w:pPr>
    <w:rPr>
      <w:rFonts w:eastAsia="Times New Roman"/>
      <w:lang w:val="en-GB"/>
    </w:rPr>
  </w:style>
  <w:style w:type="character" w:customStyle="1" w:styleId="Carpredefinitoparagrafo1">
    <w:name w:val="Car. predefinito paragrafo1"/>
    <w:rsid w:val="00AF2126"/>
  </w:style>
  <w:style w:type="paragraph" w:customStyle="1" w:styleId="Titolo11">
    <w:name w:val="Titolo 11"/>
    <w:basedOn w:val="SingleTxtG"/>
    <w:next w:val="SingleTxtG"/>
    <w:rsid w:val="00AF2126"/>
    <w:pPr>
      <w:kinsoku/>
      <w:overflowPunct/>
      <w:autoSpaceDE/>
      <w:adjustRightInd/>
      <w:snapToGrid/>
      <w:spacing w:before="240" w:after="0" w:line="240" w:lineRule="auto"/>
      <w:ind w:left="0" w:right="0"/>
      <w:jc w:val="left"/>
      <w:textAlignment w:val="baseline"/>
      <w:outlineLvl w:val="0"/>
    </w:pPr>
    <w:rPr>
      <w:rFonts w:eastAsia="Times New Roman"/>
      <w:lang w:val="en-GB"/>
    </w:rPr>
  </w:style>
  <w:style w:type="character" w:customStyle="1" w:styleId="Rimandonotaapidipagina1">
    <w:name w:val="Rimando nota a piè di pagina1"/>
    <w:basedOn w:val="Carpredefinitoparagrafo1"/>
    <w:rsid w:val="00AF2126"/>
    <w:rPr>
      <w:position w:val="0"/>
      <w:vertAlign w:val="superscript"/>
    </w:rPr>
  </w:style>
  <w:style w:type="paragraph" w:customStyle="1" w:styleId="Normale1">
    <w:name w:val="Normale1"/>
    <w:rsid w:val="00AF2126"/>
    <w:pPr>
      <w:widowControl w:val="0"/>
      <w:suppressAutoHyphens/>
      <w:autoSpaceDN w:val="0"/>
      <w:textAlignment w:val="baseline"/>
    </w:pPr>
  </w:style>
  <w:style w:type="paragraph" w:customStyle="1" w:styleId="Index">
    <w:name w:val="Index"/>
    <w:basedOn w:val="Normal"/>
    <w:rsid w:val="00AF2126"/>
    <w:pPr>
      <w:suppressLineNumbers/>
      <w:kinsoku/>
      <w:overflowPunct/>
      <w:autoSpaceDE/>
      <w:adjustRightInd/>
      <w:snapToGrid/>
      <w:textAlignment w:val="baseline"/>
    </w:pPr>
    <w:rPr>
      <w:rFonts w:eastAsia="Times New Roman" w:cs="Arial"/>
      <w:lang w:val="en-GB"/>
    </w:rPr>
  </w:style>
  <w:style w:type="character" w:customStyle="1" w:styleId="FootnoteCharacters">
    <w:name w:val="Footnote Characters"/>
    <w:uiPriority w:val="99"/>
    <w:qFormat/>
    <w:rsid w:val="00AF2126"/>
    <w:rPr>
      <w:rFonts w:ascii="Times New Roman" w:eastAsia="Times New Roman" w:hAnsi="Times New Roman" w:cs="Times New Roman"/>
      <w:position w:val="0"/>
      <w:sz w:val="18"/>
      <w:vertAlign w:val="superscript"/>
    </w:rPr>
  </w:style>
  <w:style w:type="numbering" w:customStyle="1" w:styleId="WWNum1">
    <w:name w:val="WWNum1"/>
    <w:basedOn w:val="Aucuneliste"/>
    <w:rsid w:val="00AF2126"/>
    <w:pPr>
      <w:numPr>
        <w:numId w:val="34"/>
      </w:numPr>
    </w:pPr>
  </w:style>
  <w:style w:type="paragraph" w:customStyle="1" w:styleId="2para2ndlevel">
    <w:name w:val="2.para 2nd level"/>
    <w:basedOn w:val="Normal"/>
    <w:link w:val="2para2ndlevelCar"/>
    <w:qFormat/>
    <w:rsid w:val="00AF2126"/>
    <w:pPr>
      <w:kinsoku/>
      <w:overflowPunct/>
      <w:autoSpaceDE/>
      <w:autoSpaceDN/>
      <w:adjustRightInd/>
      <w:snapToGrid/>
      <w:spacing w:after="120"/>
      <w:ind w:left="2268" w:right="1134" w:hanging="1134"/>
      <w:jc w:val="both"/>
      <w:outlineLvl w:val="1"/>
    </w:pPr>
    <w:rPr>
      <w:rFonts w:eastAsiaTheme="minorEastAsia"/>
      <w:lang w:val="en-GB"/>
    </w:rPr>
  </w:style>
  <w:style w:type="character" w:customStyle="1" w:styleId="2para2ndlevelCar">
    <w:name w:val="2.para 2nd level Car"/>
    <w:basedOn w:val="Policepardfaut"/>
    <w:link w:val="2para2ndlevel"/>
    <w:rsid w:val="00AF2126"/>
    <w:rPr>
      <w:rFonts w:eastAsiaTheme="minorEastAsia"/>
      <w:lang w:val="en-GB"/>
    </w:rPr>
  </w:style>
  <w:style w:type="paragraph" w:customStyle="1" w:styleId="3para3rdlevel">
    <w:name w:val="3.para 3rd level"/>
    <w:basedOn w:val="SingleTxtG"/>
    <w:link w:val="3para3rdlevelCar"/>
    <w:qFormat/>
    <w:rsid w:val="00AF2126"/>
    <w:pPr>
      <w:kinsoku/>
      <w:overflowPunct/>
      <w:autoSpaceDE/>
      <w:autoSpaceDN/>
      <w:adjustRightInd/>
      <w:snapToGrid/>
      <w:ind w:left="2268" w:hanging="1134"/>
      <w:outlineLvl w:val="2"/>
    </w:pPr>
    <w:rPr>
      <w:rFonts w:eastAsiaTheme="minorEastAsia"/>
      <w:lang w:val="en-GB"/>
    </w:rPr>
  </w:style>
  <w:style w:type="character" w:customStyle="1" w:styleId="3para3rdlevelCar">
    <w:name w:val="3.para 3rd level Car"/>
    <w:link w:val="3para3rdlevel"/>
    <w:rsid w:val="00AF2126"/>
    <w:rPr>
      <w:rFonts w:eastAsiaTheme="minorEastAsia"/>
      <w:lang w:val="en-GB"/>
    </w:rPr>
  </w:style>
  <w:style w:type="paragraph" w:customStyle="1" w:styleId="7para7thlevel">
    <w:name w:val="7.para 7th level"/>
    <w:basedOn w:val="Normal"/>
    <w:link w:val="7para7thlevelCar"/>
    <w:qFormat/>
    <w:rsid w:val="00AF2126"/>
    <w:pPr>
      <w:kinsoku/>
      <w:overflowPunct/>
      <w:autoSpaceDE/>
      <w:autoSpaceDN/>
      <w:adjustRightInd/>
      <w:snapToGrid/>
      <w:spacing w:after="120"/>
      <w:ind w:left="2268" w:right="1134" w:hanging="1134"/>
      <w:jc w:val="both"/>
      <w:outlineLvl w:val="6"/>
    </w:pPr>
    <w:rPr>
      <w:rFonts w:eastAsiaTheme="minorEastAsia"/>
      <w:lang w:val="en-GB"/>
    </w:rPr>
  </w:style>
  <w:style w:type="character" w:customStyle="1" w:styleId="7para7thlevelCar">
    <w:name w:val="7.para 7th level Car"/>
    <w:basedOn w:val="Policepardfaut"/>
    <w:link w:val="7para7thlevel"/>
    <w:rsid w:val="00AF2126"/>
    <w:rPr>
      <w:rFonts w:eastAsiaTheme="minorEastAsia"/>
      <w:lang w:val="en-GB"/>
    </w:rPr>
  </w:style>
  <w:style w:type="paragraph" w:styleId="Sansinterligne">
    <w:name w:val="No Spacing"/>
    <w:uiPriority w:val="1"/>
    <w:qFormat/>
    <w:rsid w:val="00AF2126"/>
    <w:pPr>
      <w:suppressAutoHyphens/>
    </w:pPr>
    <w:rPr>
      <w:lang w:val="en-GB"/>
    </w:rPr>
  </w:style>
  <w:style w:type="paragraph" w:customStyle="1" w:styleId="0title">
    <w:name w:val="0.title"/>
    <w:basedOn w:val="Normal"/>
    <w:next w:val="Normal"/>
    <w:link w:val="0titleCar"/>
    <w:qFormat/>
    <w:rsid w:val="00AF2126"/>
    <w:pPr>
      <w:keepNext/>
      <w:keepLines/>
      <w:tabs>
        <w:tab w:val="right" w:pos="851"/>
      </w:tabs>
      <w:kinsoku/>
      <w:overflowPunct/>
      <w:autoSpaceDE/>
      <w:autoSpaceDN/>
      <w:adjustRightInd/>
      <w:snapToGrid/>
      <w:spacing w:before="360" w:after="240" w:line="300" w:lineRule="exact"/>
      <w:ind w:left="1134" w:right="1134" w:hanging="1134"/>
      <w:outlineLvl w:val="0"/>
    </w:pPr>
    <w:rPr>
      <w:rFonts w:eastAsiaTheme="minorEastAsia"/>
      <w:b/>
      <w:sz w:val="28"/>
      <w:lang w:val="en-GB"/>
    </w:rPr>
  </w:style>
  <w:style w:type="character" w:customStyle="1" w:styleId="0titleCar">
    <w:name w:val="0.title Car"/>
    <w:link w:val="0title"/>
    <w:rsid w:val="00AF2126"/>
    <w:rPr>
      <w:rFonts w:eastAsiaTheme="minorEastAsia"/>
      <w:b/>
      <w:sz w:val="28"/>
      <w:lang w:val="en-GB"/>
    </w:rPr>
  </w:style>
  <w:style w:type="paragraph" w:customStyle="1" w:styleId="1para1stlevel">
    <w:name w:val="1.para 1st level"/>
    <w:basedOn w:val="2para2ndlevel"/>
    <w:link w:val="1para1stlevelCar"/>
    <w:qFormat/>
    <w:rsid w:val="00AF2126"/>
    <w:pPr>
      <w:outlineLvl w:val="0"/>
    </w:pPr>
  </w:style>
  <w:style w:type="character" w:customStyle="1" w:styleId="1para1stlevelCar">
    <w:name w:val="1.para 1st level Car"/>
    <w:basedOn w:val="2para2ndlevelCar"/>
    <w:link w:val="1para1stlevel"/>
    <w:rsid w:val="00AF2126"/>
    <w:rPr>
      <w:rFonts w:eastAsiaTheme="minorEastAsia"/>
      <w:lang w:val="en-GB"/>
    </w:rPr>
  </w:style>
  <w:style w:type="character" w:customStyle="1" w:styleId="SingleTxtGChar1">
    <w:name w:val="_ Single Txt_G Char1"/>
    <w:rsid w:val="00AF2126"/>
    <w:rPr>
      <w:lang w:val="en-GB" w:eastAsia="en-US" w:bidi="ar-SA"/>
    </w:rPr>
  </w:style>
  <w:style w:type="paragraph" w:styleId="Rvision">
    <w:name w:val="Revision"/>
    <w:hidden/>
    <w:uiPriority w:val="99"/>
    <w:semiHidden/>
    <w:rsid w:val="00AF2126"/>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oleObject" Target="embeddings/oleObject1.bin"/><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46" Type="http://schemas.openxmlformats.org/officeDocument/2006/relationships/customXml" Target="../customXml/item2.xml"/><Relationship Id="rId20" Type="http://schemas.openxmlformats.org/officeDocument/2006/relationships/image" Target="media/image13.png"/><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2.gif"/><Relationship Id="rId1" Type="http://schemas.openxmlformats.org/officeDocument/2006/relationships/image" Target="media/image3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1E4B1-F6E6-4AAF-81B5-8A9416D5DAAD}"/>
</file>

<file path=customXml/itemProps2.xml><?xml version="1.0" encoding="utf-8"?>
<ds:datastoreItem xmlns:ds="http://schemas.openxmlformats.org/officeDocument/2006/customXml" ds:itemID="{E77B28AB-46EC-4772-A6B4-6E496362AC54}"/>
</file>

<file path=docProps/app.xml><?xml version="1.0" encoding="utf-8"?>
<Properties xmlns="http://schemas.openxmlformats.org/officeDocument/2006/extended-properties" xmlns:vt="http://schemas.openxmlformats.org/officeDocument/2006/docPropsVTypes">
  <Template>E_ECE_324.dotm</Template>
  <TotalTime>0</TotalTime>
  <Pages>58</Pages>
  <Words>15536</Words>
  <Characters>100988</Characters>
  <Application>Microsoft Office Word</Application>
  <DocSecurity>0</DocSecurity>
  <Lines>10098</Lines>
  <Paragraphs>6854</Paragraphs>
  <ScaleCrop>false</ScaleCrop>
  <HeadingPairs>
    <vt:vector size="2" baseType="variant">
      <vt:variant>
        <vt:lpstr>Titre</vt:lpstr>
      </vt:variant>
      <vt:variant>
        <vt:i4>1</vt:i4>
      </vt:variant>
    </vt:vector>
  </HeadingPairs>
  <TitlesOfParts>
    <vt:vector size="1" baseType="lpstr">
      <vt:lpstr>E/ECE/TRANS/505/Rev.3/Add.147/Amend.5</vt:lpstr>
    </vt:vector>
  </TitlesOfParts>
  <Company>CSD</Company>
  <LinksUpToDate>false</LinksUpToDate>
  <CharactersWithSpaces>109670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E/ECE/TRANS/505/Rev.3/Add.147/Amend.5</dc:title>
  <dc:creator>Nicolas MORIN</dc:creator>
  <cp:keywords>e</cp:keywords>
  <cp:lastModifiedBy>Nicolas Morin</cp:lastModifiedBy>
  <cp:revision>2</cp:revision>
  <cp:lastPrinted>2008-11-04T15:54:00Z</cp:lastPrinted>
  <dcterms:created xsi:type="dcterms:W3CDTF">2023-06-13T11:52:00Z</dcterms:created>
  <dcterms:modified xsi:type="dcterms:W3CDTF">2023-06-13T11:52:00Z</dcterms:modified>
</cp:coreProperties>
</file>