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E19C6" w:rsidRPr="00607699" w14:paraId="459F6955" w14:textId="77777777">
        <w:trPr>
          <w:cantSplit/>
          <w:trHeight w:val="657"/>
        </w:trPr>
        <w:tc>
          <w:tcPr>
            <w:tcW w:w="9639" w:type="dxa"/>
            <w:gridSpan w:val="3"/>
            <w:tcBorders>
              <w:bottom w:val="single" w:sz="4" w:space="0" w:color="auto"/>
            </w:tcBorders>
            <w:vAlign w:val="bottom"/>
          </w:tcPr>
          <w:p w14:paraId="752FCB83" w14:textId="6FF798D4" w:rsidR="005E19C6" w:rsidRPr="00607699" w:rsidRDefault="005E19C6" w:rsidP="00FE3C0C">
            <w:pPr>
              <w:jc w:val="right"/>
            </w:pPr>
            <w:r w:rsidRPr="00607699">
              <w:rPr>
                <w:sz w:val="40"/>
              </w:rPr>
              <w:t>E</w:t>
            </w:r>
            <w:r w:rsidRPr="00607699">
              <w:t>/ECE/324/</w:t>
            </w:r>
            <w:r w:rsidR="00607699" w:rsidRPr="00607699">
              <w:t>Rev.1/</w:t>
            </w:r>
            <w:r w:rsidRPr="00607699">
              <w:t>Add.</w:t>
            </w:r>
            <w:r w:rsidR="00607699" w:rsidRPr="00607699">
              <w:t>64</w:t>
            </w:r>
            <w:r w:rsidRPr="00607699">
              <w:t>/Rev.</w:t>
            </w:r>
            <w:r w:rsidR="00607699" w:rsidRPr="00607699">
              <w:t>2</w:t>
            </w:r>
            <w:r w:rsidRPr="00607699">
              <w:t>/Corr.</w:t>
            </w:r>
            <w:r w:rsidR="00F4421A">
              <w:t>2</w:t>
            </w:r>
            <w:r w:rsidRPr="00607699">
              <w:t>−</w:t>
            </w:r>
            <w:r w:rsidRPr="00607699">
              <w:rPr>
                <w:sz w:val="40"/>
              </w:rPr>
              <w:t>E</w:t>
            </w:r>
            <w:r w:rsidRPr="00607699">
              <w:t>/ECE/TRANS/505</w:t>
            </w:r>
            <w:r w:rsidR="00607699" w:rsidRPr="00607699">
              <w:t>/Rev.1/Add.64/Rev.2/Corr.</w:t>
            </w:r>
            <w:r w:rsidR="00F4421A">
              <w:t>2</w:t>
            </w:r>
          </w:p>
        </w:tc>
      </w:tr>
      <w:tr w:rsidR="003C3936" w:rsidRPr="00607699" w14:paraId="60852EA1" w14:textId="77777777">
        <w:trPr>
          <w:cantSplit/>
          <w:trHeight w:hRule="exact" w:val="2835"/>
        </w:trPr>
        <w:tc>
          <w:tcPr>
            <w:tcW w:w="1276" w:type="dxa"/>
            <w:tcBorders>
              <w:top w:val="single" w:sz="4" w:space="0" w:color="auto"/>
              <w:bottom w:val="single" w:sz="12" w:space="0" w:color="auto"/>
            </w:tcBorders>
          </w:tcPr>
          <w:p w14:paraId="0F98CEC1" w14:textId="77777777" w:rsidR="003C3936" w:rsidRPr="00607699" w:rsidRDefault="003C3936" w:rsidP="003C3936">
            <w:pPr>
              <w:spacing w:before="120"/>
            </w:pPr>
          </w:p>
        </w:tc>
        <w:tc>
          <w:tcPr>
            <w:tcW w:w="5528" w:type="dxa"/>
            <w:tcBorders>
              <w:top w:val="single" w:sz="4" w:space="0" w:color="auto"/>
              <w:bottom w:val="single" w:sz="12" w:space="0" w:color="auto"/>
            </w:tcBorders>
          </w:tcPr>
          <w:p w14:paraId="744072AA" w14:textId="77777777" w:rsidR="003C3936" w:rsidRPr="00607699" w:rsidRDefault="003C3936" w:rsidP="003C3936">
            <w:pPr>
              <w:spacing w:before="120"/>
            </w:pPr>
          </w:p>
        </w:tc>
        <w:tc>
          <w:tcPr>
            <w:tcW w:w="2835" w:type="dxa"/>
            <w:tcBorders>
              <w:top w:val="single" w:sz="4" w:space="0" w:color="auto"/>
              <w:bottom w:val="single" w:sz="12" w:space="0" w:color="auto"/>
            </w:tcBorders>
          </w:tcPr>
          <w:p w14:paraId="677BD892" w14:textId="77777777" w:rsidR="005E19C6" w:rsidRPr="00607699" w:rsidRDefault="005E19C6" w:rsidP="00762BEB">
            <w:pPr>
              <w:spacing w:line="240" w:lineRule="exact"/>
            </w:pPr>
          </w:p>
          <w:p w14:paraId="153039C6" w14:textId="77777777" w:rsidR="005E19C6" w:rsidRPr="00607699" w:rsidRDefault="005E19C6" w:rsidP="00762BEB">
            <w:pPr>
              <w:spacing w:line="240" w:lineRule="exact"/>
            </w:pPr>
          </w:p>
          <w:p w14:paraId="76252782" w14:textId="1911A36F" w:rsidR="00762BEB" w:rsidRPr="00607699" w:rsidRDefault="00166BB6" w:rsidP="00762BEB">
            <w:pPr>
              <w:spacing w:line="240" w:lineRule="exact"/>
            </w:pPr>
            <w:r>
              <w:t>17</w:t>
            </w:r>
            <w:r w:rsidR="00607699" w:rsidRPr="00607699">
              <w:t xml:space="preserve"> </w:t>
            </w:r>
            <w:r w:rsidR="00003F1C">
              <w:t xml:space="preserve">January </w:t>
            </w:r>
            <w:r w:rsidR="00607699" w:rsidRPr="00607699">
              <w:t>20</w:t>
            </w:r>
            <w:r w:rsidR="00F4421A">
              <w:t>2</w:t>
            </w:r>
            <w:r w:rsidR="00003F1C">
              <w:t>3</w:t>
            </w:r>
          </w:p>
          <w:p w14:paraId="0A69AA7B" w14:textId="77777777" w:rsidR="00607699" w:rsidRPr="00607699" w:rsidRDefault="00607699" w:rsidP="00762BEB">
            <w:pPr>
              <w:spacing w:line="240" w:lineRule="exact"/>
            </w:pPr>
          </w:p>
          <w:p w14:paraId="1796A536" w14:textId="77777777" w:rsidR="00762BEB" w:rsidRPr="00607699" w:rsidRDefault="00762BEB" w:rsidP="00762BEB">
            <w:pPr>
              <w:spacing w:line="240" w:lineRule="exact"/>
            </w:pPr>
          </w:p>
          <w:p w14:paraId="094CC098" w14:textId="77777777" w:rsidR="003C3936" w:rsidRPr="00607699" w:rsidRDefault="003C3936" w:rsidP="00762BEB">
            <w:pPr>
              <w:spacing w:line="240" w:lineRule="exact"/>
            </w:pPr>
          </w:p>
        </w:tc>
      </w:tr>
    </w:tbl>
    <w:p w14:paraId="705AC528" w14:textId="77777777" w:rsidR="00504670" w:rsidRPr="00607699" w:rsidRDefault="00504670" w:rsidP="00504670">
      <w:pPr>
        <w:pStyle w:val="HChG"/>
      </w:pPr>
      <w:r w:rsidRPr="00607699">
        <w:tab/>
      </w:r>
      <w:r w:rsidRPr="00607699">
        <w:tab/>
        <w:t xml:space="preserve">Agreement </w:t>
      </w:r>
    </w:p>
    <w:p w14:paraId="654A743C" w14:textId="77777777" w:rsidR="00504670" w:rsidRPr="00607699" w:rsidRDefault="001D63AD" w:rsidP="001D63AD">
      <w:pPr>
        <w:pStyle w:val="H1G"/>
      </w:pPr>
      <w:r w:rsidRPr="00607699">
        <w:tab/>
      </w:r>
      <w:r w:rsidRPr="00607699">
        <w:tab/>
      </w:r>
      <w:r w:rsidR="00504670" w:rsidRPr="00607699">
        <w:t xml:space="preserve">Concerning </w:t>
      </w:r>
      <w:r w:rsidR="00500131" w:rsidRPr="00607699">
        <w:t xml:space="preserve">the adoption of uniform technical prescriptions for wheeled vehicles, equipment and parts which can be fitted and/or be used on wheeled vehicles and the conditions for reciprocal recognition of approvals granted </w:t>
      </w:r>
      <w:proofErr w:type="gramStart"/>
      <w:r w:rsidR="00500131" w:rsidRPr="00607699">
        <w:t>on the basis of</w:t>
      </w:r>
      <w:proofErr w:type="gramEnd"/>
      <w:r w:rsidR="00500131" w:rsidRPr="00607699">
        <w:t xml:space="preserve"> these prescriptions</w:t>
      </w:r>
      <w:r w:rsidR="00504670" w:rsidRPr="00607699">
        <w:rPr>
          <w:rStyle w:val="FootnoteReference"/>
          <w:b w:val="0"/>
          <w:sz w:val="20"/>
          <w:vertAlign w:val="baseline"/>
        </w:rPr>
        <w:footnoteReference w:customMarkFollows="1" w:id="2"/>
        <w:t>*</w:t>
      </w:r>
      <w:r w:rsidR="00504670" w:rsidRPr="00607699">
        <w:t xml:space="preserve"> </w:t>
      </w:r>
    </w:p>
    <w:p w14:paraId="745A006E" w14:textId="77777777" w:rsidR="00504670" w:rsidRPr="00607699" w:rsidRDefault="00504670" w:rsidP="00504670">
      <w:pPr>
        <w:pStyle w:val="SingleTxtG"/>
      </w:pPr>
      <w:r w:rsidRPr="00607699">
        <w:t xml:space="preserve">(Revision 2, including the amendments which entered into force on 16 October 1995) </w:t>
      </w:r>
    </w:p>
    <w:p w14:paraId="3BCF659C" w14:textId="5E653318" w:rsidR="00504670" w:rsidRPr="00607699" w:rsidRDefault="00504670" w:rsidP="00504670">
      <w:pPr>
        <w:pStyle w:val="SingleTxtG"/>
        <w:spacing w:before="240" w:after="0"/>
        <w:jc w:val="center"/>
        <w:rPr>
          <w:u w:val="single"/>
        </w:rPr>
      </w:pPr>
      <w:r w:rsidRPr="00607699">
        <w:rPr>
          <w:u w:val="single"/>
        </w:rPr>
        <w:tab/>
      </w:r>
      <w:r w:rsidRPr="00607699">
        <w:rPr>
          <w:u w:val="single"/>
        </w:rPr>
        <w:tab/>
      </w:r>
      <w:r w:rsidR="00166BB6">
        <w:rPr>
          <w:u w:val="single"/>
        </w:rPr>
        <w:tab/>
      </w:r>
      <w:r w:rsidR="00166BB6">
        <w:rPr>
          <w:u w:val="single"/>
        </w:rPr>
        <w:tab/>
      </w:r>
    </w:p>
    <w:p w14:paraId="1E79F002" w14:textId="77777777" w:rsidR="00504670" w:rsidRPr="00607699" w:rsidRDefault="00504670" w:rsidP="00504670">
      <w:pPr>
        <w:pStyle w:val="HChG"/>
      </w:pPr>
      <w:r w:rsidRPr="00607699">
        <w:tab/>
      </w:r>
      <w:r w:rsidRPr="00607699">
        <w:tab/>
        <w:t xml:space="preserve">Addendum </w:t>
      </w:r>
      <w:r w:rsidR="00607699" w:rsidRPr="00607699">
        <w:t>64</w:t>
      </w:r>
      <w:r w:rsidRPr="00607699">
        <w:t>: Regulation No</w:t>
      </w:r>
      <w:r w:rsidR="002770E8" w:rsidRPr="00607699">
        <w:t xml:space="preserve">. </w:t>
      </w:r>
      <w:r w:rsidR="00607699" w:rsidRPr="00607699">
        <w:t>65</w:t>
      </w:r>
      <w:r w:rsidRPr="00607699">
        <w:t xml:space="preserve"> </w:t>
      </w:r>
    </w:p>
    <w:p w14:paraId="46F94A81" w14:textId="59B32918" w:rsidR="00504670" w:rsidRPr="00607699" w:rsidRDefault="00504670" w:rsidP="00504670">
      <w:pPr>
        <w:pStyle w:val="H1G"/>
      </w:pPr>
      <w:r w:rsidRPr="00607699">
        <w:tab/>
      </w:r>
      <w:r w:rsidRPr="00607699">
        <w:tab/>
        <w:t xml:space="preserve">Revision </w:t>
      </w:r>
      <w:r w:rsidR="00607699" w:rsidRPr="00607699">
        <w:t>2</w:t>
      </w:r>
      <w:r w:rsidRPr="00607699">
        <w:t xml:space="preserve"> –</w:t>
      </w:r>
      <w:r w:rsidR="00607699" w:rsidRPr="00607699">
        <w:t xml:space="preserve"> </w:t>
      </w:r>
      <w:r w:rsidRPr="00607699">
        <w:t xml:space="preserve">Corrigendum </w:t>
      </w:r>
      <w:r w:rsidR="00F4421A">
        <w:t>2</w:t>
      </w:r>
      <w:r w:rsidRPr="00607699">
        <w:t xml:space="preserve"> </w:t>
      </w:r>
    </w:p>
    <w:p w14:paraId="64ABFF2B" w14:textId="2E8CD15E" w:rsidR="00504670" w:rsidRPr="00607699" w:rsidRDefault="00607699" w:rsidP="00504670">
      <w:pPr>
        <w:pStyle w:val="SingleTxtG"/>
        <w:spacing w:after="360"/>
      </w:pPr>
      <w:r w:rsidRPr="00607699">
        <w:t xml:space="preserve">Erratum </w:t>
      </w:r>
      <w:r w:rsidR="00F4421A">
        <w:t>2</w:t>
      </w:r>
      <w:r w:rsidRPr="00607699">
        <w:t xml:space="preserve"> to Revision 2 of the Regulation</w:t>
      </w:r>
      <w:r w:rsidR="00504670" w:rsidRPr="00607699">
        <w:t xml:space="preserve"> </w:t>
      </w:r>
    </w:p>
    <w:p w14:paraId="3568F953" w14:textId="77777777" w:rsidR="00504670" w:rsidRPr="00607699" w:rsidRDefault="00916D5C" w:rsidP="00916D5C">
      <w:pPr>
        <w:pStyle w:val="H1G"/>
      </w:pPr>
      <w:r w:rsidRPr="00607699">
        <w:tab/>
      </w:r>
      <w:r w:rsidRPr="00607699">
        <w:tab/>
      </w:r>
      <w:r w:rsidR="00607699" w:rsidRPr="00607699">
        <w:t>Uniform provisions concerning the approval of special warning lamps for power-driven vehicles and their trailers</w:t>
      </w:r>
    </w:p>
    <w:p w14:paraId="1731C3CA" w14:textId="77777777" w:rsidR="00504670" w:rsidRPr="00607699" w:rsidRDefault="00504670" w:rsidP="00504670">
      <w:pPr>
        <w:pStyle w:val="SingleTxtG"/>
        <w:spacing w:before="240" w:after="0"/>
        <w:jc w:val="center"/>
        <w:rPr>
          <w:u w:val="single"/>
        </w:rPr>
      </w:pPr>
      <w:r w:rsidRPr="00607699">
        <w:rPr>
          <w:u w:val="single"/>
        </w:rPr>
        <w:tab/>
      </w:r>
      <w:r w:rsidRPr="00607699">
        <w:rPr>
          <w:u w:val="single"/>
        </w:rPr>
        <w:tab/>
      </w:r>
    </w:p>
    <w:p w14:paraId="6B30DFAB" w14:textId="05C3C02D" w:rsidR="00504670" w:rsidRPr="00607699" w:rsidRDefault="00716BCD" w:rsidP="00504670">
      <w:pPr>
        <w:jc w:val="center"/>
        <w:rPr>
          <w:b/>
          <w:sz w:val="21"/>
        </w:rPr>
      </w:pPr>
      <w:r w:rsidRPr="00607699">
        <w:rPr>
          <w:noProof/>
        </w:rPr>
        <w:drawing>
          <wp:anchor distT="0" distB="137160" distL="114300" distR="114300" simplePos="0" relativeHeight="251657728" behindDoc="0" locked="0" layoutInCell="1" allowOverlap="1" wp14:anchorId="7E414547" wp14:editId="6D5C3756">
            <wp:simplePos x="0" y="0"/>
            <wp:positionH relativeFrom="column">
              <wp:posOffset>2540000</wp:posOffset>
            </wp:positionH>
            <wp:positionV relativeFrom="paragraph">
              <wp:posOffset>170180</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1814E" w14:textId="77777777" w:rsidR="00504670" w:rsidRPr="00607699" w:rsidRDefault="00504670" w:rsidP="00504670">
      <w:pPr>
        <w:pStyle w:val="BodyText2"/>
        <w:jc w:val="center"/>
        <w:rPr>
          <w:b/>
        </w:rPr>
      </w:pPr>
      <w:r w:rsidRPr="00607699">
        <w:rPr>
          <w:b/>
        </w:rPr>
        <w:t>UNITED NATIONS</w:t>
      </w:r>
    </w:p>
    <w:p w14:paraId="4DCA739D" w14:textId="77777777" w:rsidR="002770E8" w:rsidRPr="00607699" w:rsidRDefault="002770E8" w:rsidP="002770E8">
      <w:pPr>
        <w:jc w:val="center"/>
        <w:rPr>
          <w:b/>
          <w:sz w:val="21"/>
        </w:rPr>
      </w:pPr>
    </w:p>
    <w:p w14:paraId="6AC2258D" w14:textId="77777777" w:rsidR="00BF0299" w:rsidRPr="00607699" w:rsidRDefault="00BF0299" w:rsidP="009C66D3">
      <w:pPr>
        <w:pStyle w:val="SingleTxtG"/>
        <w:jc w:val="center"/>
        <w:rPr>
          <w:u w:val="single"/>
        </w:rPr>
      </w:pPr>
    </w:p>
    <w:p w14:paraId="37789A9A" w14:textId="0380F479" w:rsidR="00F4421A" w:rsidRPr="00F4421A" w:rsidRDefault="00F4421A" w:rsidP="00607699">
      <w:pPr>
        <w:pStyle w:val="SingleTxtG"/>
        <w:rPr>
          <w:iCs/>
        </w:rPr>
      </w:pPr>
      <w:r>
        <w:rPr>
          <w:i/>
        </w:rPr>
        <w:lastRenderedPageBreak/>
        <w:t xml:space="preserve">Page 24, Annex 7, </w:t>
      </w:r>
      <w:r>
        <w:rPr>
          <w:iCs/>
        </w:rPr>
        <w:t xml:space="preserve">amend to read: </w:t>
      </w:r>
    </w:p>
    <w:p w14:paraId="608C82D5" w14:textId="3B3FD609" w:rsidR="00F4421A" w:rsidRPr="00EA050F" w:rsidRDefault="00F4421A" w:rsidP="00F4421A">
      <w:pPr>
        <w:pStyle w:val="HChG"/>
      </w:pPr>
      <w:r>
        <w:rPr>
          <w:iCs/>
        </w:rPr>
        <w:t>"</w:t>
      </w:r>
      <w:r w:rsidRPr="00EA050F">
        <w:t>Annex 7</w:t>
      </w:r>
    </w:p>
    <w:p w14:paraId="0983FF12" w14:textId="77777777" w:rsidR="00F4421A" w:rsidRPr="00EA050F" w:rsidRDefault="00F4421A" w:rsidP="00F4421A">
      <w:pPr>
        <w:pStyle w:val="HChG"/>
      </w:pPr>
      <w:r w:rsidRPr="00EA050F">
        <w:tab/>
      </w:r>
      <w:r w:rsidRPr="00EA050F">
        <w:tab/>
        <w:t>Minimum requirements for conformity of production control procedures</w:t>
      </w:r>
    </w:p>
    <w:p w14:paraId="6030C73C" w14:textId="5B670B27" w:rsidR="00F4421A" w:rsidRPr="00F4421A" w:rsidRDefault="00F4421A" w:rsidP="00F4421A">
      <w:pPr>
        <w:pStyle w:val="SingleTxtG"/>
        <w:rPr>
          <w:iCs/>
        </w:rPr>
      </w:pPr>
      <w:r w:rsidRPr="00F4421A">
        <w:rPr>
          <w:iCs/>
        </w:rPr>
        <w:t>1.</w:t>
      </w:r>
      <w:r w:rsidRPr="00F4421A">
        <w:rPr>
          <w:iCs/>
        </w:rPr>
        <w:tab/>
      </w:r>
      <w:r>
        <w:rPr>
          <w:iCs/>
        </w:rPr>
        <w:tab/>
      </w:r>
      <w:r w:rsidRPr="00F4421A">
        <w:rPr>
          <w:iCs/>
        </w:rPr>
        <w:t>General</w:t>
      </w:r>
    </w:p>
    <w:p w14:paraId="331B8E8B" w14:textId="77777777" w:rsidR="00F4421A" w:rsidRPr="00F4421A" w:rsidRDefault="00F4421A" w:rsidP="00F4421A">
      <w:pPr>
        <w:pStyle w:val="SingleTxtG"/>
        <w:ind w:left="2268" w:hanging="1134"/>
        <w:rPr>
          <w:iCs/>
        </w:rPr>
      </w:pPr>
      <w:r w:rsidRPr="00F4421A">
        <w:rPr>
          <w:iCs/>
        </w:rPr>
        <w:t>1.1.</w:t>
      </w:r>
      <w:r w:rsidRPr="00F4421A">
        <w:rPr>
          <w:iCs/>
        </w:rPr>
        <w:tab/>
        <w:t xml:space="preserve">The conformity requirements shall be considered satisfied from a mechanical and geometric </w:t>
      </w:r>
      <w:proofErr w:type="gramStart"/>
      <w:r w:rsidRPr="00F4421A">
        <w:rPr>
          <w:iCs/>
        </w:rPr>
        <w:t>standpoint, if</w:t>
      </w:r>
      <w:proofErr w:type="gramEnd"/>
      <w:r w:rsidRPr="00F4421A">
        <w:rPr>
          <w:iCs/>
        </w:rPr>
        <w:t xml:space="preserve"> the differences do not exceed inevitable manufacturing deviations within the requirements of this regulation.</w:t>
      </w:r>
    </w:p>
    <w:p w14:paraId="5D275101" w14:textId="29D39808" w:rsidR="00F4421A" w:rsidRPr="00F4421A" w:rsidRDefault="00F4421A" w:rsidP="00F4421A">
      <w:pPr>
        <w:pStyle w:val="SingleTxtG"/>
        <w:ind w:left="2268" w:hanging="1134"/>
        <w:rPr>
          <w:iCs/>
        </w:rPr>
      </w:pPr>
      <w:r w:rsidRPr="00F4421A">
        <w:rPr>
          <w:iCs/>
        </w:rPr>
        <w:t>1.2.</w:t>
      </w:r>
      <w:r w:rsidRPr="00F4421A">
        <w:rPr>
          <w:iCs/>
        </w:rPr>
        <w:tab/>
        <w:t>With respect to photometric performances, the conformity of mass-produced special warning lamps shall not be contested if, when testing photometric performances of any special warning lamp chosen at random and in the case of a ECE approved light source equipped with standard light sources of relevant category:</w:t>
      </w:r>
    </w:p>
    <w:p w14:paraId="7822A26B" w14:textId="77777777" w:rsidR="00F4421A" w:rsidRPr="00F4421A" w:rsidRDefault="00F4421A" w:rsidP="00F4421A">
      <w:pPr>
        <w:pStyle w:val="SingleTxtG"/>
        <w:ind w:left="2268" w:hanging="1134"/>
        <w:rPr>
          <w:iCs/>
        </w:rPr>
      </w:pPr>
      <w:r w:rsidRPr="00F4421A">
        <w:rPr>
          <w:iCs/>
        </w:rPr>
        <w:t>1.2.1.</w:t>
      </w:r>
      <w:r w:rsidRPr="00F4421A">
        <w:rPr>
          <w:iCs/>
        </w:rPr>
        <w:tab/>
        <w:t>no measured value deviates unfavourably by more than 20 per cent from the minimum values prescribed in this Regulation.</w:t>
      </w:r>
    </w:p>
    <w:p w14:paraId="07415BB4" w14:textId="77777777" w:rsidR="00F4421A" w:rsidRPr="00F4421A" w:rsidRDefault="00F4421A" w:rsidP="00F4421A">
      <w:pPr>
        <w:pStyle w:val="SingleTxtG"/>
        <w:ind w:left="2268" w:hanging="1134"/>
        <w:rPr>
          <w:iCs/>
        </w:rPr>
      </w:pPr>
      <w:r w:rsidRPr="00F4421A">
        <w:rPr>
          <w:iCs/>
        </w:rPr>
        <w:t>1.2.2.</w:t>
      </w:r>
      <w:r w:rsidRPr="00F4421A">
        <w:rPr>
          <w:iCs/>
        </w:rPr>
        <w:tab/>
        <w:t>If, in the case of a special warning lamp equipped with a replaceable light source and if results of the test described above do not meet the requirements, tests on special warning lamps shall be repeated using another light source.</w:t>
      </w:r>
    </w:p>
    <w:p w14:paraId="34EF5631" w14:textId="77777777" w:rsidR="00F4421A" w:rsidRPr="00F4421A" w:rsidRDefault="00F4421A" w:rsidP="00F4421A">
      <w:pPr>
        <w:pStyle w:val="SingleTxtG"/>
        <w:ind w:left="2268" w:hanging="1134"/>
        <w:rPr>
          <w:iCs/>
        </w:rPr>
      </w:pPr>
      <w:r w:rsidRPr="00F4421A">
        <w:rPr>
          <w:iCs/>
        </w:rPr>
        <w:t>1.3.</w:t>
      </w:r>
      <w:r w:rsidRPr="00F4421A">
        <w:rPr>
          <w:iCs/>
        </w:rPr>
        <w:tab/>
        <w:t>The chromaticity coordinates and the timing characteristics shall be complied with.</w:t>
      </w:r>
    </w:p>
    <w:p w14:paraId="59D6DE87" w14:textId="76C13BCF" w:rsidR="00F4421A" w:rsidRPr="00F4421A" w:rsidRDefault="00F4421A" w:rsidP="003411DB">
      <w:pPr>
        <w:pStyle w:val="SingleTxtG"/>
        <w:ind w:left="2268" w:hanging="1134"/>
        <w:rPr>
          <w:iCs/>
        </w:rPr>
      </w:pPr>
      <w:r w:rsidRPr="00F4421A">
        <w:rPr>
          <w:iCs/>
        </w:rPr>
        <w:t>2.</w:t>
      </w:r>
      <w:r w:rsidRPr="00F4421A">
        <w:rPr>
          <w:iCs/>
        </w:rPr>
        <w:tab/>
        <w:t>Minimum requirements for verification of conformity by the manufacturer</w:t>
      </w:r>
    </w:p>
    <w:p w14:paraId="3148CDC9" w14:textId="77777777" w:rsidR="00F4421A" w:rsidRPr="00F4421A" w:rsidRDefault="00F4421A" w:rsidP="003411DB">
      <w:pPr>
        <w:pStyle w:val="SingleTxtG"/>
        <w:ind w:left="2268" w:hanging="1134"/>
        <w:rPr>
          <w:iCs/>
        </w:rPr>
      </w:pPr>
      <w:r w:rsidRPr="00F4421A">
        <w:rPr>
          <w:iCs/>
        </w:rPr>
        <w:tab/>
        <w:t xml:space="preserve">For each type of special warning </w:t>
      </w:r>
      <w:proofErr w:type="gramStart"/>
      <w:r w:rsidRPr="00F4421A">
        <w:rPr>
          <w:iCs/>
        </w:rPr>
        <w:t>lamp</w:t>
      </w:r>
      <w:proofErr w:type="gramEnd"/>
      <w:r w:rsidRPr="00F4421A">
        <w:rPr>
          <w:iCs/>
        </w:rPr>
        <w:t xml:space="preserve"> the holder of the approval mark shall carry out at least the following tests, at appropriate intervals.  The tests shall be carried out in accordance with the provisions of the Regulation.</w:t>
      </w:r>
    </w:p>
    <w:p w14:paraId="3DFC6387" w14:textId="77777777" w:rsidR="00F4421A" w:rsidRPr="00F4421A" w:rsidRDefault="00F4421A" w:rsidP="003411DB">
      <w:pPr>
        <w:pStyle w:val="SingleTxtG"/>
        <w:ind w:left="2268" w:hanging="1134"/>
        <w:rPr>
          <w:iCs/>
        </w:rPr>
      </w:pPr>
      <w:r w:rsidRPr="00F4421A">
        <w:rPr>
          <w:iCs/>
        </w:rPr>
        <w:tab/>
        <w:t xml:space="preserve">If any sampling shows non-conformity </w:t>
      </w:r>
      <w:proofErr w:type="gramStart"/>
      <w:r w:rsidRPr="00F4421A">
        <w:rPr>
          <w:iCs/>
        </w:rPr>
        <w:t>with regard to</w:t>
      </w:r>
      <w:proofErr w:type="gramEnd"/>
      <w:r w:rsidRPr="00F4421A">
        <w:rPr>
          <w:iCs/>
        </w:rPr>
        <w:t xml:space="preserve"> the type of test concerned, further samples shall be taken and tested.  The manufacturer shall take steps to ensure the conformity of the production concerned.</w:t>
      </w:r>
    </w:p>
    <w:p w14:paraId="3ADF009F" w14:textId="77777777" w:rsidR="00F4421A" w:rsidRPr="00F4421A" w:rsidRDefault="00F4421A" w:rsidP="003411DB">
      <w:pPr>
        <w:pStyle w:val="SingleTxtG"/>
        <w:ind w:left="2268" w:hanging="1134"/>
        <w:rPr>
          <w:iCs/>
        </w:rPr>
      </w:pPr>
      <w:r w:rsidRPr="00F4421A">
        <w:rPr>
          <w:iCs/>
        </w:rPr>
        <w:t>2.1.</w:t>
      </w:r>
      <w:r w:rsidRPr="00F4421A">
        <w:rPr>
          <w:iCs/>
        </w:rPr>
        <w:tab/>
        <w:t>Nature of tests</w:t>
      </w:r>
    </w:p>
    <w:p w14:paraId="4427CB08" w14:textId="010A5277" w:rsidR="00F4421A" w:rsidRPr="00F4421A" w:rsidRDefault="003411DB" w:rsidP="003411DB">
      <w:pPr>
        <w:pStyle w:val="SingleTxtG"/>
        <w:ind w:left="2268" w:hanging="1134"/>
        <w:rPr>
          <w:iCs/>
        </w:rPr>
      </w:pPr>
      <w:r>
        <w:rPr>
          <w:iCs/>
        </w:rPr>
        <w:tab/>
      </w:r>
      <w:r w:rsidR="00F4421A" w:rsidRPr="00F4421A">
        <w:rPr>
          <w:iCs/>
        </w:rPr>
        <w:t xml:space="preserve">Tests of conformity in this Regulation shall cover the photometric, </w:t>
      </w:r>
      <w:proofErr w:type="gramStart"/>
      <w:r w:rsidR="00F4421A" w:rsidRPr="00F4421A">
        <w:rPr>
          <w:iCs/>
        </w:rPr>
        <w:t>timing</w:t>
      </w:r>
      <w:proofErr w:type="gramEnd"/>
      <w:r w:rsidR="00F4421A" w:rsidRPr="00F4421A">
        <w:rPr>
          <w:iCs/>
        </w:rPr>
        <w:t xml:space="preserve"> and colorimetric characteristics.</w:t>
      </w:r>
    </w:p>
    <w:p w14:paraId="5FE3DC24" w14:textId="77777777" w:rsidR="00F4421A" w:rsidRPr="00F4421A" w:rsidRDefault="00F4421A" w:rsidP="003411DB">
      <w:pPr>
        <w:pStyle w:val="SingleTxtG"/>
        <w:ind w:left="2268" w:hanging="1134"/>
        <w:rPr>
          <w:iCs/>
        </w:rPr>
      </w:pPr>
      <w:r w:rsidRPr="00F4421A">
        <w:rPr>
          <w:iCs/>
        </w:rPr>
        <w:t>2.2.</w:t>
      </w:r>
      <w:r w:rsidRPr="00F4421A">
        <w:rPr>
          <w:iCs/>
        </w:rPr>
        <w:tab/>
        <w:t>Methods used in tests</w:t>
      </w:r>
    </w:p>
    <w:p w14:paraId="4FE7AD8E" w14:textId="77777777" w:rsidR="00F4421A" w:rsidRPr="00F4421A" w:rsidRDefault="00F4421A" w:rsidP="003411DB">
      <w:pPr>
        <w:pStyle w:val="SingleTxtG"/>
        <w:ind w:left="2268" w:hanging="1134"/>
        <w:rPr>
          <w:iCs/>
        </w:rPr>
      </w:pPr>
      <w:r w:rsidRPr="00F4421A">
        <w:rPr>
          <w:iCs/>
        </w:rPr>
        <w:t>2.2.1.</w:t>
      </w:r>
      <w:r w:rsidRPr="00F4421A">
        <w:rPr>
          <w:iCs/>
        </w:rPr>
        <w:tab/>
        <w:t>Tests shall generally be carried out in accordance with the methods set out in this Regulation.</w:t>
      </w:r>
    </w:p>
    <w:p w14:paraId="64E3186B" w14:textId="77777777" w:rsidR="00F4421A" w:rsidRPr="00F4421A" w:rsidRDefault="00F4421A" w:rsidP="003411DB">
      <w:pPr>
        <w:pStyle w:val="SingleTxtG"/>
        <w:ind w:left="2268" w:hanging="1134"/>
        <w:rPr>
          <w:iCs/>
        </w:rPr>
      </w:pPr>
      <w:r w:rsidRPr="00F4421A">
        <w:rPr>
          <w:iCs/>
        </w:rPr>
        <w:t>2.2.2.</w:t>
      </w:r>
      <w:r w:rsidRPr="00F4421A">
        <w:rPr>
          <w:iCs/>
        </w:rPr>
        <w:tab/>
        <w:t>In any test of conformity carried out by the manufacturer, equivalent methods may be used with consent of the competent authority responsible for approval tests. The manufacturer is responsible for proving that the applied methods are equivalent to those laid down in this Regulation.</w:t>
      </w:r>
    </w:p>
    <w:p w14:paraId="0942DB3C" w14:textId="77777777" w:rsidR="00F4421A" w:rsidRPr="00F4421A" w:rsidRDefault="00F4421A" w:rsidP="003411DB">
      <w:pPr>
        <w:pStyle w:val="SingleTxtG"/>
        <w:ind w:left="2268" w:hanging="1134"/>
        <w:rPr>
          <w:iCs/>
        </w:rPr>
      </w:pPr>
      <w:r w:rsidRPr="00F4421A">
        <w:rPr>
          <w:iCs/>
        </w:rPr>
        <w:t>2.2.3.</w:t>
      </w:r>
      <w:r w:rsidRPr="00F4421A">
        <w:rPr>
          <w:iCs/>
        </w:rPr>
        <w:tab/>
        <w:t>The application of paragraph 2.2.1. and 2.2.2. requires regular calibration of test apparatus and its correlation with measurements made by a competent authority.</w:t>
      </w:r>
    </w:p>
    <w:p w14:paraId="3242F9E5" w14:textId="77777777" w:rsidR="00F4421A" w:rsidRPr="00F4421A" w:rsidRDefault="00F4421A" w:rsidP="003411DB">
      <w:pPr>
        <w:pStyle w:val="SingleTxtG"/>
        <w:ind w:left="2268" w:hanging="1134"/>
        <w:rPr>
          <w:iCs/>
        </w:rPr>
      </w:pPr>
      <w:r w:rsidRPr="00F4421A">
        <w:rPr>
          <w:iCs/>
        </w:rPr>
        <w:lastRenderedPageBreak/>
        <w:t>2.2.4.</w:t>
      </w:r>
      <w:r w:rsidRPr="00F4421A">
        <w:rPr>
          <w:iCs/>
        </w:rPr>
        <w:tab/>
        <w:t>In all cases the reference methods shall be those of this Regulation, particularly for the purpose of administrative verification and sampling.</w:t>
      </w:r>
    </w:p>
    <w:p w14:paraId="4E7987E7" w14:textId="77777777" w:rsidR="00F4421A" w:rsidRPr="00F4421A" w:rsidRDefault="00F4421A" w:rsidP="003411DB">
      <w:pPr>
        <w:pStyle w:val="SingleTxtG"/>
        <w:ind w:left="2268" w:hanging="1134"/>
        <w:rPr>
          <w:iCs/>
        </w:rPr>
      </w:pPr>
      <w:r w:rsidRPr="00F4421A">
        <w:rPr>
          <w:iCs/>
        </w:rPr>
        <w:t>2.3.</w:t>
      </w:r>
      <w:r w:rsidRPr="00F4421A">
        <w:rPr>
          <w:iCs/>
        </w:rPr>
        <w:tab/>
        <w:t>Nature of sampling</w:t>
      </w:r>
    </w:p>
    <w:p w14:paraId="17DFEA5D" w14:textId="0F4C5EF5" w:rsidR="00F4421A" w:rsidRPr="00F4421A" w:rsidRDefault="003411DB" w:rsidP="003411DB">
      <w:pPr>
        <w:pStyle w:val="SingleTxtG"/>
        <w:ind w:left="2268" w:hanging="1134"/>
        <w:rPr>
          <w:iCs/>
        </w:rPr>
      </w:pPr>
      <w:r>
        <w:rPr>
          <w:iCs/>
        </w:rPr>
        <w:tab/>
      </w:r>
      <w:r w:rsidR="00F4421A" w:rsidRPr="00F4421A">
        <w:rPr>
          <w:iCs/>
        </w:rPr>
        <w:t>Samples of special warning lamps shall be selected at random from the production of a uniform batch. A uniform batch means a set of special warning lamps of the same type, defined according to the production methods of the manufacturer.</w:t>
      </w:r>
    </w:p>
    <w:p w14:paraId="0FB4486A" w14:textId="660C6C95" w:rsidR="00F4421A" w:rsidRPr="00F4421A" w:rsidRDefault="003411DB" w:rsidP="003411DB">
      <w:pPr>
        <w:pStyle w:val="SingleTxtG"/>
        <w:ind w:left="2268" w:hanging="1134"/>
        <w:rPr>
          <w:iCs/>
        </w:rPr>
      </w:pPr>
      <w:r>
        <w:rPr>
          <w:iCs/>
        </w:rPr>
        <w:tab/>
      </w:r>
      <w:r w:rsidR="00F4421A" w:rsidRPr="00F4421A">
        <w:rPr>
          <w:iCs/>
        </w:rPr>
        <w:t>The assessment shall in general cover series production from individual factories, However, a manufacturer may group together records concerning the same type from several factories, provided these operate under the same quality system and quality management.</w:t>
      </w:r>
    </w:p>
    <w:p w14:paraId="5BC8774A" w14:textId="77777777" w:rsidR="00F4421A" w:rsidRPr="00F4421A" w:rsidRDefault="00F4421A" w:rsidP="003411DB">
      <w:pPr>
        <w:pStyle w:val="SingleTxtG"/>
        <w:ind w:left="2268" w:hanging="1134"/>
        <w:rPr>
          <w:iCs/>
        </w:rPr>
      </w:pPr>
      <w:r w:rsidRPr="00F4421A">
        <w:rPr>
          <w:iCs/>
        </w:rPr>
        <w:t>2.4.</w:t>
      </w:r>
      <w:r w:rsidRPr="00F4421A">
        <w:rPr>
          <w:iCs/>
        </w:rPr>
        <w:tab/>
        <w:t>Measured and recorded photometric characteristics</w:t>
      </w:r>
    </w:p>
    <w:p w14:paraId="5D7E1E8E" w14:textId="05AE6B05" w:rsidR="00F4421A" w:rsidRPr="00F4421A" w:rsidRDefault="003411DB" w:rsidP="003411DB">
      <w:pPr>
        <w:pStyle w:val="SingleTxtG"/>
        <w:ind w:left="2268" w:hanging="1134"/>
        <w:rPr>
          <w:iCs/>
        </w:rPr>
      </w:pPr>
      <w:r>
        <w:rPr>
          <w:iCs/>
        </w:rPr>
        <w:tab/>
      </w:r>
      <w:r w:rsidR="00F4421A" w:rsidRPr="00F4421A">
        <w:rPr>
          <w:iCs/>
        </w:rPr>
        <w:t>The sampled special warning lamp shall be subjected to photometric measurements for the minimum photometric values, and the timing values according to Annex 5, and the chromaticity coordinates listed in Annex 3, provided for in the Regulation.</w:t>
      </w:r>
    </w:p>
    <w:p w14:paraId="4A670780" w14:textId="77777777" w:rsidR="00F4421A" w:rsidRPr="00F4421A" w:rsidRDefault="00F4421A" w:rsidP="003411DB">
      <w:pPr>
        <w:pStyle w:val="SingleTxtG"/>
        <w:ind w:left="2268" w:hanging="1134"/>
        <w:rPr>
          <w:iCs/>
        </w:rPr>
      </w:pPr>
      <w:r w:rsidRPr="00F4421A">
        <w:rPr>
          <w:iCs/>
        </w:rPr>
        <w:t>2.5.</w:t>
      </w:r>
      <w:r w:rsidRPr="00F4421A">
        <w:rPr>
          <w:iCs/>
        </w:rPr>
        <w:tab/>
        <w:t>Criteria governing acceptability</w:t>
      </w:r>
    </w:p>
    <w:p w14:paraId="6ACE4458" w14:textId="77777777" w:rsidR="00F4421A" w:rsidRPr="00F4421A" w:rsidRDefault="00F4421A" w:rsidP="003411DB">
      <w:pPr>
        <w:pStyle w:val="SingleTxtG"/>
        <w:ind w:left="2268" w:hanging="1134"/>
        <w:rPr>
          <w:iCs/>
        </w:rPr>
      </w:pPr>
      <w:r w:rsidRPr="00F4421A">
        <w:rPr>
          <w:iCs/>
        </w:rPr>
        <w:tab/>
        <w:t>The manufacturer is responsible for carrying out a statistical study of the test results and for defining, in agreement with the competent authority, criteria governing the acceptability of his product in other to meet the specifications laid down for verification of conformity of products in paragraph 9.1. of this Regulation.</w:t>
      </w:r>
    </w:p>
    <w:p w14:paraId="4B304EFD" w14:textId="7FE3A30F" w:rsidR="00F4421A" w:rsidRPr="00F4421A" w:rsidRDefault="00F4421A" w:rsidP="003411DB">
      <w:pPr>
        <w:pStyle w:val="SingleTxtG"/>
        <w:ind w:left="2268" w:hanging="1134"/>
        <w:rPr>
          <w:iCs/>
        </w:rPr>
      </w:pPr>
      <w:r w:rsidRPr="00F4421A">
        <w:rPr>
          <w:iCs/>
        </w:rPr>
        <w:tab/>
        <w:t>The criteria governing the acceptability shall be such that, with a confidence level of 95 per cent, the minimum probability of passing a spot check in accordance with Annex 8 (first sampling) would be 0.95.</w:t>
      </w:r>
      <w:r w:rsidR="003411DB">
        <w:rPr>
          <w:iCs/>
        </w:rPr>
        <w:t>"</w:t>
      </w:r>
    </w:p>
    <w:p w14:paraId="454F6923" w14:textId="17F956D8" w:rsidR="00607699" w:rsidRPr="00607699" w:rsidRDefault="00607699" w:rsidP="003411DB">
      <w:pPr>
        <w:pStyle w:val="SingleTxtG"/>
        <w:ind w:left="2268" w:hanging="1134"/>
      </w:pPr>
    </w:p>
    <w:p w14:paraId="12814CB1" w14:textId="4D8FA9F4" w:rsidR="009C66D3" w:rsidRPr="00607699" w:rsidRDefault="009C66D3" w:rsidP="009C66D3">
      <w:pPr>
        <w:pStyle w:val="SingleTxtG"/>
        <w:jc w:val="center"/>
      </w:pPr>
      <w:r w:rsidRPr="00607699">
        <w:rPr>
          <w:u w:val="single"/>
        </w:rPr>
        <w:tab/>
      </w:r>
      <w:r w:rsidRPr="00607699">
        <w:rPr>
          <w:u w:val="single"/>
        </w:rPr>
        <w:tab/>
      </w:r>
      <w:r w:rsidRPr="00607699">
        <w:rPr>
          <w:u w:val="single"/>
        </w:rPr>
        <w:tab/>
      </w:r>
      <w:r w:rsidR="00166BB6">
        <w:rPr>
          <w:u w:val="single"/>
        </w:rPr>
        <w:tab/>
      </w:r>
    </w:p>
    <w:p w14:paraId="0567E823" w14:textId="77777777" w:rsidR="004E0195" w:rsidRPr="00607699" w:rsidRDefault="004E0195" w:rsidP="009C66D3">
      <w:pPr>
        <w:pStyle w:val="para"/>
      </w:pPr>
    </w:p>
    <w:sectPr w:rsidR="004E0195" w:rsidRPr="00607699" w:rsidSect="008C3655">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A953" w14:textId="77777777" w:rsidR="0008452C" w:rsidRDefault="0008452C"/>
  </w:endnote>
  <w:endnote w:type="continuationSeparator" w:id="0">
    <w:p w14:paraId="28B22CA4" w14:textId="77777777" w:rsidR="0008452C" w:rsidRDefault="0008452C"/>
  </w:endnote>
  <w:endnote w:type="continuationNotice" w:id="1">
    <w:p w14:paraId="5386F61E" w14:textId="77777777" w:rsidR="0008452C" w:rsidRDefault="00084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B35D" w14:textId="77777777" w:rsidR="00013DF5" w:rsidRPr="00762BEB" w:rsidRDefault="00013DF5" w:rsidP="00762BEB">
    <w:pPr>
      <w:pStyle w:val="Footer"/>
      <w:tabs>
        <w:tab w:val="right" w:pos="9638"/>
      </w:tabs>
      <w:rPr>
        <w:sz w:val="18"/>
      </w:rPr>
    </w:pPr>
    <w:r w:rsidRPr="00762BEB">
      <w:rPr>
        <w:b/>
        <w:sz w:val="18"/>
      </w:rPr>
      <w:fldChar w:fldCharType="begin"/>
    </w:r>
    <w:r w:rsidRPr="00762BEB">
      <w:rPr>
        <w:b/>
        <w:sz w:val="18"/>
      </w:rPr>
      <w:instrText xml:space="preserve"> PAGE  \* MERGEFORMAT </w:instrText>
    </w:r>
    <w:r w:rsidRPr="00762BEB">
      <w:rPr>
        <w:b/>
        <w:sz w:val="18"/>
      </w:rPr>
      <w:fldChar w:fldCharType="separate"/>
    </w:r>
    <w:r w:rsidR="002326E9">
      <w:rPr>
        <w:b/>
        <w:noProof/>
        <w:sz w:val="18"/>
      </w:rPr>
      <w:t>2</w:t>
    </w:r>
    <w:r w:rsidRPr="00762B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F21A" w14:textId="77777777" w:rsidR="00013DF5" w:rsidRPr="00762BEB" w:rsidRDefault="00013DF5" w:rsidP="00762BEB">
    <w:pPr>
      <w:pStyle w:val="Footer"/>
      <w:tabs>
        <w:tab w:val="right" w:pos="9638"/>
      </w:tabs>
      <w:rPr>
        <w:b/>
        <w:sz w:val="18"/>
      </w:rPr>
    </w:pPr>
    <w:r>
      <w:tab/>
    </w:r>
    <w:r w:rsidRPr="00762BEB">
      <w:rPr>
        <w:b/>
        <w:sz w:val="18"/>
      </w:rPr>
      <w:fldChar w:fldCharType="begin"/>
    </w:r>
    <w:r w:rsidRPr="00762BEB">
      <w:rPr>
        <w:b/>
        <w:sz w:val="18"/>
      </w:rPr>
      <w:instrText xml:space="preserve"> PAGE  \* MERGEFORMAT </w:instrText>
    </w:r>
    <w:r w:rsidRPr="00762BEB">
      <w:rPr>
        <w:b/>
        <w:sz w:val="18"/>
      </w:rPr>
      <w:fldChar w:fldCharType="separate"/>
    </w:r>
    <w:r>
      <w:rPr>
        <w:b/>
        <w:noProof/>
        <w:sz w:val="18"/>
      </w:rPr>
      <w:t>3</w:t>
    </w:r>
    <w:r w:rsidRPr="00762BE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4F3E" w14:textId="77777777" w:rsidR="0008452C" w:rsidRPr="000B175B" w:rsidRDefault="0008452C" w:rsidP="000B175B">
      <w:pPr>
        <w:tabs>
          <w:tab w:val="right" w:pos="2155"/>
        </w:tabs>
        <w:spacing w:after="80"/>
        <w:ind w:left="680"/>
        <w:rPr>
          <w:u w:val="single"/>
        </w:rPr>
      </w:pPr>
      <w:r>
        <w:rPr>
          <w:u w:val="single"/>
        </w:rPr>
        <w:tab/>
      </w:r>
    </w:p>
  </w:footnote>
  <w:footnote w:type="continuationSeparator" w:id="0">
    <w:p w14:paraId="0A0F14A1" w14:textId="77777777" w:rsidR="0008452C" w:rsidRPr="00FC68B7" w:rsidRDefault="0008452C" w:rsidP="00FC68B7">
      <w:pPr>
        <w:tabs>
          <w:tab w:val="left" w:pos="2155"/>
        </w:tabs>
        <w:spacing w:after="80"/>
        <w:ind w:left="680"/>
        <w:rPr>
          <w:u w:val="single"/>
        </w:rPr>
      </w:pPr>
      <w:r>
        <w:rPr>
          <w:u w:val="single"/>
        </w:rPr>
        <w:tab/>
      </w:r>
    </w:p>
  </w:footnote>
  <w:footnote w:type="continuationNotice" w:id="1">
    <w:p w14:paraId="650BB30B" w14:textId="77777777" w:rsidR="0008452C" w:rsidRDefault="0008452C"/>
  </w:footnote>
  <w:footnote w:id="2">
    <w:p w14:paraId="17B84839" w14:textId="77777777" w:rsidR="00013DF5" w:rsidRPr="00013DF5" w:rsidRDefault="00013DF5" w:rsidP="00504670">
      <w:pPr>
        <w:pStyle w:val="FootnoteText"/>
        <w:rPr>
          <w:lang w:val="en-US"/>
        </w:rPr>
      </w:pPr>
      <w:r>
        <w:tab/>
      </w:r>
      <w:r w:rsidRPr="009F0777">
        <w:rPr>
          <w:rStyle w:val="FootnoteReference"/>
          <w:sz w:val="20"/>
          <w:vertAlign w:val="baseline"/>
        </w:rPr>
        <w:t>*</w:t>
      </w:r>
      <w:r>
        <w:rPr>
          <w:sz w:val="20"/>
        </w:rPr>
        <w:tab/>
      </w:r>
      <w:r>
        <w:t>Former title of the Agreement: Agreement Concerning the Adoption of Uniform Conditions of Approval and Reciprocal Recognition of Approval for Motor Vehicle Equipment and Parts, done at Geneva on 20 March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BDC4" w14:textId="0AF8AE3D" w:rsidR="00013DF5" w:rsidRPr="00762BEB" w:rsidRDefault="00013DF5">
    <w:pPr>
      <w:pStyle w:val="Header"/>
    </w:pPr>
    <w:r>
      <w:t>E/ECE/324</w:t>
    </w:r>
    <w:r w:rsidR="00607699">
      <w:t>/Rev.1/Add.64/Rev.2/Corr.</w:t>
    </w:r>
    <w:r w:rsidR="00F4421A">
      <w:t>2</w:t>
    </w:r>
    <w:r>
      <w:br/>
      <w:t>E/ECE/TRANS/505</w:t>
    </w:r>
    <w:r w:rsidR="00607699">
      <w:t>/Rev.1/Add.64/Rev.2/Corr.</w:t>
    </w:r>
    <w:r w:rsidR="00F4421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5087" w14:textId="77777777" w:rsidR="00F4421A" w:rsidRDefault="00F4421A" w:rsidP="00F4421A">
    <w:pPr>
      <w:pStyle w:val="Header"/>
      <w:jc w:val="right"/>
    </w:pPr>
    <w:r>
      <w:t>E/ECE/324/Rev.1/Add.64/Rev.2/Corr.2</w:t>
    </w:r>
  </w:p>
  <w:p w14:paraId="6955854F" w14:textId="650CB16B" w:rsidR="00013DF5" w:rsidRPr="00762BEB" w:rsidRDefault="00F4421A" w:rsidP="00F4421A">
    <w:pPr>
      <w:pStyle w:val="Header"/>
      <w:jc w:val="right"/>
    </w:pPr>
    <w:r>
      <w:t>E/ECE/TRANS/505/Rev.1/Add.64/Rev.2/Corr.2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CDEF" w14:textId="77777777" w:rsidR="00013DF5" w:rsidRPr="00FE3C0C" w:rsidRDefault="00013DF5" w:rsidP="00FE3C0C"/>
  <w:p w14:paraId="31581A00" w14:textId="77777777" w:rsidR="00607699" w:rsidRDefault="006076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51178"/>
    <w:multiLevelType w:val="hybridMultilevel"/>
    <w:tmpl w:val="636489B4"/>
    <w:lvl w:ilvl="0" w:tplc="760E8DC6">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99"/>
    <w:rsid w:val="00003F1C"/>
    <w:rsid w:val="00012809"/>
    <w:rsid w:val="00013DF5"/>
    <w:rsid w:val="000277A7"/>
    <w:rsid w:val="00050F6B"/>
    <w:rsid w:val="00072C8C"/>
    <w:rsid w:val="0008452C"/>
    <w:rsid w:val="00084E49"/>
    <w:rsid w:val="000931C0"/>
    <w:rsid w:val="000B00C3"/>
    <w:rsid w:val="000B175B"/>
    <w:rsid w:val="000B3A0F"/>
    <w:rsid w:val="000E0415"/>
    <w:rsid w:val="001220B8"/>
    <w:rsid w:val="00133E96"/>
    <w:rsid w:val="00166BB6"/>
    <w:rsid w:val="001B4B04"/>
    <w:rsid w:val="001C6663"/>
    <w:rsid w:val="001C7895"/>
    <w:rsid w:val="001D26DF"/>
    <w:rsid w:val="001D63AD"/>
    <w:rsid w:val="00211E0B"/>
    <w:rsid w:val="002326E9"/>
    <w:rsid w:val="00235358"/>
    <w:rsid w:val="002405A7"/>
    <w:rsid w:val="002770E8"/>
    <w:rsid w:val="002A5A08"/>
    <w:rsid w:val="002B1F39"/>
    <w:rsid w:val="002C04D8"/>
    <w:rsid w:val="003107FA"/>
    <w:rsid w:val="003229D8"/>
    <w:rsid w:val="0033745A"/>
    <w:rsid w:val="003411DB"/>
    <w:rsid w:val="0039277A"/>
    <w:rsid w:val="00396379"/>
    <w:rsid w:val="003972E0"/>
    <w:rsid w:val="003C2CC4"/>
    <w:rsid w:val="003C3936"/>
    <w:rsid w:val="003D4B23"/>
    <w:rsid w:val="003F1ED3"/>
    <w:rsid w:val="0042520E"/>
    <w:rsid w:val="004325CB"/>
    <w:rsid w:val="00446DE4"/>
    <w:rsid w:val="00477021"/>
    <w:rsid w:val="004A41CA"/>
    <w:rsid w:val="004E0195"/>
    <w:rsid w:val="00500131"/>
    <w:rsid w:val="00503228"/>
    <w:rsid w:val="00504670"/>
    <w:rsid w:val="00505384"/>
    <w:rsid w:val="005420F2"/>
    <w:rsid w:val="00574662"/>
    <w:rsid w:val="005B3DB3"/>
    <w:rsid w:val="005E19C6"/>
    <w:rsid w:val="00607699"/>
    <w:rsid w:val="00611FC4"/>
    <w:rsid w:val="006176FB"/>
    <w:rsid w:val="00627ED0"/>
    <w:rsid w:val="00640B26"/>
    <w:rsid w:val="00665595"/>
    <w:rsid w:val="006A7392"/>
    <w:rsid w:val="006C5D8B"/>
    <w:rsid w:val="006C6A32"/>
    <w:rsid w:val="006E564B"/>
    <w:rsid w:val="00716BCD"/>
    <w:rsid w:val="00724257"/>
    <w:rsid w:val="0072632A"/>
    <w:rsid w:val="00762BEB"/>
    <w:rsid w:val="007B6BA5"/>
    <w:rsid w:val="007C3390"/>
    <w:rsid w:val="007C4F4B"/>
    <w:rsid w:val="007C796D"/>
    <w:rsid w:val="007F0B83"/>
    <w:rsid w:val="007F6611"/>
    <w:rsid w:val="008175E9"/>
    <w:rsid w:val="008242D7"/>
    <w:rsid w:val="00827E05"/>
    <w:rsid w:val="008311A3"/>
    <w:rsid w:val="00871FD5"/>
    <w:rsid w:val="00884E56"/>
    <w:rsid w:val="008871C6"/>
    <w:rsid w:val="008979B1"/>
    <w:rsid w:val="008A6B25"/>
    <w:rsid w:val="008A6C4F"/>
    <w:rsid w:val="008C193E"/>
    <w:rsid w:val="008C3655"/>
    <w:rsid w:val="008E0E46"/>
    <w:rsid w:val="00907AD2"/>
    <w:rsid w:val="00916D5C"/>
    <w:rsid w:val="00946DB8"/>
    <w:rsid w:val="00963CBA"/>
    <w:rsid w:val="0096640C"/>
    <w:rsid w:val="00967EED"/>
    <w:rsid w:val="00974A8D"/>
    <w:rsid w:val="00991261"/>
    <w:rsid w:val="009C66D3"/>
    <w:rsid w:val="009F0777"/>
    <w:rsid w:val="009F3A17"/>
    <w:rsid w:val="00A1427D"/>
    <w:rsid w:val="00A31D3D"/>
    <w:rsid w:val="00A72F22"/>
    <w:rsid w:val="00A748A6"/>
    <w:rsid w:val="00A86D99"/>
    <w:rsid w:val="00A879A4"/>
    <w:rsid w:val="00B30179"/>
    <w:rsid w:val="00B33EC0"/>
    <w:rsid w:val="00B369F4"/>
    <w:rsid w:val="00B81E12"/>
    <w:rsid w:val="00BC74E9"/>
    <w:rsid w:val="00BD2146"/>
    <w:rsid w:val="00BE4F74"/>
    <w:rsid w:val="00BE618E"/>
    <w:rsid w:val="00BF0299"/>
    <w:rsid w:val="00C17699"/>
    <w:rsid w:val="00C41A28"/>
    <w:rsid w:val="00C463DD"/>
    <w:rsid w:val="00C745C3"/>
    <w:rsid w:val="00C81BCA"/>
    <w:rsid w:val="00CE4A8F"/>
    <w:rsid w:val="00D2031B"/>
    <w:rsid w:val="00D25FE2"/>
    <w:rsid w:val="00D30A25"/>
    <w:rsid w:val="00D317BB"/>
    <w:rsid w:val="00D43252"/>
    <w:rsid w:val="00D54C52"/>
    <w:rsid w:val="00D978C6"/>
    <w:rsid w:val="00DA67AD"/>
    <w:rsid w:val="00DB5D0F"/>
    <w:rsid w:val="00DF12F7"/>
    <w:rsid w:val="00DF2E42"/>
    <w:rsid w:val="00E02C81"/>
    <w:rsid w:val="00E130AB"/>
    <w:rsid w:val="00E7260F"/>
    <w:rsid w:val="00E87921"/>
    <w:rsid w:val="00E96630"/>
    <w:rsid w:val="00EA264E"/>
    <w:rsid w:val="00EA382D"/>
    <w:rsid w:val="00ED7A2A"/>
    <w:rsid w:val="00EE176C"/>
    <w:rsid w:val="00EF1D7F"/>
    <w:rsid w:val="00F3462D"/>
    <w:rsid w:val="00F4421A"/>
    <w:rsid w:val="00F45A2D"/>
    <w:rsid w:val="00F53EDA"/>
    <w:rsid w:val="00F7753D"/>
    <w:rsid w:val="00F85F34"/>
    <w:rsid w:val="00FA06F7"/>
    <w:rsid w:val="00FB171A"/>
    <w:rsid w:val="00FC68B7"/>
    <w:rsid w:val="00FD7BF6"/>
    <w:rsid w:val="00FE3C0C"/>
    <w:rsid w:val="00FF19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EBA4"/>
  <w15:chartTrackingRefBased/>
  <w15:docId w15:val="{ED6B44A7-D037-4077-89CF-C1F8A11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504670"/>
    <w:pPr>
      <w:spacing w:after="120" w:line="480" w:lineRule="auto"/>
    </w:pPr>
  </w:style>
  <w:style w:type="paragraph" w:customStyle="1" w:styleId="a">
    <w:name w:val="(a)"/>
    <w:basedOn w:val="Normal"/>
    <w:rsid w:val="002A5A08"/>
    <w:pPr>
      <w:spacing w:after="120"/>
      <w:ind w:left="1701" w:right="1134" w:hanging="567"/>
      <w:jc w:val="both"/>
    </w:pPr>
  </w:style>
  <w:style w:type="paragraph" w:customStyle="1" w:styleId="aLeft4cm">
    <w:name w:val="(a) + Left:  4 cm"/>
    <w:basedOn w:val="a"/>
    <w:rsid w:val="002A5A08"/>
    <w:pPr>
      <w:ind w:left="2835"/>
    </w:pPr>
  </w:style>
  <w:style w:type="paragraph" w:customStyle="1" w:styleId="para">
    <w:name w:val="para"/>
    <w:basedOn w:val="SingleTxtG"/>
    <w:rsid w:val="00C81BCA"/>
    <w:pPr>
      <w:ind w:left="2268" w:hanging="1134"/>
    </w:pPr>
  </w:style>
  <w:style w:type="paragraph" w:customStyle="1" w:styleId="i">
    <w:name w:val="(i)"/>
    <w:basedOn w:val="aLeft4cm"/>
    <w:rsid w:val="006C6A32"/>
    <w:pPr>
      <w:ind w:left="3402"/>
    </w:pPr>
  </w:style>
  <w:style w:type="paragraph" w:customStyle="1" w:styleId="i0">
    <w:name w:val="i)"/>
    <w:basedOn w:val="Normal"/>
    <w:rsid w:val="009C66D3"/>
    <w:pPr>
      <w:tabs>
        <w:tab w:val="decimal" w:pos="567"/>
      </w:tabs>
      <w:spacing w:after="120"/>
      <w:ind w:left="3402" w:right="1134" w:hanging="567"/>
      <w:jc w:val="both"/>
    </w:pPr>
    <w:rPr>
      <w:lang w:val="fr-FR"/>
    </w:rPr>
  </w:style>
  <w:style w:type="paragraph" w:customStyle="1" w:styleId="StyleparaRight151cm">
    <w:name w:val="Style para + Right:  1.51 cm"/>
    <w:basedOn w:val="para"/>
    <w:rsid w:val="00C81BCA"/>
  </w:style>
  <w:style w:type="paragraph" w:styleId="BalloonText">
    <w:name w:val="Balloon Text"/>
    <w:basedOn w:val="Normal"/>
    <w:link w:val="BalloonTextChar"/>
    <w:rsid w:val="002B1F39"/>
    <w:pPr>
      <w:spacing w:line="240" w:lineRule="auto"/>
    </w:pPr>
    <w:rPr>
      <w:rFonts w:ascii="Tahoma" w:hAnsi="Tahoma" w:cs="Tahoma"/>
      <w:sz w:val="16"/>
      <w:szCs w:val="16"/>
    </w:rPr>
  </w:style>
  <w:style w:type="character" w:customStyle="1" w:styleId="BalloonTextChar">
    <w:name w:val="Balloon Text Char"/>
    <w:link w:val="BalloonText"/>
    <w:rsid w:val="002B1F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E0AB5-9088-44E4-BD15-C220A49518C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775A39C-5EA5-418B-B30C-AF07B42F7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92FA5-0A8E-4ED6-AE0F-DED4ED917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E/ECE/324/Add</vt:lpstr>
    </vt:vector>
  </TitlesOfParts>
  <Company>CSD</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WP.29/155/37</dc:creator>
  <cp:keywords/>
  <cp:lastModifiedBy>Editorial</cp:lastModifiedBy>
  <cp:revision>2</cp:revision>
  <cp:lastPrinted>2012-03-02T10:07:00Z</cp:lastPrinted>
  <dcterms:created xsi:type="dcterms:W3CDTF">2023-01-17T15:01:00Z</dcterms:created>
  <dcterms:modified xsi:type="dcterms:W3CDTF">2023-01-17T15:01:00Z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