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40D7D" w14:paraId="3845362E" w14:textId="77777777" w:rsidTr="00A27C92">
        <w:trPr>
          <w:trHeight w:hRule="exact" w:val="851"/>
        </w:trPr>
        <w:tc>
          <w:tcPr>
            <w:tcW w:w="9639" w:type="dxa"/>
            <w:gridSpan w:val="2"/>
            <w:tcBorders>
              <w:bottom w:val="single" w:sz="4" w:space="0" w:color="auto"/>
            </w:tcBorders>
            <w:shd w:val="clear" w:color="auto" w:fill="auto"/>
            <w:vAlign w:val="bottom"/>
          </w:tcPr>
          <w:p w14:paraId="00758A3F" w14:textId="77777777" w:rsidR="00B40D7D" w:rsidRPr="00B40D7D" w:rsidRDefault="00B40D7D" w:rsidP="00B40D7D">
            <w:pPr>
              <w:jc w:val="right"/>
              <w:rPr>
                <w:lang w:val="en-US"/>
              </w:rPr>
            </w:pPr>
            <w:r w:rsidRPr="00B40D7D">
              <w:rPr>
                <w:sz w:val="40"/>
                <w:lang w:val="en-US"/>
              </w:rPr>
              <w:t>E</w:t>
            </w:r>
            <w:r w:rsidRPr="00B40D7D">
              <w:rPr>
                <w:lang w:val="en-US"/>
              </w:rPr>
              <w:t>/ECE/324/Rev.1/Add.64/Rev.2/Amend.4−</w:t>
            </w:r>
            <w:r w:rsidRPr="00B40D7D">
              <w:rPr>
                <w:sz w:val="40"/>
                <w:lang w:val="en-US"/>
              </w:rPr>
              <w:t>E</w:t>
            </w:r>
            <w:r w:rsidRPr="00B40D7D">
              <w:rPr>
                <w:lang w:val="en-US"/>
              </w:rPr>
              <w:t>/ECE/TRANS/505/Rev.1/Add.64/Rev.2/Amend.4</w:t>
            </w:r>
          </w:p>
        </w:tc>
      </w:tr>
      <w:tr w:rsidR="00421A10" w:rsidRPr="00DB58B5" w14:paraId="227B63D6" w14:textId="77777777" w:rsidTr="00A27C92">
        <w:trPr>
          <w:trHeight w:hRule="exact" w:val="2835"/>
        </w:trPr>
        <w:tc>
          <w:tcPr>
            <w:tcW w:w="6804" w:type="dxa"/>
            <w:tcBorders>
              <w:top w:val="single" w:sz="4" w:space="0" w:color="auto"/>
              <w:bottom w:val="single" w:sz="12" w:space="0" w:color="auto"/>
            </w:tcBorders>
            <w:shd w:val="clear" w:color="auto" w:fill="auto"/>
          </w:tcPr>
          <w:p w14:paraId="523C4B64" w14:textId="77777777" w:rsidR="00421A10" w:rsidRPr="00B40D7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E2527F9" w14:textId="77777777" w:rsidR="00421A10" w:rsidRPr="00DB58B5" w:rsidRDefault="00B40D7D" w:rsidP="00A27C92">
            <w:pPr>
              <w:spacing w:before="480" w:line="240" w:lineRule="exact"/>
            </w:pPr>
            <w:r>
              <w:t>3 décembre 2021</w:t>
            </w:r>
          </w:p>
        </w:tc>
      </w:tr>
    </w:tbl>
    <w:p w14:paraId="1F591179" w14:textId="77777777" w:rsidR="00B40D7D" w:rsidRPr="00BB43FC" w:rsidRDefault="00B40D7D" w:rsidP="00B40D7D">
      <w:pPr>
        <w:keepNext/>
        <w:keepLines/>
        <w:tabs>
          <w:tab w:val="right" w:pos="851"/>
        </w:tabs>
        <w:kinsoku/>
        <w:overflowPunct/>
        <w:autoSpaceDE/>
        <w:autoSpaceDN/>
        <w:adjustRightInd/>
        <w:snapToGrid/>
        <w:spacing w:before="240" w:after="120" w:line="300" w:lineRule="exact"/>
        <w:ind w:left="1134" w:right="1134" w:hanging="1134"/>
        <w:rPr>
          <w:rFonts w:eastAsia="Times New Roman"/>
          <w:b/>
          <w:sz w:val="28"/>
          <w:lang w:val="fr-FR"/>
        </w:rPr>
      </w:pPr>
      <w:r w:rsidRPr="00BB43FC">
        <w:rPr>
          <w:rFonts w:eastAsia="Times New Roman"/>
          <w:b/>
          <w:sz w:val="28"/>
          <w:lang w:val="fr-FR"/>
        </w:rPr>
        <w:tab/>
      </w:r>
      <w:r w:rsidRPr="00BB43FC">
        <w:rPr>
          <w:rFonts w:eastAsia="Times New Roman"/>
          <w:b/>
          <w:sz w:val="28"/>
          <w:lang w:val="fr-FR"/>
        </w:rPr>
        <w:tab/>
        <w:t>Accord</w:t>
      </w:r>
    </w:p>
    <w:p w14:paraId="370002A9" w14:textId="77C2784F" w:rsidR="00B40D7D" w:rsidRPr="00BB43FC" w:rsidRDefault="00B40D7D" w:rsidP="00B40D7D">
      <w:pPr>
        <w:keepNext/>
        <w:keepLines/>
        <w:tabs>
          <w:tab w:val="right" w:pos="851"/>
        </w:tabs>
        <w:kinsoku/>
        <w:overflowPunct/>
        <w:autoSpaceDE/>
        <w:autoSpaceDN/>
        <w:adjustRightInd/>
        <w:snapToGrid/>
        <w:spacing w:before="240" w:after="240" w:line="270" w:lineRule="exact"/>
        <w:ind w:left="1134" w:right="1134" w:hanging="1134"/>
        <w:rPr>
          <w:rFonts w:eastAsia="Times New Roman"/>
          <w:b/>
          <w:sz w:val="24"/>
          <w:lang w:val="fr-FR"/>
        </w:rPr>
      </w:pPr>
      <w:r w:rsidRPr="00BB43FC">
        <w:rPr>
          <w:rFonts w:eastAsia="Times New Roman"/>
          <w:sz w:val="24"/>
          <w:lang w:val="fr-FR"/>
        </w:rPr>
        <w:tab/>
      </w:r>
      <w:r w:rsidRPr="00BB43FC">
        <w:rPr>
          <w:rFonts w:eastAsia="Times New Roman"/>
          <w:sz w:val="24"/>
          <w:lang w:val="fr-FR"/>
        </w:rPr>
        <w:tab/>
      </w:r>
      <w:r w:rsidRPr="00BB43FC">
        <w:rPr>
          <w:rFonts w:eastAsia="Times New Roman"/>
          <w:b/>
          <w:sz w:val="24"/>
          <w:lang w:val="fr-FR"/>
        </w:rPr>
        <w:t>Concernant l</w:t>
      </w:r>
      <w:r>
        <w:rPr>
          <w:rFonts w:eastAsia="Times New Roman"/>
          <w:b/>
          <w:sz w:val="24"/>
          <w:lang w:val="fr-FR"/>
        </w:rPr>
        <w:t>’</w:t>
      </w:r>
      <w:r w:rsidRPr="00BB43FC">
        <w:rPr>
          <w:rFonts w:eastAsia="Times New Roman"/>
          <w:b/>
          <w:sz w:val="24"/>
          <w:lang w:val="fr-FR"/>
        </w:rPr>
        <w:t>adoption de Règlements techniques harmonisés de l</w:t>
      </w:r>
      <w:r>
        <w:rPr>
          <w:rFonts w:eastAsia="Times New Roman"/>
          <w:b/>
          <w:sz w:val="24"/>
          <w:lang w:val="fr-FR"/>
        </w:rPr>
        <w:t>’</w:t>
      </w:r>
      <w:r w:rsidRPr="00BB43FC">
        <w:rPr>
          <w:rFonts w:eastAsia="Times New Roman"/>
          <w:b/>
          <w:sz w:val="24"/>
          <w:lang w:val="fr-FR"/>
        </w:rPr>
        <w:t>ONU applicables aux véhicules à roues et aux équipements et pièces susceptibles d</w:t>
      </w:r>
      <w:r>
        <w:rPr>
          <w:rFonts w:eastAsia="Times New Roman"/>
          <w:b/>
          <w:sz w:val="24"/>
          <w:lang w:val="fr-FR"/>
        </w:rPr>
        <w:t>’</w:t>
      </w:r>
      <w:r w:rsidRPr="00BB43FC">
        <w:rPr>
          <w:rFonts w:eastAsia="Times New Roman"/>
          <w:b/>
          <w:sz w:val="24"/>
          <w:lang w:val="fr-FR"/>
        </w:rPr>
        <w:t>être montés ou utilisés sur les véhicules à roues et les conditions de reconnaissance réciproque des homologations délivrées conformément à ces Règlements</w:t>
      </w:r>
      <w:r w:rsidRPr="00B40D7D">
        <w:rPr>
          <w:rFonts w:eastAsia="Times New Roman"/>
          <w:bCs/>
          <w:szCs w:val="16"/>
          <w:lang w:val="fr-FR"/>
        </w:rPr>
        <w:footnoteReference w:customMarkFollows="1" w:id="2"/>
        <w:t>*</w:t>
      </w:r>
    </w:p>
    <w:p w14:paraId="1672CD9C" w14:textId="77777777" w:rsidR="00B40D7D" w:rsidRPr="00BB43FC" w:rsidRDefault="00B40D7D" w:rsidP="00B40D7D">
      <w:pPr>
        <w:kinsoku/>
        <w:overflowPunct/>
        <w:autoSpaceDE/>
        <w:autoSpaceDN/>
        <w:adjustRightInd/>
        <w:snapToGrid/>
        <w:spacing w:before="120" w:after="120"/>
        <w:ind w:left="1134" w:right="1134"/>
        <w:jc w:val="both"/>
        <w:rPr>
          <w:rFonts w:eastAsia="Times New Roman"/>
          <w:lang w:val="fr-FR"/>
        </w:rPr>
      </w:pPr>
      <w:r w:rsidRPr="00BB43FC">
        <w:rPr>
          <w:rFonts w:eastAsia="Times New Roman"/>
          <w:lang w:val="fr-FR"/>
        </w:rPr>
        <w:t>(Révision 3, comprenant les amendements entrés en vigueur le 14 septembre 2017)</w:t>
      </w:r>
    </w:p>
    <w:p w14:paraId="4D46A6B3" w14:textId="77777777" w:rsidR="00B40D7D" w:rsidRPr="00BB43FC" w:rsidRDefault="00B40D7D" w:rsidP="00B40D7D">
      <w:pPr>
        <w:keepNext/>
        <w:keepLines/>
        <w:tabs>
          <w:tab w:val="right" w:pos="851"/>
        </w:tabs>
        <w:kinsoku/>
        <w:overflowPunct/>
        <w:autoSpaceDE/>
        <w:autoSpaceDN/>
        <w:adjustRightInd/>
        <w:snapToGrid/>
        <w:spacing w:before="120" w:after="240" w:line="270" w:lineRule="exact"/>
        <w:jc w:val="center"/>
        <w:rPr>
          <w:rFonts w:eastAsia="Times New Roman"/>
          <w:b/>
          <w:sz w:val="24"/>
          <w:lang w:val="fr-FR"/>
        </w:rPr>
      </w:pPr>
      <w:r w:rsidRPr="00BB43FC">
        <w:rPr>
          <w:rFonts w:eastAsia="Times New Roman"/>
          <w:b/>
          <w:sz w:val="24"/>
          <w:lang w:val="fr-FR"/>
        </w:rPr>
        <w:t>_________</w:t>
      </w:r>
    </w:p>
    <w:p w14:paraId="2A75F061" w14:textId="2B324471" w:rsidR="00B40D7D" w:rsidRPr="00BB43FC" w:rsidRDefault="00B40D7D" w:rsidP="00B40D7D">
      <w:pPr>
        <w:keepNext/>
        <w:keepLines/>
        <w:tabs>
          <w:tab w:val="right" w:pos="851"/>
        </w:tabs>
        <w:kinsoku/>
        <w:overflowPunct/>
        <w:autoSpaceDE/>
        <w:autoSpaceDN/>
        <w:adjustRightInd/>
        <w:snapToGrid/>
        <w:spacing w:before="240" w:after="120" w:line="270" w:lineRule="exact"/>
        <w:ind w:left="1134" w:right="1134" w:hanging="1134"/>
        <w:rPr>
          <w:rFonts w:eastAsia="Times New Roman"/>
          <w:b/>
          <w:sz w:val="24"/>
          <w:lang w:val="fr-FR"/>
        </w:rPr>
      </w:pPr>
      <w:r w:rsidRPr="00BB43FC">
        <w:rPr>
          <w:rFonts w:eastAsia="Times New Roman"/>
          <w:b/>
          <w:sz w:val="24"/>
          <w:lang w:val="fr-FR"/>
        </w:rPr>
        <w:tab/>
      </w:r>
      <w:r w:rsidRPr="00BB43FC">
        <w:rPr>
          <w:rFonts w:eastAsia="Times New Roman"/>
          <w:b/>
          <w:sz w:val="24"/>
          <w:lang w:val="fr-FR"/>
        </w:rPr>
        <w:tab/>
        <w:t xml:space="preserve">Additif 64 </w:t>
      </w:r>
      <w:r>
        <w:rPr>
          <w:rFonts w:eastAsia="Times New Roman"/>
          <w:b/>
          <w:sz w:val="24"/>
          <w:lang w:val="fr-FR"/>
        </w:rPr>
        <w:t>−</w:t>
      </w:r>
      <w:r w:rsidRPr="00BB43FC">
        <w:rPr>
          <w:rFonts w:eastAsia="Times New Roman"/>
          <w:b/>
          <w:sz w:val="24"/>
          <w:lang w:val="fr-FR"/>
        </w:rPr>
        <w:t xml:space="preserve"> Règlement ONU n</w:t>
      </w:r>
      <w:r w:rsidRPr="00BB43FC">
        <w:rPr>
          <w:rFonts w:eastAsia="Times New Roman"/>
          <w:b/>
          <w:sz w:val="24"/>
          <w:vertAlign w:val="superscript"/>
          <w:lang w:val="fr-FR"/>
        </w:rPr>
        <w:t>o</w:t>
      </w:r>
      <w:r w:rsidRPr="00BB43FC">
        <w:rPr>
          <w:rFonts w:eastAsia="Times New Roman"/>
          <w:b/>
          <w:sz w:val="24"/>
          <w:lang w:val="fr-FR"/>
        </w:rPr>
        <w:t xml:space="preserve"> 65</w:t>
      </w:r>
    </w:p>
    <w:p w14:paraId="09937A6E" w14:textId="2292D18E" w:rsidR="00B40D7D" w:rsidRPr="00BB43FC" w:rsidRDefault="00B40D7D" w:rsidP="00B40D7D">
      <w:pPr>
        <w:keepNext/>
        <w:keepLines/>
        <w:tabs>
          <w:tab w:val="right" w:pos="851"/>
        </w:tabs>
        <w:kinsoku/>
        <w:overflowPunct/>
        <w:autoSpaceDE/>
        <w:autoSpaceDN/>
        <w:adjustRightInd/>
        <w:snapToGrid/>
        <w:spacing w:before="240" w:after="240" w:line="270" w:lineRule="exact"/>
        <w:ind w:left="1134" w:right="1134" w:hanging="1134"/>
        <w:rPr>
          <w:rFonts w:eastAsia="Times New Roman"/>
          <w:b/>
          <w:sz w:val="24"/>
          <w:lang w:val="fr-FR"/>
        </w:rPr>
      </w:pPr>
      <w:r w:rsidRPr="00BB43FC">
        <w:rPr>
          <w:rFonts w:eastAsia="Times New Roman"/>
          <w:b/>
          <w:sz w:val="24"/>
          <w:lang w:val="fr-FR"/>
        </w:rPr>
        <w:tab/>
      </w:r>
      <w:r w:rsidRPr="00BB43FC">
        <w:rPr>
          <w:rFonts w:eastAsia="Times New Roman"/>
          <w:b/>
          <w:sz w:val="24"/>
          <w:lang w:val="fr-FR"/>
        </w:rPr>
        <w:tab/>
        <w:t xml:space="preserve">Révision 2 </w:t>
      </w:r>
      <w:r>
        <w:rPr>
          <w:rFonts w:eastAsia="Times New Roman"/>
          <w:b/>
          <w:sz w:val="24"/>
          <w:lang w:val="fr-FR"/>
        </w:rPr>
        <w:t>−</w:t>
      </w:r>
      <w:r w:rsidRPr="00BB43FC">
        <w:rPr>
          <w:rFonts w:eastAsia="Times New Roman"/>
          <w:b/>
          <w:sz w:val="24"/>
          <w:lang w:val="fr-FR"/>
        </w:rPr>
        <w:t xml:space="preserve"> Amendement 4</w:t>
      </w:r>
    </w:p>
    <w:p w14:paraId="79CC827C" w14:textId="334D67CB" w:rsidR="00B40D7D" w:rsidRPr="00BB43FC" w:rsidRDefault="00B40D7D" w:rsidP="00B40D7D">
      <w:pPr>
        <w:kinsoku/>
        <w:overflowPunct/>
        <w:autoSpaceDE/>
        <w:autoSpaceDN/>
        <w:adjustRightInd/>
        <w:snapToGrid/>
        <w:spacing w:after="360"/>
        <w:ind w:left="1134" w:right="1134"/>
        <w:jc w:val="both"/>
        <w:rPr>
          <w:rFonts w:eastAsia="Times New Roman"/>
          <w:spacing w:val="-2"/>
          <w:lang w:val="fr-FR"/>
        </w:rPr>
      </w:pPr>
      <w:r w:rsidRPr="00BB43FC">
        <w:rPr>
          <w:rFonts w:eastAsia="Times New Roman"/>
          <w:spacing w:val="-2"/>
          <w:lang w:val="fr-FR"/>
        </w:rPr>
        <w:t>Complément 11 à la version originale du Règlement − Date d</w:t>
      </w:r>
      <w:r>
        <w:rPr>
          <w:rFonts w:eastAsia="Times New Roman"/>
          <w:spacing w:val="-2"/>
          <w:lang w:val="fr-FR"/>
        </w:rPr>
        <w:t>’</w:t>
      </w:r>
      <w:r w:rsidRPr="00BB43FC">
        <w:rPr>
          <w:rFonts w:eastAsia="Times New Roman"/>
          <w:spacing w:val="-2"/>
          <w:lang w:val="fr-FR"/>
        </w:rPr>
        <w:t xml:space="preserve">entrée en vigueur : </w:t>
      </w:r>
      <w:r w:rsidRPr="00BB43FC">
        <w:rPr>
          <w:rFonts w:eastAsia="Times New Roman"/>
          <w:lang w:val="fr-FR"/>
        </w:rPr>
        <w:t>30</w:t>
      </w:r>
      <w:r>
        <w:rPr>
          <w:rFonts w:eastAsia="Times New Roman"/>
          <w:lang w:val="fr-FR"/>
        </w:rPr>
        <w:t> </w:t>
      </w:r>
      <w:r w:rsidRPr="00BB43FC">
        <w:rPr>
          <w:rFonts w:eastAsia="Times New Roman"/>
          <w:lang w:val="fr-FR"/>
        </w:rPr>
        <w:t>septembre 2021</w:t>
      </w:r>
    </w:p>
    <w:p w14:paraId="35B6B58D" w14:textId="2529FAD9" w:rsidR="00B40D7D" w:rsidRPr="00BB43FC" w:rsidRDefault="00B40D7D" w:rsidP="00B40D7D">
      <w:pPr>
        <w:keepNext/>
        <w:keepLines/>
        <w:tabs>
          <w:tab w:val="right" w:pos="851"/>
        </w:tabs>
        <w:kinsoku/>
        <w:overflowPunct/>
        <w:autoSpaceDE/>
        <w:autoSpaceDN/>
        <w:adjustRightInd/>
        <w:snapToGrid/>
        <w:spacing w:before="120" w:after="120" w:line="240" w:lineRule="exact"/>
        <w:ind w:left="1134" w:right="1134" w:hanging="1134"/>
        <w:rPr>
          <w:rFonts w:eastAsia="Times New Roman"/>
          <w:b/>
          <w:sz w:val="24"/>
          <w:lang w:val="fr-FR"/>
        </w:rPr>
      </w:pPr>
      <w:r w:rsidRPr="00BB43FC">
        <w:rPr>
          <w:rFonts w:eastAsia="Times New Roman"/>
          <w:b/>
          <w:sz w:val="24"/>
          <w:lang w:val="fr-FR"/>
        </w:rPr>
        <w:tab/>
      </w:r>
      <w:r w:rsidRPr="00BB43FC">
        <w:rPr>
          <w:rFonts w:eastAsia="Times New Roman"/>
          <w:b/>
          <w:sz w:val="24"/>
          <w:lang w:val="fr-FR"/>
        </w:rPr>
        <w:tab/>
        <w:t>Prescriptions uniformes relatives à l</w:t>
      </w:r>
      <w:r>
        <w:rPr>
          <w:rFonts w:eastAsia="Times New Roman"/>
          <w:b/>
          <w:sz w:val="24"/>
          <w:lang w:val="fr-FR"/>
        </w:rPr>
        <w:t>’</w:t>
      </w:r>
      <w:r w:rsidRPr="00BB43FC">
        <w:rPr>
          <w:rFonts w:eastAsia="Times New Roman"/>
          <w:b/>
          <w:sz w:val="24"/>
          <w:lang w:val="fr-FR"/>
        </w:rPr>
        <w:t>homologation des feux spéciaux d</w:t>
      </w:r>
      <w:r>
        <w:rPr>
          <w:rFonts w:eastAsia="Times New Roman"/>
          <w:b/>
          <w:sz w:val="24"/>
          <w:lang w:val="fr-FR"/>
        </w:rPr>
        <w:t>’</w:t>
      </w:r>
      <w:r w:rsidRPr="00BB43FC">
        <w:rPr>
          <w:rFonts w:eastAsia="Times New Roman"/>
          <w:b/>
          <w:sz w:val="24"/>
          <w:lang w:val="fr-FR"/>
        </w:rPr>
        <w:t>avertissement pour véhicules à moteur et leurs remorques</w:t>
      </w:r>
    </w:p>
    <w:p w14:paraId="651B6A6A" w14:textId="7D771D28" w:rsidR="00B40D7D" w:rsidRDefault="00B40D7D" w:rsidP="00B40D7D">
      <w:pPr>
        <w:kinsoku/>
        <w:overflowPunct/>
        <w:autoSpaceDE/>
        <w:autoSpaceDN/>
        <w:adjustRightInd/>
        <w:snapToGrid/>
        <w:spacing w:after="360"/>
        <w:ind w:left="1134" w:right="1134"/>
        <w:jc w:val="both"/>
        <w:rPr>
          <w:rFonts w:eastAsia="Times New Roman"/>
          <w:spacing w:val="-6"/>
          <w:lang w:val="fr-FR" w:eastAsia="en-GB"/>
        </w:rPr>
      </w:pPr>
      <w:r>
        <w:rPr>
          <w:noProof/>
          <w:lang w:eastAsia="fr-CH"/>
        </w:rPr>
        <mc:AlternateContent>
          <mc:Choice Requires="wps">
            <w:drawing>
              <wp:anchor distT="0" distB="0" distL="114300" distR="114300" simplePos="0" relativeHeight="251658240" behindDoc="0" locked="0" layoutInCell="1" allowOverlap="1" wp14:anchorId="7206424A" wp14:editId="3633E620">
                <wp:simplePos x="0" y="0"/>
                <wp:positionH relativeFrom="margin">
                  <wp:posOffset>0</wp:posOffset>
                </wp:positionH>
                <wp:positionV relativeFrom="margin">
                  <wp:posOffset>5988050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5A593897" w14:textId="77777777" w:rsidR="00442E31" w:rsidRPr="0029791D" w:rsidRDefault="00442E31" w:rsidP="00C9521D">
                            <w:pPr>
                              <w:ind w:left="1134" w:right="1134"/>
                              <w:jc w:val="center"/>
                            </w:pPr>
                            <w:r>
                              <w:t>_______________</w:t>
                            </w:r>
                          </w:p>
                          <w:p w14:paraId="2BDCD88A" w14:textId="77777777" w:rsidR="00442E31" w:rsidRDefault="00442E31" w:rsidP="00C9521D">
                            <w:pPr>
                              <w:jc w:val="center"/>
                              <w:rPr>
                                <w:b/>
                                <w:bCs/>
                                <w:sz w:val="22"/>
                              </w:rPr>
                            </w:pPr>
                            <w:r>
                              <w:rPr>
                                <w:noProof/>
                                <w:lang w:eastAsia="fr-CH"/>
                              </w:rPr>
                              <w:drawing>
                                <wp:inline distT="0" distB="0" distL="0" distR="0" wp14:anchorId="2CA38ECD" wp14:editId="19AA1E8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26BFE3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6424A" id="_x0000_t202" coordsize="21600,21600" o:spt="202" path="m,l,21600r21600,l21600,xe">
                <v:stroke joinstyle="miter"/>
                <v:path gradientshapeok="t" o:connecttype="rect"/>
              </v:shapetype>
              <v:shape id="Zone de texte 4" o:spid="_x0000_s1026" type="#_x0000_t202" style="position:absolute;left:0;text-align:left;margin-left:0;margin-top:471.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" stroked="f">
                <v:textbox inset="0,0,0,0">
                  <w:txbxContent>
                    <w:p w14:paraId="5A593897" w14:textId="77777777" w:rsidR="00442E31" w:rsidRPr="0029791D" w:rsidRDefault="00442E31" w:rsidP="00C9521D">
                      <w:pPr>
                        <w:ind w:left="1134" w:right="1134"/>
                        <w:jc w:val="center"/>
                      </w:pPr>
                      <w:r>
                        <w:t>_______________</w:t>
                      </w:r>
                    </w:p>
                    <w:p w14:paraId="2BDCD88A" w14:textId="77777777" w:rsidR="00442E31" w:rsidRDefault="00442E31" w:rsidP="00C9521D">
                      <w:pPr>
                        <w:jc w:val="center"/>
                        <w:rPr>
                          <w:b/>
                          <w:bCs/>
                          <w:sz w:val="22"/>
                        </w:rPr>
                      </w:pPr>
                      <w:r>
                        <w:rPr>
                          <w:noProof/>
                          <w:lang w:eastAsia="fr-CH"/>
                        </w:rPr>
                        <w:drawing>
                          <wp:inline distT="0" distB="0" distL="0" distR="0" wp14:anchorId="2CA38ECD" wp14:editId="19AA1E8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26BFE3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BB43FC">
        <w:rPr>
          <w:rFonts w:eastAsia="Times New Roman"/>
          <w:spacing w:val="-4"/>
          <w:lang w:val="fr-FR" w:eastAsia="en-GB"/>
        </w:rPr>
        <w:t>Le présent document est communiqué uniquement à titre d</w:t>
      </w:r>
      <w:r>
        <w:rPr>
          <w:rFonts w:eastAsia="Times New Roman"/>
          <w:spacing w:val="-4"/>
          <w:lang w:val="fr-FR" w:eastAsia="en-GB"/>
        </w:rPr>
        <w:t>’</w:t>
      </w:r>
      <w:r w:rsidRPr="00BB43FC">
        <w:rPr>
          <w:rFonts w:eastAsia="Times New Roman"/>
          <w:spacing w:val="-4"/>
          <w:lang w:val="fr-FR" w:eastAsia="en-GB"/>
        </w:rPr>
        <w:t>information. Le texte authentique, juridiquement contraignant, est celui du document</w:t>
      </w:r>
      <w:r>
        <w:rPr>
          <w:rFonts w:eastAsia="Times New Roman"/>
          <w:lang w:val="fr-FR" w:eastAsia="en-GB"/>
        </w:rPr>
        <w:t xml:space="preserve"> </w:t>
      </w:r>
      <w:r w:rsidRPr="00BB43FC">
        <w:rPr>
          <w:rFonts w:eastAsia="Times New Roman"/>
          <w:spacing w:val="-6"/>
          <w:lang w:val="fr-FR" w:eastAsia="en-GB"/>
        </w:rPr>
        <w:t>ECE/TRANS/WP.29/2021/34.</w:t>
      </w:r>
    </w:p>
    <w:p w14:paraId="5DA67872" w14:textId="77777777" w:rsidR="00B40D7D" w:rsidRDefault="00B40D7D">
      <w:pPr>
        <w:suppressAutoHyphens w:val="0"/>
        <w:kinsoku/>
        <w:overflowPunct/>
        <w:autoSpaceDE/>
        <w:autoSpaceDN/>
        <w:adjustRightInd/>
        <w:snapToGrid/>
        <w:spacing w:line="240" w:lineRule="auto"/>
        <w:rPr>
          <w:rFonts w:eastAsia="Times New Roman"/>
          <w:spacing w:val="-6"/>
          <w:lang w:val="fr-FR" w:eastAsia="en-GB"/>
        </w:rPr>
      </w:pPr>
      <w:r>
        <w:rPr>
          <w:rFonts w:eastAsia="Times New Roman"/>
          <w:spacing w:val="-6"/>
          <w:lang w:val="fr-FR" w:eastAsia="en-GB"/>
        </w:rPr>
        <w:br w:type="page"/>
      </w:r>
    </w:p>
    <w:p w14:paraId="3905C227" w14:textId="77777777" w:rsidR="00B40D7D" w:rsidRPr="00B40D7D" w:rsidRDefault="00B40D7D" w:rsidP="00B40D7D">
      <w:pPr>
        <w:pStyle w:val="SingleTxtG"/>
        <w:rPr>
          <w:lang w:val="fr-FR"/>
        </w:rPr>
      </w:pPr>
      <w:r w:rsidRPr="00B40D7D">
        <w:rPr>
          <w:i/>
          <w:iCs/>
          <w:lang w:val="fr-FR"/>
        </w:rPr>
        <w:lastRenderedPageBreak/>
        <w:t>Paragraphe 1.3</w:t>
      </w:r>
      <w:r w:rsidRPr="00B40D7D">
        <w:rPr>
          <w:lang w:val="fr-FR"/>
        </w:rPr>
        <w:t>, lire :</w:t>
      </w:r>
    </w:p>
    <w:p w14:paraId="2CF61E12" w14:textId="77777777" w:rsidR="00B40D7D" w:rsidRPr="00B40D7D" w:rsidRDefault="00B40D7D" w:rsidP="00B40D7D">
      <w:pPr>
        <w:pStyle w:val="SingleTxtG"/>
        <w:tabs>
          <w:tab w:val="left" w:pos="2268"/>
        </w:tabs>
        <w:ind w:left="2268" w:hanging="1134"/>
        <w:rPr>
          <w:iCs/>
          <w:lang w:val="fr-FR"/>
        </w:rPr>
      </w:pPr>
      <w:r w:rsidRPr="00B40D7D">
        <w:rPr>
          <w:lang w:val="fr-FR"/>
        </w:rPr>
        <w:t>« 1.3</w:t>
      </w:r>
      <w:r w:rsidRPr="00B40D7D">
        <w:rPr>
          <w:lang w:val="fr-FR"/>
        </w:rPr>
        <w:tab/>
        <w:t>Par “fréquence f”, le nombre d’éclats ou de groupes d’éclats (voir annexe</w:t>
      </w:r>
      <w:r w:rsidRPr="00B40D7D">
        <w:rPr>
          <w:b/>
          <w:bCs/>
          <w:lang w:val="fr-FR"/>
        </w:rPr>
        <w:t> </w:t>
      </w:r>
      <w:r w:rsidRPr="00B40D7D">
        <w:rPr>
          <w:lang w:val="fr-FR"/>
        </w:rPr>
        <w:t>5, par. 6) en une seconde ; ».</w:t>
      </w:r>
    </w:p>
    <w:p w14:paraId="78EC7273" w14:textId="77777777" w:rsidR="00B40D7D" w:rsidRPr="00B40D7D" w:rsidRDefault="00B40D7D" w:rsidP="00B40D7D">
      <w:pPr>
        <w:pStyle w:val="SingleTxtG"/>
        <w:rPr>
          <w:rFonts w:ascii="Arial" w:eastAsia="MS Mincho" w:hAnsi="Arial" w:cs="Arial"/>
          <w:b/>
          <w:bCs/>
          <w:lang w:val="fr-FR"/>
        </w:rPr>
      </w:pPr>
      <w:r w:rsidRPr="00B40D7D">
        <w:rPr>
          <w:rFonts w:eastAsia="Calibri"/>
          <w:i/>
          <w:iCs/>
          <w:lang w:val="fr-FR"/>
        </w:rPr>
        <w:t>Paragraphe 1.4</w:t>
      </w:r>
      <w:r w:rsidRPr="00B40D7D">
        <w:rPr>
          <w:rFonts w:eastAsia="Calibri"/>
          <w:lang w:val="fr-FR"/>
        </w:rPr>
        <w:t>, lire :</w:t>
      </w:r>
    </w:p>
    <w:p w14:paraId="21EFA4C8" w14:textId="77777777" w:rsidR="00B40D7D" w:rsidRPr="00B40D7D" w:rsidRDefault="00B40D7D" w:rsidP="00B40D7D">
      <w:pPr>
        <w:pStyle w:val="SingleTxtG"/>
        <w:tabs>
          <w:tab w:val="left" w:pos="2268"/>
        </w:tabs>
        <w:ind w:left="2268" w:hanging="1134"/>
        <w:rPr>
          <w:rFonts w:eastAsia="Calibri"/>
          <w:bCs/>
          <w:lang w:val="fr-FR"/>
        </w:rPr>
      </w:pPr>
      <w:r w:rsidRPr="00B40D7D">
        <w:rPr>
          <w:lang w:val="fr-FR"/>
        </w:rPr>
        <w:t>«</w:t>
      </w:r>
      <w:r w:rsidRPr="00B40D7D">
        <w:rPr>
          <w:rFonts w:eastAsia="Calibri"/>
          <w:lang w:val="fr-FR"/>
        </w:rPr>
        <w:t> 1.4</w:t>
      </w:r>
      <w:r w:rsidRPr="00B40D7D">
        <w:rPr>
          <w:rFonts w:eastAsia="Calibri"/>
          <w:lang w:val="fr-FR"/>
        </w:rPr>
        <w:tab/>
        <w:t>Par “</w:t>
      </w:r>
      <w:r w:rsidRPr="00B40D7D">
        <w:rPr>
          <w:rFonts w:eastAsia="Calibri"/>
          <w:i/>
          <w:iCs/>
          <w:lang w:val="fr-FR"/>
        </w:rPr>
        <w:t>temps d’allumage</w:t>
      </w:r>
      <w:r w:rsidRPr="00B40D7D">
        <w:rPr>
          <w:rFonts w:eastAsia="Calibri"/>
          <w:lang w:val="fr-FR"/>
        </w:rPr>
        <w:t>” t</w:t>
      </w:r>
      <w:r w:rsidRPr="00B40D7D">
        <w:rPr>
          <w:rFonts w:eastAsia="Calibri"/>
          <w:vertAlign w:val="subscript"/>
          <w:lang w:val="fr-FR"/>
        </w:rPr>
        <w:t>H</w:t>
      </w:r>
      <w:r w:rsidRPr="00B40D7D">
        <w:rPr>
          <w:rFonts w:eastAsia="Calibri"/>
          <w:lang w:val="fr-FR"/>
        </w:rPr>
        <w:t>, le laps de temps pendant lequel l’intensité lumineuse de l’éclat est supérieure au dixième de la valeur maximale (valeur de crête) J</w:t>
      </w:r>
      <w:r w:rsidRPr="00B40D7D">
        <w:rPr>
          <w:rFonts w:eastAsia="Calibri"/>
          <w:vertAlign w:val="subscript"/>
          <w:lang w:val="fr-FR"/>
        </w:rPr>
        <w:t>m</w:t>
      </w:r>
      <w:r w:rsidRPr="00B40D7D">
        <w:rPr>
          <w:rFonts w:eastAsia="Calibri"/>
          <w:lang w:val="fr-FR"/>
        </w:rPr>
        <w:t>. Dans le cas de groupes de plusieurs éclats, le temps d’allumage est mesuré à partir du début du premier éclat du groupe jusqu’à la fin du dernier éclat du même groupe. ».</w:t>
      </w:r>
    </w:p>
    <w:p w14:paraId="01916201" w14:textId="77777777" w:rsidR="00B40D7D" w:rsidRPr="00B40D7D" w:rsidRDefault="00B40D7D" w:rsidP="00B40D7D">
      <w:pPr>
        <w:pStyle w:val="SingleTxtG"/>
        <w:rPr>
          <w:rFonts w:ascii="Arial" w:eastAsia="MS Mincho" w:hAnsi="Arial" w:cs="Arial"/>
          <w:b/>
          <w:bCs/>
          <w:lang w:val="fr-FR"/>
        </w:rPr>
      </w:pPr>
      <w:r w:rsidRPr="00B40D7D">
        <w:rPr>
          <w:rFonts w:eastAsia="Calibri"/>
          <w:i/>
          <w:iCs/>
          <w:lang w:val="fr-FR"/>
        </w:rPr>
        <w:t>Paragraphe 1.5</w:t>
      </w:r>
      <w:r w:rsidRPr="00B40D7D">
        <w:rPr>
          <w:rFonts w:eastAsia="Calibri"/>
          <w:lang w:val="fr-FR"/>
        </w:rPr>
        <w:t>, lire :</w:t>
      </w:r>
    </w:p>
    <w:p w14:paraId="41696F91" w14:textId="77777777" w:rsidR="00B40D7D" w:rsidRPr="00B40D7D" w:rsidRDefault="00B40D7D" w:rsidP="00B40D7D">
      <w:pPr>
        <w:pStyle w:val="SingleTxtG"/>
        <w:tabs>
          <w:tab w:val="left" w:pos="2268"/>
        </w:tabs>
        <w:ind w:left="2268" w:hanging="1134"/>
        <w:rPr>
          <w:rFonts w:eastAsia="Calibri"/>
          <w:iCs/>
          <w:lang w:val="fr-FR"/>
        </w:rPr>
      </w:pPr>
      <w:r w:rsidRPr="00B40D7D">
        <w:rPr>
          <w:rFonts w:eastAsia="Calibri"/>
          <w:lang w:val="fr-FR"/>
        </w:rPr>
        <w:t>« 1.5</w:t>
      </w:r>
      <w:r w:rsidRPr="00B40D7D">
        <w:rPr>
          <w:rFonts w:eastAsia="Calibri"/>
          <w:lang w:val="fr-FR"/>
        </w:rPr>
        <w:tab/>
        <w:t>Par “</w:t>
      </w:r>
      <w:r w:rsidRPr="00B40D7D">
        <w:rPr>
          <w:rFonts w:eastAsia="Calibri"/>
          <w:i/>
          <w:iCs/>
          <w:lang w:val="fr-FR"/>
        </w:rPr>
        <w:t>temps d’extinction</w:t>
      </w:r>
      <w:r w:rsidRPr="00B40D7D">
        <w:rPr>
          <w:rFonts w:eastAsia="Calibri"/>
          <w:lang w:val="fr-FR"/>
        </w:rPr>
        <w:t>” t</w:t>
      </w:r>
      <w:r w:rsidRPr="00B40D7D">
        <w:rPr>
          <w:rFonts w:eastAsia="Calibri"/>
          <w:vertAlign w:val="subscript"/>
          <w:lang w:val="fr-FR"/>
        </w:rPr>
        <w:t>D</w:t>
      </w:r>
      <w:r w:rsidRPr="00B40D7D">
        <w:rPr>
          <w:rFonts w:eastAsia="Calibri"/>
          <w:lang w:val="fr-FR"/>
        </w:rPr>
        <w:t>, le laps de temps pendant lequel l’intensité lumineuse du feu à éclats est inférieure à 1/100 de la valeur maximale (valeur de crête) J</w:t>
      </w:r>
      <w:r w:rsidRPr="00B40D7D">
        <w:rPr>
          <w:rFonts w:eastAsia="Calibri"/>
          <w:vertAlign w:val="subscript"/>
          <w:lang w:val="fr-FR"/>
        </w:rPr>
        <w:t>m</w:t>
      </w:r>
      <w:r w:rsidRPr="00B40D7D">
        <w:rPr>
          <w:rFonts w:eastAsia="Calibri"/>
          <w:lang w:val="fr-FR"/>
        </w:rPr>
        <w:t>, mais ne dépasse pas 10 cd. Dans le cas de groupes de plusieurs</w:t>
      </w:r>
      <w:r w:rsidRPr="00B40D7D">
        <w:rPr>
          <w:rFonts w:eastAsia="Calibri"/>
          <w:b/>
          <w:bCs/>
          <w:lang w:val="fr-FR"/>
        </w:rPr>
        <w:t xml:space="preserve"> </w:t>
      </w:r>
      <w:r w:rsidRPr="00B40D7D">
        <w:rPr>
          <w:rFonts w:eastAsia="Calibri"/>
          <w:lang w:val="fr-FR"/>
        </w:rPr>
        <w:t>éclats, le temps d’extinction doit être mesuré entre la fin du</w:t>
      </w:r>
      <w:r w:rsidRPr="00B40D7D">
        <w:rPr>
          <w:rFonts w:eastAsia="Calibri"/>
          <w:b/>
          <w:bCs/>
          <w:lang w:val="fr-FR"/>
        </w:rPr>
        <w:t xml:space="preserve"> </w:t>
      </w:r>
      <w:r w:rsidRPr="00B40D7D">
        <w:rPr>
          <w:rFonts w:eastAsia="Calibri"/>
          <w:lang w:val="fr-FR"/>
        </w:rPr>
        <w:t>dernier éclat du groupe et le début du premier éclat du groupe suivant. ».</w:t>
      </w:r>
    </w:p>
    <w:p w14:paraId="04E9F827" w14:textId="77777777" w:rsidR="00B40D7D" w:rsidRPr="00B40D7D" w:rsidRDefault="00B40D7D" w:rsidP="00B40D7D">
      <w:pPr>
        <w:pStyle w:val="SingleTxtG"/>
        <w:rPr>
          <w:rFonts w:eastAsia="Calibri"/>
          <w:iCs/>
          <w:lang w:val="fr-FR"/>
        </w:rPr>
      </w:pPr>
      <w:r w:rsidRPr="00B40D7D">
        <w:rPr>
          <w:rFonts w:eastAsia="Calibri"/>
          <w:i/>
          <w:iCs/>
          <w:lang w:val="fr-FR"/>
        </w:rPr>
        <w:t>Paragraphe 2.2.5</w:t>
      </w:r>
      <w:r w:rsidRPr="00B40D7D">
        <w:rPr>
          <w:rFonts w:eastAsia="Calibri"/>
          <w:lang w:val="fr-FR"/>
        </w:rPr>
        <w:t>, lire :</w:t>
      </w:r>
    </w:p>
    <w:p w14:paraId="1EE1B362" w14:textId="77777777" w:rsidR="00B40D7D" w:rsidRPr="00B40D7D" w:rsidRDefault="00B40D7D" w:rsidP="00B40D7D">
      <w:pPr>
        <w:pStyle w:val="SingleTxtG"/>
        <w:tabs>
          <w:tab w:val="left" w:pos="2268"/>
        </w:tabs>
        <w:ind w:left="2268" w:hanging="1134"/>
        <w:rPr>
          <w:rFonts w:eastAsia="Calibri"/>
          <w:iCs/>
          <w:lang w:val="fr-FR"/>
        </w:rPr>
      </w:pPr>
      <w:r w:rsidRPr="00B40D7D">
        <w:rPr>
          <w:rFonts w:eastAsia="Calibri"/>
          <w:lang w:val="fr-FR"/>
        </w:rPr>
        <w:t>« 2.2.5</w:t>
      </w:r>
      <w:r w:rsidRPr="00B40D7D">
        <w:rPr>
          <w:rFonts w:eastAsia="Calibri"/>
          <w:lang w:val="fr-FR"/>
        </w:rPr>
        <w:tab/>
        <w:t>De deux échantillons, en principe pour une tension nominale de 12 volts et d’une seule couleur, et éventuellement de deux autres échantillons pour chaque autre tension nominale, pour le cas où l’homologation serait demandée simultanément ou ultérieurement pour des feux spéciaux d’avertissement d’autres tensions nominales. Dans ce cas, il suffit d’exécuter les essais conformément au paragraphe 5.6 ci-après ; ».</w:t>
      </w:r>
    </w:p>
    <w:p w14:paraId="53AB6774" w14:textId="77777777" w:rsidR="00B40D7D" w:rsidRPr="00B40D7D" w:rsidRDefault="00B40D7D" w:rsidP="00B40D7D">
      <w:pPr>
        <w:pStyle w:val="SingleTxtG"/>
        <w:rPr>
          <w:rFonts w:eastAsia="Calibri"/>
          <w:iCs/>
          <w:lang w:val="fr-FR"/>
        </w:rPr>
      </w:pPr>
      <w:r w:rsidRPr="00B40D7D">
        <w:rPr>
          <w:rFonts w:eastAsia="Calibri"/>
          <w:i/>
          <w:iCs/>
          <w:lang w:val="fr-FR"/>
        </w:rPr>
        <w:t>Annexe 5, paragraphe 7.1</w:t>
      </w:r>
      <w:r w:rsidRPr="00B40D7D">
        <w:rPr>
          <w:rFonts w:eastAsia="Calibri"/>
          <w:lang w:val="fr-FR"/>
        </w:rPr>
        <w:t>, lire :</w:t>
      </w:r>
    </w:p>
    <w:p w14:paraId="71ACB776" w14:textId="77777777" w:rsidR="00B40D7D" w:rsidRPr="00B40D7D" w:rsidRDefault="00B40D7D" w:rsidP="00B40D7D">
      <w:pPr>
        <w:pStyle w:val="SingleTxtG"/>
        <w:tabs>
          <w:tab w:val="left" w:pos="2268"/>
        </w:tabs>
        <w:ind w:left="2268" w:hanging="1134"/>
        <w:rPr>
          <w:rFonts w:eastAsia="Calibri"/>
          <w:lang w:val="fr-FR"/>
        </w:rPr>
      </w:pPr>
      <w:r w:rsidRPr="00B40D7D">
        <w:rPr>
          <w:rFonts w:eastAsia="Calibri"/>
          <w:lang w:val="fr-FR"/>
        </w:rPr>
        <w:t>« 7.1</w:t>
      </w:r>
      <w:r w:rsidRPr="00B40D7D">
        <w:rPr>
          <w:rFonts w:eastAsia="Calibri"/>
          <w:lang w:val="fr-FR"/>
        </w:rPr>
        <w:tab/>
        <w:t>La fréquence de clignotement et</w:t>
      </w:r>
      <w:r w:rsidRPr="00B40D7D">
        <w:rPr>
          <w:rFonts w:eastAsia="Calibri"/>
          <w:b/>
          <w:bCs/>
          <w:lang w:val="fr-FR"/>
        </w:rPr>
        <w:t xml:space="preserve"> </w:t>
      </w:r>
      <w:r w:rsidRPr="00B40D7D">
        <w:rPr>
          <w:rFonts w:eastAsia="Calibri"/>
          <w:lang w:val="fr-FR"/>
        </w:rPr>
        <w:t>les temps d’allumage et d’extinction doivent être conformes aux valeurs prescrites dans le tableau ci-dessous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708"/>
        <w:gridCol w:w="3968"/>
      </w:tblGrid>
      <w:tr w:rsidR="00B40D7D" w:rsidRPr="00B40D7D" w14:paraId="591D8793" w14:textId="77777777" w:rsidTr="00A0323F">
        <w:trPr>
          <w:tblHeader/>
        </w:trPr>
        <w:tc>
          <w:tcPr>
            <w:tcW w:w="2694" w:type="dxa"/>
            <w:tcBorders>
              <w:top w:val="nil"/>
              <w:left w:val="nil"/>
              <w:bottom w:val="nil"/>
              <w:right w:val="nil"/>
            </w:tcBorders>
            <w:shd w:val="clear" w:color="auto" w:fill="auto"/>
            <w:vAlign w:val="bottom"/>
          </w:tcPr>
          <w:p w14:paraId="0A072068" w14:textId="77777777" w:rsidR="00B40D7D" w:rsidRPr="00B40D7D" w:rsidRDefault="00B40D7D" w:rsidP="00B40D7D">
            <w:pPr>
              <w:spacing w:before="80" w:after="80" w:line="200" w:lineRule="exact"/>
              <w:rPr>
                <w:rFonts w:eastAsia="Calibri"/>
                <w:i/>
                <w:sz w:val="18"/>
                <w:szCs w:val="18"/>
                <w:lang w:val="fr-FR"/>
              </w:rPr>
            </w:pPr>
          </w:p>
        </w:tc>
        <w:tc>
          <w:tcPr>
            <w:tcW w:w="708" w:type="dxa"/>
            <w:tcBorders>
              <w:top w:val="nil"/>
              <w:left w:val="nil"/>
              <w:bottom w:val="nil"/>
            </w:tcBorders>
            <w:shd w:val="clear" w:color="auto" w:fill="auto"/>
            <w:vAlign w:val="bottom"/>
          </w:tcPr>
          <w:p w14:paraId="4E72F70B" w14:textId="77777777" w:rsidR="00B40D7D" w:rsidRPr="00B40D7D" w:rsidRDefault="00B40D7D" w:rsidP="00B40D7D">
            <w:pPr>
              <w:spacing w:before="80" w:after="80" w:line="200" w:lineRule="exact"/>
              <w:rPr>
                <w:rFonts w:eastAsia="Calibri"/>
                <w:i/>
                <w:sz w:val="18"/>
                <w:szCs w:val="18"/>
                <w:lang w:val="fr-FR"/>
              </w:rPr>
            </w:pPr>
          </w:p>
        </w:tc>
        <w:tc>
          <w:tcPr>
            <w:tcW w:w="3968" w:type="dxa"/>
            <w:shd w:val="clear" w:color="auto" w:fill="auto"/>
            <w:vAlign w:val="bottom"/>
          </w:tcPr>
          <w:p w14:paraId="2B7C42DB" w14:textId="77777777" w:rsidR="00B40D7D" w:rsidRPr="00B40D7D" w:rsidRDefault="00B40D7D" w:rsidP="00B40D7D">
            <w:pPr>
              <w:spacing w:before="80" w:after="80" w:line="200" w:lineRule="exact"/>
              <w:ind w:left="113"/>
              <w:rPr>
                <w:rFonts w:eastAsia="Calibri"/>
                <w:i/>
                <w:sz w:val="16"/>
                <w:szCs w:val="16"/>
                <w:lang w:val="fr-FR"/>
              </w:rPr>
            </w:pPr>
            <w:r w:rsidRPr="00B40D7D">
              <w:rPr>
                <w:rFonts w:eastAsia="Calibri"/>
                <w:i/>
                <w:iCs/>
                <w:sz w:val="16"/>
                <w:szCs w:val="16"/>
                <w:lang w:val="fr-FR"/>
              </w:rPr>
              <w:t>Couleur : bleu</w:t>
            </w:r>
            <w:r w:rsidRPr="00B40D7D">
              <w:rPr>
                <w:rFonts w:eastAsia="Calibri"/>
                <w:b/>
                <w:bCs/>
                <w:i/>
                <w:iCs/>
                <w:sz w:val="16"/>
                <w:szCs w:val="16"/>
                <w:lang w:val="fr-FR"/>
              </w:rPr>
              <w:t>,</w:t>
            </w:r>
            <w:r w:rsidRPr="00B40D7D">
              <w:rPr>
                <w:rFonts w:eastAsia="Calibri"/>
                <w:i/>
                <w:iCs/>
                <w:sz w:val="16"/>
                <w:szCs w:val="16"/>
                <w:lang w:val="fr-FR"/>
              </w:rPr>
              <w:t xml:space="preserve"> jaune-auto ou rouge</w:t>
            </w:r>
          </w:p>
        </w:tc>
      </w:tr>
      <w:tr w:rsidR="00B40D7D" w:rsidRPr="00B40D7D" w14:paraId="659CF7AB" w14:textId="77777777" w:rsidTr="00A0323F">
        <w:trPr>
          <w:cantSplit/>
        </w:trPr>
        <w:tc>
          <w:tcPr>
            <w:tcW w:w="2694" w:type="dxa"/>
            <w:tcBorders>
              <w:top w:val="nil"/>
              <w:left w:val="nil"/>
              <w:bottom w:val="single" w:sz="4" w:space="0" w:color="auto"/>
              <w:right w:val="nil"/>
            </w:tcBorders>
            <w:shd w:val="clear" w:color="auto" w:fill="auto"/>
          </w:tcPr>
          <w:p w14:paraId="5CE6FF32" w14:textId="77777777" w:rsidR="00B40D7D" w:rsidRPr="00B40D7D" w:rsidRDefault="00B40D7D" w:rsidP="00B40D7D">
            <w:pPr>
              <w:spacing w:before="80" w:after="80" w:line="200" w:lineRule="exact"/>
              <w:rPr>
                <w:rFonts w:eastAsia="Calibri"/>
                <w:sz w:val="18"/>
                <w:szCs w:val="18"/>
                <w:lang w:val="fr-FR"/>
              </w:rPr>
            </w:pPr>
          </w:p>
        </w:tc>
        <w:tc>
          <w:tcPr>
            <w:tcW w:w="708" w:type="dxa"/>
            <w:tcBorders>
              <w:top w:val="nil"/>
              <w:left w:val="nil"/>
              <w:bottom w:val="single" w:sz="4" w:space="0" w:color="auto"/>
            </w:tcBorders>
            <w:shd w:val="clear" w:color="auto" w:fill="auto"/>
          </w:tcPr>
          <w:p w14:paraId="24D9177A" w14:textId="77777777" w:rsidR="00B40D7D" w:rsidRPr="00B40D7D" w:rsidRDefault="00B40D7D" w:rsidP="00B40D7D">
            <w:pPr>
              <w:spacing w:before="80" w:after="80" w:line="200" w:lineRule="exact"/>
              <w:rPr>
                <w:rFonts w:eastAsia="Calibri"/>
                <w:sz w:val="18"/>
                <w:szCs w:val="18"/>
                <w:lang w:val="fr-FR"/>
              </w:rPr>
            </w:pPr>
          </w:p>
        </w:tc>
        <w:tc>
          <w:tcPr>
            <w:tcW w:w="3968" w:type="dxa"/>
            <w:tcBorders>
              <w:bottom w:val="single" w:sz="4" w:space="0" w:color="auto"/>
            </w:tcBorders>
            <w:shd w:val="clear" w:color="auto" w:fill="auto"/>
          </w:tcPr>
          <w:p w14:paraId="376675E4" w14:textId="77777777" w:rsidR="00B40D7D" w:rsidRPr="00B40D7D" w:rsidRDefault="00B40D7D" w:rsidP="00B40D7D">
            <w:pPr>
              <w:spacing w:before="80" w:after="80" w:line="200" w:lineRule="exact"/>
              <w:ind w:left="113"/>
              <w:rPr>
                <w:rFonts w:eastAsia="Calibri"/>
                <w:i/>
                <w:sz w:val="16"/>
                <w:szCs w:val="16"/>
                <w:lang w:val="fr-FR"/>
              </w:rPr>
            </w:pPr>
            <w:r w:rsidRPr="00B40D7D">
              <w:rPr>
                <w:rFonts w:eastAsia="Calibri"/>
                <w:i/>
                <w:iCs/>
                <w:sz w:val="16"/>
                <w:szCs w:val="16"/>
                <w:lang w:val="fr-FR"/>
              </w:rPr>
              <w:t>Feux tournants ou sources lumineuses à éclats</w:t>
            </w:r>
          </w:p>
          <w:p w14:paraId="70C58C1C" w14:textId="77777777" w:rsidR="00B40D7D" w:rsidRPr="00B40D7D" w:rsidRDefault="00B40D7D" w:rsidP="00B40D7D">
            <w:pPr>
              <w:spacing w:before="80" w:after="80" w:line="200" w:lineRule="exact"/>
              <w:ind w:left="113"/>
              <w:rPr>
                <w:rFonts w:eastAsia="Calibri"/>
                <w:i/>
                <w:sz w:val="16"/>
                <w:szCs w:val="16"/>
                <w:lang w:val="fr-FR"/>
              </w:rPr>
            </w:pPr>
            <w:r w:rsidRPr="00B40D7D">
              <w:rPr>
                <w:rFonts w:eastAsia="Calibri"/>
                <w:i/>
                <w:iCs/>
                <w:sz w:val="16"/>
                <w:szCs w:val="16"/>
                <w:lang w:val="fr-FR"/>
              </w:rPr>
              <w:t>(catégories T et X)</w:t>
            </w:r>
          </w:p>
        </w:tc>
      </w:tr>
      <w:tr w:rsidR="00B40D7D" w:rsidRPr="00B40D7D" w14:paraId="69F6C244" w14:textId="77777777" w:rsidTr="00A0323F">
        <w:trPr>
          <w:cantSplit/>
        </w:trPr>
        <w:tc>
          <w:tcPr>
            <w:tcW w:w="2694" w:type="dxa"/>
            <w:vMerge w:val="restart"/>
            <w:tcBorders>
              <w:top w:val="single" w:sz="4" w:space="0" w:color="auto"/>
              <w:left w:val="single" w:sz="4" w:space="0" w:color="auto"/>
            </w:tcBorders>
            <w:shd w:val="clear" w:color="auto" w:fill="auto"/>
          </w:tcPr>
          <w:p w14:paraId="51D651BB" w14:textId="77777777" w:rsidR="00B40D7D" w:rsidRPr="00B40D7D" w:rsidRDefault="00B40D7D" w:rsidP="00B40D7D">
            <w:pPr>
              <w:spacing w:before="40" w:after="40" w:line="220" w:lineRule="exact"/>
              <w:ind w:left="113"/>
              <w:rPr>
                <w:rFonts w:eastAsia="Calibri"/>
                <w:sz w:val="18"/>
                <w:szCs w:val="18"/>
                <w:lang w:val="fr-FR"/>
              </w:rPr>
            </w:pPr>
            <w:r w:rsidRPr="00B40D7D">
              <w:rPr>
                <w:rFonts w:eastAsia="Calibri"/>
                <w:sz w:val="18"/>
                <w:szCs w:val="18"/>
                <w:lang w:val="fr-FR"/>
              </w:rPr>
              <w:t>Fréquence de clignotement f (Hz)</w:t>
            </w:r>
          </w:p>
        </w:tc>
        <w:tc>
          <w:tcPr>
            <w:tcW w:w="708" w:type="dxa"/>
            <w:tcBorders>
              <w:top w:val="single" w:sz="4" w:space="0" w:color="auto"/>
            </w:tcBorders>
            <w:shd w:val="clear" w:color="auto" w:fill="auto"/>
            <w:vAlign w:val="bottom"/>
          </w:tcPr>
          <w:p w14:paraId="260A6161"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max.</w:t>
            </w:r>
          </w:p>
        </w:tc>
        <w:tc>
          <w:tcPr>
            <w:tcW w:w="3968" w:type="dxa"/>
            <w:tcBorders>
              <w:top w:val="single" w:sz="4" w:space="0" w:color="auto"/>
            </w:tcBorders>
            <w:shd w:val="clear" w:color="auto" w:fill="auto"/>
          </w:tcPr>
          <w:p w14:paraId="77469609"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4</w:t>
            </w:r>
          </w:p>
        </w:tc>
      </w:tr>
      <w:tr w:rsidR="00B40D7D" w:rsidRPr="00B40D7D" w14:paraId="235DD222" w14:textId="77777777" w:rsidTr="00A0323F">
        <w:trPr>
          <w:cantSplit/>
        </w:trPr>
        <w:tc>
          <w:tcPr>
            <w:tcW w:w="2694" w:type="dxa"/>
            <w:vMerge/>
            <w:tcBorders>
              <w:left w:val="single" w:sz="4" w:space="0" w:color="auto"/>
            </w:tcBorders>
            <w:shd w:val="clear" w:color="auto" w:fill="auto"/>
          </w:tcPr>
          <w:p w14:paraId="3A87933B" w14:textId="77777777" w:rsidR="00B40D7D" w:rsidRPr="00B40D7D" w:rsidRDefault="00B40D7D" w:rsidP="00B40D7D">
            <w:pPr>
              <w:spacing w:before="40" w:after="40" w:line="220" w:lineRule="exact"/>
              <w:ind w:left="113"/>
              <w:rPr>
                <w:rFonts w:eastAsia="Calibri"/>
                <w:sz w:val="18"/>
                <w:szCs w:val="18"/>
                <w:lang w:val="fr-FR"/>
              </w:rPr>
            </w:pPr>
          </w:p>
        </w:tc>
        <w:tc>
          <w:tcPr>
            <w:tcW w:w="708" w:type="dxa"/>
            <w:shd w:val="clear" w:color="auto" w:fill="auto"/>
            <w:vAlign w:val="bottom"/>
          </w:tcPr>
          <w:p w14:paraId="7E2800D1"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min.</w:t>
            </w:r>
          </w:p>
        </w:tc>
        <w:tc>
          <w:tcPr>
            <w:tcW w:w="3968" w:type="dxa"/>
            <w:shd w:val="clear" w:color="auto" w:fill="auto"/>
          </w:tcPr>
          <w:p w14:paraId="5FB44F94"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2</w:t>
            </w:r>
          </w:p>
        </w:tc>
      </w:tr>
      <w:tr w:rsidR="00B40D7D" w:rsidRPr="00B40D7D" w14:paraId="00162E1C" w14:textId="77777777" w:rsidTr="00A0323F">
        <w:trPr>
          <w:cantSplit/>
        </w:trPr>
        <w:tc>
          <w:tcPr>
            <w:tcW w:w="2694" w:type="dxa"/>
            <w:tcBorders>
              <w:left w:val="single" w:sz="4" w:space="0" w:color="auto"/>
            </w:tcBorders>
            <w:shd w:val="clear" w:color="auto" w:fill="auto"/>
          </w:tcPr>
          <w:p w14:paraId="6153355F" w14:textId="77777777" w:rsidR="00B40D7D" w:rsidRPr="00B40D7D" w:rsidRDefault="00B40D7D" w:rsidP="00B40D7D">
            <w:pPr>
              <w:spacing w:before="40" w:after="40" w:line="220" w:lineRule="exact"/>
              <w:ind w:left="113"/>
              <w:rPr>
                <w:rFonts w:eastAsia="Calibri"/>
                <w:sz w:val="18"/>
                <w:szCs w:val="18"/>
                <w:lang w:val="fr-FR"/>
              </w:rPr>
            </w:pPr>
            <w:r w:rsidRPr="00B40D7D">
              <w:rPr>
                <w:rFonts w:eastAsia="Calibri"/>
                <w:sz w:val="18"/>
                <w:szCs w:val="18"/>
                <w:lang w:val="fr-FR"/>
              </w:rPr>
              <w:t>Temps d’allumage t</w:t>
            </w:r>
            <w:r w:rsidRPr="00B40D7D">
              <w:rPr>
                <w:rFonts w:eastAsia="Calibri"/>
                <w:sz w:val="18"/>
                <w:szCs w:val="18"/>
                <w:vertAlign w:val="subscript"/>
                <w:lang w:val="fr-FR"/>
              </w:rPr>
              <w:t>H</w:t>
            </w:r>
            <w:r w:rsidRPr="00B40D7D">
              <w:rPr>
                <w:rFonts w:eastAsia="Calibri"/>
                <w:sz w:val="18"/>
                <w:szCs w:val="18"/>
                <w:lang w:val="fr-FR"/>
              </w:rPr>
              <w:t xml:space="preserve"> (s)</w:t>
            </w:r>
          </w:p>
        </w:tc>
        <w:tc>
          <w:tcPr>
            <w:tcW w:w="708" w:type="dxa"/>
            <w:shd w:val="clear" w:color="auto" w:fill="auto"/>
            <w:vAlign w:val="bottom"/>
          </w:tcPr>
          <w:p w14:paraId="5033613E"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max.</w:t>
            </w:r>
          </w:p>
        </w:tc>
        <w:tc>
          <w:tcPr>
            <w:tcW w:w="3968" w:type="dxa"/>
            <w:shd w:val="clear" w:color="auto" w:fill="auto"/>
          </w:tcPr>
          <w:p w14:paraId="5E26584B"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0,4/f</w:t>
            </w:r>
          </w:p>
        </w:tc>
      </w:tr>
      <w:tr w:rsidR="00B40D7D" w:rsidRPr="00B40D7D" w14:paraId="4A52CCC2" w14:textId="77777777" w:rsidTr="00A0323F">
        <w:trPr>
          <w:cantSplit/>
        </w:trPr>
        <w:tc>
          <w:tcPr>
            <w:tcW w:w="2694" w:type="dxa"/>
            <w:tcBorders>
              <w:left w:val="single" w:sz="4" w:space="0" w:color="auto"/>
              <w:bottom w:val="single" w:sz="4" w:space="0" w:color="auto"/>
            </w:tcBorders>
            <w:shd w:val="clear" w:color="auto" w:fill="auto"/>
          </w:tcPr>
          <w:p w14:paraId="6DF39B1F" w14:textId="77777777" w:rsidR="00B40D7D" w:rsidRPr="00B40D7D" w:rsidRDefault="00B40D7D" w:rsidP="00B40D7D">
            <w:pPr>
              <w:spacing w:before="40" w:after="40" w:line="220" w:lineRule="exact"/>
              <w:ind w:left="113"/>
              <w:rPr>
                <w:rFonts w:eastAsia="Calibri"/>
                <w:sz w:val="18"/>
                <w:szCs w:val="18"/>
                <w:lang w:val="fr-FR"/>
              </w:rPr>
            </w:pPr>
            <w:r w:rsidRPr="00B40D7D">
              <w:rPr>
                <w:rFonts w:eastAsia="Calibri"/>
                <w:sz w:val="18"/>
                <w:szCs w:val="18"/>
                <w:lang w:val="fr-FR"/>
              </w:rPr>
              <w:t>Temps d’extinction t</w:t>
            </w:r>
            <w:r w:rsidRPr="00B40D7D">
              <w:rPr>
                <w:rFonts w:eastAsia="Calibri"/>
                <w:sz w:val="18"/>
                <w:szCs w:val="18"/>
                <w:vertAlign w:val="subscript"/>
                <w:lang w:val="fr-FR"/>
              </w:rPr>
              <w:t>D</w:t>
            </w:r>
            <w:r w:rsidRPr="00B40D7D">
              <w:rPr>
                <w:rFonts w:eastAsia="Calibri"/>
                <w:sz w:val="18"/>
                <w:szCs w:val="18"/>
                <w:lang w:val="fr-FR"/>
              </w:rPr>
              <w:t xml:space="preserve"> (s)</w:t>
            </w:r>
          </w:p>
        </w:tc>
        <w:tc>
          <w:tcPr>
            <w:tcW w:w="708" w:type="dxa"/>
            <w:tcBorders>
              <w:bottom w:val="single" w:sz="4" w:space="0" w:color="auto"/>
            </w:tcBorders>
            <w:shd w:val="clear" w:color="auto" w:fill="auto"/>
            <w:vAlign w:val="bottom"/>
          </w:tcPr>
          <w:p w14:paraId="3592E1E2"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min.</w:t>
            </w:r>
          </w:p>
        </w:tc>
        <w:tc>
          <w:tcPr>
            <w:tcW w:w="3968" w:type="dxa"/>
            <w:tcBorders>
              <w:bottom w:val="single" w:sz="4" w:space="0" w:color="auto"/>
            </w:tcBorders>
            <w:shd w:val="clear" w:color="auto" w:fill="auto"/>
          </w:tcPr>
          <w:p w14:paraId="5EF078AF" w14:textId="77777777" w:rsidR="00B40D7D" w:rsidRPr="00B40D7D" w:rsidRDefault="00B40D7D" w:rsidP="00B40D7D">
            <w:pPr>
              <w:spacing w:before="40" w:after="40" w:line="220" w:lineRule="exact"/>
              <w:jc w:val="center"/>
              <w:rPr>
                <w:rFonts w:eastAsia="Calibri"/>
                <w:sz w:val="18"/>
                <w:szCs w:val="18"/>
                <w:lang w:val="fr-FR"/>
              </w:rPr>
            </w:pPr>
            <w:r w:rsidRPr="00B40D7D">
              <w:rPr>
                <w:rFonts w:eastAsia="Calibri"/>
                <w:sz w:val="18"/>
                <w:szCs w:val="18"/>
                <w:lang w:val="fr-FR"/>
              </w:rPr>
              <w:t>0,1</w:t>
            </w:r>
          </w:p>
        </w:tc>
      </w:tr>
    </w:tbl>
    <w:p w14:paraId="6585F9A1" w14:textId="77777777" w:rsidR="00B40D7D" w:rsidRPr="00B40D7D" w:rsidRDefault="00B40D7D" w:rsidP="00B40D7D">
      <w:pPr>
        <w:pStyle w:val="SingleTxtG"/>
        <w:jc w:val="right"/>
      </w:pPr>
      <w:r w:rsidRPr="00B40D7D">
        <w:rPr>
          <w:lang w:val="fr-FR"/>
        </w:rPr>
        <w:t>. ».</w:t>
      </w:r>
    </w:p>
    <w:p w14:paraId="5FC67672" w14:textId="77777777" w:rsidR="00B40D7D" w:rsidRPr="00B40D7D" w:rsidRDefault="00B40D7D" w:rsidP="00B40D7D">
      <w:pPr>
        <w:spacing w:before="240"/>
        <w:ind w:left="1134" w:right="1134"/>
        <w:jc w:val="center"/>
        <w:rPr>
          <w:rFonts w:eastAsia="Calibri"/>
          <w:u w:val="single"/>
          <w:lang w:val="fr-FR"/>
        </w:rPr>
      </w:pPr>
      <w:r w:rsidRPr="00B40D7D">
        <w:rPr>
          <w:rFonts w:eastAsia="Calibri"/>
          <w:u w:val="single"/>
          <w:lang w:val="fr-FR"/>
        </w:rPr>
        <w:tab/>
      </w:r>
      <w:r w:rsidRPr="00B40D7D">
        <w:rPr>
          <w:rFonts w:eastAsia="Calibri"/>
          <w:u w:val="single"/>
          <w:lang w:val="fr-FR"/>
        </w:rPr>
        <w:tab/>
      </w:r>
      <w:r w:rsidRPr="00B40D7D">
        <w:rPr>
          <w:rFonts w:eastAsia="Calibri"/>
          <w:u w:val="single"/>
          <w:lang w:val="fr-FR"/>
        </w:rPr>
        <w:tab/>
      </w:r>
      <w:r w:rsidRPr="00B40D7D">
        <w:rPr>
          <w:rFonts w:eastAsia="Calibri"/>
          <w:u w:val="single"/>
          <w:lang w:val="fr-FR"/>
        </w:rPr>
        <w:tab/>
      </w:r>
    </w:p>
    <w:p w14:paraId="7D27DDDB" w14:textId="77777777" w:rsidR="00B40D7D" w:rsidRDefault="00B40D7D" w:rsidP="00B40D7D">
      <w:pPr>
        <w:kinsoku/>
        <w:overflowPunct/>
        <w:autoSpaceDE/>
        <w:autoSpaceDN/>
        <w:adjustRightInd/>
        <w:snapToGrid/>
        <w:spacing w:after="360"/>
        <w:ind w:left="1134" w:right="1134"/>
        <w:jc w:val="both"/>
      </w:pPr>
    </w:p>
    <w:sectPr w:rsidR="00B40D7D" w:rsidSect="00B40D7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D011" w14:textId="77777777" w:rsidR="00B02493" w:rsidRDefault="00B02493"/>
  </w:endnote>
  <w:endnote w:type="continuationSeparator" w:id="0">
    <w:p w14:paraId="697413C9" w14:textId="77777777" w:rsidR="00B02493" w:rsidRDefault="00B02493">
      <w:pPr>
        <w:pStyle w:val="Pieddepage"/>
      </w:pPr>
    </w:p>
  </w:endnote>
  <w:endnote w:type="continuationNotice" w:id="1">
    <w:p w14:paraId="0747DB23" w14:textId="77777777" w:rsidR="00B02493" w:rsidRPr="00C451B9" w:rsidRDefault="00B0249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9F12" w14:textId="77777777" w:rsidR="00B40D7D" w:rsidRPr="00B40D7D" w:rsidRDefault="00B40D7D" w:rsidP="00B40D7D">
    <w:pPr>
      <w:pStyle w:val="Pieddepage"/>
      <w:tabs>
        <w:tab w:val="right" w:pos="9638"/>
      </w:tabs>
    </w:pPr>
    <w:r w:rsidRPr="00B40D7D">
      <w:rPr>
        <w:b/>
        <w:sz w:val="18"/>
      </w:rPr>
      <w:fldChar w:fldCharType="begin"/>
    </w:r>
    <w:r w:rsidRPr="00B40D7D">
      <w:rPr>
        <w:b/>
        <w:sz w:val="18"/>
      </w:rPr>
      <w:instrText xml:space="preserve"> PAGE  \* MERGEFORMAT </w:instrText>
    </w:r>
    <w:r w:rsidRPr="00B40D7D">
      <w:rPr>
        <w:b/>
        <w:sz w:val="18"/>
      </w:rPr>
      <w:fldChar w:fldCharType="separate"/>
    </w:r>
    <w:r w:rsidRPr="00B40D7D">
      <w:rPr>
        <w:b/>
        <w:noProof/>
        <w:sz w:val="18"/>
      </w:rPr>
      <w:t>2</w:t>
    </w:r>
    <w:r w:rsidRPr="00B40D7D">
      <w:rPr>
        <w:b/>
        <w:sz w:val="18"/>
      </w:rPr>
      <w:fldChar w:fldCharType="end"/>
    </w:r>
    <w:r>
      <w:rPr>
        <w:b/>
        <w:sz w:val="18"/>
      </w:rPr>
      <w:tab/>
    </w:r>
    <w:r>
      <w:t>GE.21-17936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176D" w14:textId="77777777" w:rsidR="00B40D7D" w:rsidRPr="00B40D7D" w:rsidRDefault="00B40D7D" w:rsidP="00B40D7D">
    <w:pPr>
      <w:pStyle w:val="Pieddepage"/>
      <w:tabs>
        <w:tab w:val="right" w:pos="9638"/>
      </w:tabs>
      <w:rPr>
        <w:b/>
        <w:sz w:val="18"/>
      </w:rPr>
    </w:pPr>
    <w:r>
      <w:t>GE.21-17936</w:t>
    </w:r>
    <w:r>
      <w:tab/>
    </w:r>
    <w:r w:rsidRPr="00B40D7D">
      <w:rPr>
        <w:b/>
        <w:sz w:val="18"/>
      </w:rPr>
      <w:fldChar w:fldCharType="begin"/>
    </w:r>
    <w:r w:rsidRPr="00B40D7D">
      <w:rPr>
        <w:b/>
        <w:sz w:val="18"/>
      </w:rPr>
      <w:instrText xml:space="preserve"> PAGE  \* MERGEFORMAT </w:instrText>
    </w:r>
    <w:r w:rsidRPr="00B40D7D">
      <w:rPr>
        <w:b/>
        <w:sz w:val="18"/>
      </w:rPr>
      <w:fldChar w:fldCharType="separate"/>
    </w:r>
    <w:r w:rsidRPr="00B40D7D">
      <w:rPr>
        <w:b/>
        <w:noProof/>
        <w:sz w:val="18"/>
      </w:rPr>
      <w:t>3</w:t>
    </w:r>
    <w:r w:rsidRPr="00B40D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7C2" w14:textId="1FC346AB" w:rsidR="00467F2C" w:rsidRPr="00B40D7D" w:rsidRDefault="00B40D7D" w:rsidP="00B40D7D">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9DC6847" wp14:editId="37991D0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21-17936  (F)</w:t>
    </w:r>
    <w:r>
      <w:rPr>
        <w:noProof/>
        <w:sz w:val="20"/>
      </w:rPr>
      <w:drawing>
        <wp:anchor distT="0" distB="0" distL="114300" distR="114300" simplePos="0" relativeHeight="251660288" behindDoc="0" locked="0" layoutInCell="1" allowOverlap="1" wp14:anchorId="0BA8F8E6" wp14:editId="6C6141D4">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140322    150322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82E4" w14:textId="77777777" w:rsidR="00B02493" w:rsidRPr="00D27D5E" w:rsidRDefault="00B02493" w:rsidP="00D27D5E">
      <w:pPr>
        <w:tabs>
          <w:tab w:val="right" w:pos="2155"/>
        </w:tabs>
        <w:spacing w:after="80"/>
        <w:ind w:left="680"/>
        <w:rPr>
          <w:u w:val="single"/>
        </w:rPr>
      </w:pPr>
      <w:r>
        <w:rPr>
          <w:u w:val="single"/>
        </w:rPr>
        <w:tab/>
      </w:r>
    </w:p>
  </w:footnote>
  <w:footnote w:type="continuationSeparator" w:id="0">
    <w:p w14:paraId="74B9D48F" w14:textId="77777777" w:rsidR="00B02493" w:rsidRPr="00D171D4" w:rsidRDefault="00B02493" w:rsidP="00D171D4">
      <w:pPr>
        <w:tabs>
          <w:tab w:val="right" w:pos="2155"/>
        </w:tabs>
        <w:spacing w:after="80"/>
        <w:ind w:left="680"/>
        <w:rPr>
          <w:u w:val="single"/>
        </w:rPr>
      </w:pPr>
      <w:r w:rsidRPr="00D171D4">
        <w:rPr>
          <w:u w:val="single"/>
        </w:rPr>
        <w:tab/>
      </w:r>
    </w:p>
  </w:footnote>
  <w:footnote w:type="continuationNotice" w:id="1">
    <w:p w14:paraId="1254C1F5" w14:textId="77777777" w:rsidR="00B02493" w:rsidRPr="00C451B9" w:rsidRDefault="00B02493" w:rsidP="00C451B9">
      <w:pPr>
        <w:spacing w:line="240" w:lineRule="auto"/>
        <w:rPr>
          <w:sz w:val="2"/>
          <w:szCs w:val="2"/>
        </w:rPr>
      </w:pPr>
    </w:p>
  </w:footnote>
  <w:footnote w:id="2">
    <w:p w14:paraId="19C7A5A1" w14:textId="77777777" w:rsidR="00B40D7D" w:rsidRPr="0028161F" w:rsidRDefault="00B40D7D" w:rsidP="00B40D7D">
      <w:pPr>
        <w:pStyle w:val="Notedebasdepage"/>
        <w:rPr>
          <w:lang w:val="fr-FR"/>
        </w:rPr>
      </w:pPr>
      <w:r w:rsidRPr="00B40D7D">
        <w:rPr>
          <w:lang w:val="fr-FR"/>
        </w:rPr>
        <w:tab/>
      </w:r>
      <w:r w:rsidRPr="00B40D7D">
        <w:rPr>
          <w:rStyle w:val="Appelnotedebasdep"/>
          <w:sz w:val="20"/>
          <w:vertAlign w:val="baseline"/>
          <w:lang w:val="fr-FR"/>
        </w:rPr>
        <w:t>*</w:t>
      </w:r>
      <w:r w:rsidRPr="00B40D7D">
        <w:rPr>
          <w:sz w:val="20"/>
          <w:lang w:val="fr-FR"/>
        </w:rPr>
        <w:tab/>
      </w:r>
      <w:r w:rsidRPr="0028161F">
        <w:rPr>
          <w:lang w:val="fr-FR"/>
        </w:rPr>
        <w:t>Anciens titres de l’Accord :</w:t>
      </w:r>
    </w:p>
    <w:p w14:paraId="1B29D24E" w14:textId="77777777" w:rsidR="00B40D7D" w:rsidRPr="0028161F" w:rsidRDefault="00B40D7D" w:rsidP="00B40D7D">
      <w:pPr>
        <w:pStyle w:val="Notedebasdepage"/>
        <w:rPr>
          <w:lang w:val="fr-FR"/>
        </w:rPr>
      </w:pPr>
      <w:r w:rsidRPr="0028161F">
        <w:rPr>
          <w:lang w:val="fr-FR"/>
        </w:rPr>
        <w:tab/>
      </w:r>
      <w:r w:rsidRPr="0028161F">
        <w:rPr>
          <w:lang w:val="fr-FR"/>
        </w:rPr>
        <w:tab/>
        <w:t>Accord concernant l’adoption de conditions uniformes d’homologation et la reconnaissance réciproque de l’homologation des équipements et pièces de véhicules à moteur, en date, à Genève, du 20 mars 1958 (version originale) ;</w:t>
      </w:r>
    </w:p>
    <w:p w14:paraId="2E75B262" w14:textId="77777777" w:rsidR="00B40D7D" w:rsidRPr="0028161F" w:rsidRDefault="00B40D7D" w:rsidP="00B40D7D">
      <w:pPr>
        <w:pStyle w:val="Notedebasdepage"/>
        <w:rPr>
          <w:lang w:val="fr-FR"/>
        </w:rPr>
      </w:pPr>
      <w:r w:rsidRPr="0028161F">
        <w:rPr>
          <w:lang w:val="fr-FR"/>
        </w:rPr>
        <w:tab/>
      </w:r>
      <w:r w:rsidRPr="0028161F">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C645" w14:textId="09EEEC31" w:rsidR="00B40D7D" w:rsidRPr="00B40D7D" w:rsidRDefault="00B40D7D">
    <w:pPr>
      <w:pStyle w:val="En-tte"/>
      <w:rPr>
        <w:lang w:val="en-US"/>
      </w:rPr>
    </w:pPr>
    <w:r>
      <w:fldChar w:fldCharType="begin"/>
    </w:r>
    <w:r w:rsidRPr="00B40D7D">
      <w:rPr>
        <w:lang w:val="en-US"/>
      </w:rPr>
      <w:instrText xml:space="preserve"> TITLE  \* MERGEFORMAT </w:instrText>
    </w:r>
    <w:r>
      <w:fldChar w:fldCharType="separate"/>
    </w:r>
    <w:r w:rsidR="004E51F5">
      <w:rPr>
        <w:lang w:val="en-US"/>
      </w:rPr>
      <w:t>E/ECE/324/Rev.1/Add.64/Rev.2/Amend.4</w:t>
    </w:r>
    <w:r>
      <w:fldChar w:fldCharType="end"/>
    </w:r>
    <w:r w:rsidRPr="00B40D7D">
      <w:rPr>
        <w:lang w:val="en-US"/>
      </w:rPr>
      <w:br/>
    </w:r>
    <w:r>
      <w:fldChar w:fldCharType="begin"/>
    </w:r>
    <w:r w:rsidRPr="00B40D7D">
      <w:rPr>
        <w:lang w:val="en-US"/>
      </w:rPr>
      <w:instrText xml:space="preserve"> KEYWORDS  \* MERGEFORMAT </w:instrText>
    </w:r>
    <w:r>
      <w:fldChar w:fldCharType="separate"/>
    </w:r>
    <w:r w:rsidR="004E51F5">
      <w:rPr>
        <w:lang w:val="en-US"/>
      </w:rPr>
      <w:t>E/ECE/TRANS/505/Rev.1/Add.64/Rev.2/Amend.4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0C0C" w14:textId="4218AE9F" w:rsidR="00B40D7D" w:rsidRPr="00B40D7D" w:rsidRDefault="00B40D7D" w:rsidP="00B40D7D">
    <w:pPr>
      <w:pStyle w:val="En-tte"/>
      <w:jc w:val="right"/>
      <w:rPr>
        <w:lang w:val="en-US"/>
      </w:rPr>
    </w:pPr>
    <w:r>
      <w:fldChar w:fldCharType="begin"/>
    </w:r>
    <w:r w:rsidRPr="00B40D7D">
      <w:rPr>
        <w:lang w:val="en-US"/>
      </w:rPr>
      <w:instrText xml:space="preserve"> TITLE  \* MERGEFORMAT </w:instrText>
    </w:r>
    <w:r>
      <w:fldChar w:fldCharType="separate"/>
    </w:r>
    <w:r w:rsidR="004E51F5">
      <w:rPr>
        <w:lang w:val="en-US"/>
      </w:rPr>
      <w:t>E/ECE/324/Rev.1/Add.64/Rev.2/Amend.4</w:t>
    </w:r>
    <w:r>
      <w:fldChar w:fldCharType="end"/>
    </w:r>
    <w:r w:rsidRPr="00B40D7D">
      <w:rPr>
        <w:lang w:val="en-US"/>
      </w:rPr>
      <w:br/>
    </w:r>
    <w:r>
      <w:fldChar w:fldCharType="begin"/>
    </w:r>
    <w:r w:rsidRPr="00B40D7D">
      <w:rPr>
        <w:lang w:val="en-US"/>
      </w:rPr>
      <w:instrText xml:space="preserve"> KEYWORDS  \* MERGEFORMAT </w:instrText>
    </w:r>
    <w:r>
      <w:fldChar w:fldCharType="separate"/>
    </w:r>
    <w:r w:rsidR="004E51F5">
      <w:rPr>
        <w:lang w:val="en-US"/>
      </w:rPr>
      <w:t>E/ECE/TRANS/505/Rev.1/Add.64/Rev.2/Amend.4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9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3019"/>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51F5"/>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02493"/>
    <w:rsid w:val="00B101DB"/>
    <w:rsid w:val="00B13E4F"/>
    <w:rsid w:val="00B21751"/>
    <w:rsid w:val="00B256F0"/>
    <w:rsid w:val="00B31D7D"/>
    <w:rsid w:val="00B32E2D"/>
    <w:rsid w:val="00B40D7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7FB2F9F"/>
  <w15:docId w15:val="{9A99CDEF-BCBC-46DB-B432-243AC123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2</Pages>
  <Words>420</Words>
  <Characters>2270</Characters>
  <Application>Microsoft Office Word</Application>
  <DocSecurity>0</DocSecurity>
  <Lines>66</Lines>
  <Paragraphs>36</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E/ECE/324/Rev.1/Add.64/Rev.2/Amend.4</dc:title>
  <dc:creator>Christine CHAUTAGNAT</dc:creator>
  <cp:keywords>E/ECE/TRANS/505/Rev.1/Add.64/Rev.2/Amend.4</cp:keywords>
  <cp:lastModifiedBy>Christine Chautagnat</cp:lastModifiedBy>
  <cp:revision>3</cp:revision>
  <cp:lastPrinted>2022-03-15T08:57:00Z</cp:lastPrinted>
  <dcterms:created xsi:type="dcterms:W3CDTF">2022-03-15T08:57:00Z</dcterms:created>
  <dcterms:modified xsi:type="dcterms:W3CDTF">2022-03-15T08:58:00Z</dcterms:modified>
</cp:coreProperties>
</file>