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C9F4616" w14:textId="77777777" w:rsidTr="00C97039">
        <w:trPr>
          <w:trHeight w:hRule="exact" w:val="851"/>
        </w:trPr>
        <w:tc>
          <w:tcPr>
            <w:tcW w:w="1276" w:type="dxa"/>
            <w:tcBorders>
              <w:bottom w:val="single" w:sz="4" w:space="0" w:color="auto"/>
            </w:tcBorders>
          </w:tcPr>
          <w:p w14:paraId="698160D8" w14:textId="77777777" w:rsidR="00F35BAF" w:rsidRPr="00DB58B5" w:rsidRDefault="00F35BAF" w:rsidP="007059B1"/>
        </w:tc>
        <w:tc>
          <w:tcPr>
            <w:tcW w:w="2268" w:type="dxa"/>
            <w:tcBorders>
              <w:bottom w:val="single" w:sz="4" w:space="0" w:color="auto"/>
            </w:tcBorders>
            <w:vAlign w:val="bottom"/>
          </w:tcPr>
          <w:p w14:paraId="236D37B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FECA2F" w14:textId="278FDCBF" w:rsidR="00F35BAF" w:rsidRPr="00DB58B5" w:rsidRDefault="007059B1" w:rsidP="007059B1">
            <w:pPr>
              <w:jc w:val="right"/>
            </w:pPr>
            <w:r w:rsidRPr="007059B1">
              <w:rPr>
                <w:sz w:val="40"/>
              </w:rPr>
              <w:t>ECE</w:t>
            </w:r>
            <w:r>
              <w:t>/TRANS/2022/4</w:t>
            </w:r>
          </w:p>
        </w:tc>
      </w:tr>
      <w:tr w:rsidR="00F35BAF" w:rsidRPr="00DB58B5" w14:paraId="4D3C18AD" w14:textId="77777777" w:rsidTr="00C97039">
        <w:trPr>
          <w:trHeight w:hRule="exact" w:val="2835"/>
        </w:trPr>
        <w:tc>
          <w:tcPr>
            <w:tcW w:w="1276" w:type="dxa"/>
            <w:tcBorders>
              <w:top w:val="single" w:sz="4" w:space="0" w:color="auto"/>
              <w:bottom w:val="single" w:sz="12" w:space="0" w:color="auto"/>
            </w:tcBorders>
          </w:tcPr>
          <w:p w14:paraId="6550B21A" w14:textId="77777777" w:rsidR="00F35BAF" w:rsidRPr="00DB58B5" w:rsidRDefault="00F35BAF" w:rsidP="00C97039">
            <w:pPr>
              <w:spacing w:before="120"/>
              <w:jc w:val="center"/>
            </w:pPr>
            <w:r>
              <w:rPr>
                <w:noProof/>
                <w:lang w:eastAsia="fr-CH"/>
              </w:rPr>
              <w:drawing>
                <wp:inline distT="0" distB="0" distL="0" distR="0" wp14:anchorId="0367EDD1" wp14:editId="451B1BB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CD6FC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C783FF" w14:textId="77777777" w:rsidR="00F35BAF" w:rsidRDefault="007059B1" w:rsidP="00C97039">
            <w:pPr>
              <w:spacing w:before="240"/>
            </w:pPr>
            <w:proofErr w:type="spellStart"/>
            <w:r>
              <w:t>Distr</w:t>
            </w:r>
            <w:proofErr w:type="spellEnd"/>
            <w:r>
              <w:t>. générale</w:t>
            </w:r>
          </w:p>
          <w:p w14:paraId="1F204077" w14:textId="77777777" w:rsidR="007059B1" w:rsidRDefault="007059B1" w:rsidP="007059B1">
            <w:pPr>
              <w:spacing w:line="240" w:lineRule="exact"/>
            </w:pPr>
            <w:r>
              <w:t>9 décembre 2021</w:t>
            </w:r>
          </w:p>
          <w:p w14:paraId="005534DA" w14:textId="77777777" w:rsidR="007059B1" w:rsidRDefault="007059B1" w:rsidP="007059B1">
            <w:pPr>
              <w:spacing w:line="240" w:lineRule="exact"/>
            </w:pPr>
            <w:r>
              <w:t>Français</w:t>
            </w:r>
          </w:p>
          <w:p w14:paraId="5B46FBF0" w14:textId="2DC587D0" w:rsidR="007059B1" w:rsidRPr="00DB58B5" w:rsidRDefault="007059B1" w:rsidP="007059B1">
            <w:pPr>
              <w:spacing w:line="240" w:lineRule="exact"/>
            </w:pPr>
            <w:r>
              <w:t>Original : anglais</w:t>
            </w:r>
          </w:p>
        </w:tc>
      </w:tr>
    </w:tbl>
    <w:p w14:paraId="158B93AB" w14:textId="77777777" w:rsidR="007F20FA" w:rsidRPr="000312C0" w:rsidRDefault="007F20FA" w:rsidP="007F20FA">
      <w:pPr>
        <w:spacing w:before="120"/>
        <w:rPr>
          <w:b/>
          <w:sz w:val="28"/>
          <w:szCs w:val="28"/>
        </w:rPr>
      </w:pPr>
      <w:r w:rsidRPr="000312C0">
        <w:rPr>
          <w:b/>
          <w:sz w:val="28"/>
          <w:szCs w:val="28"/>
        </w:rPr>
        <w:t>Commission économique pour l’Europe</w:t>
      </w:r>
    </w:p>
    <w:p w14:paraId="26ACD366" w14:textId="77777777" w:rsidR="007F20FA" w:rsidRDefault="007F20FA" w:rsidP="007F20FA">
      <w:pPr>
        <w:spacing w:before="120"/>
        <w:rPr>
          <w:sz w:val="28"/>
          <w:szCs w:val="28"/>
        </w:rPr>
      </w:pPr>
      <w:r w:rsidRPr="00685843">
        <w:rPr>
          <w:sz w:val="28"/>
          <w:szCs w:val="28"/>
        </w:rPr>
        <w:t>Comité des transports intérieurs</w:t>
      </w:r>
    </w:p>
    <w:p w14:paraId="6A2AF091" w14:textId="77777777" w:rsidR="007059B1" w:rsidRPr="007059B1" w:rsidRDefault="007059B1" w:rsidP="00695513">
      <w:pPr>
        <w:spacing w:before="120"/>
        <w:rPr>
          <w:b/>
          <w:bCs/>
        </w:rPr>
      </w:pPr>
      <w:r w:rsidRPr="007059B1">
        <w:rPr>
          <w:b/>
          <w:bCs/>
          <w:lang w:val="fr-FR"/>
        </w:rPr>
        <w:t>Quatre-vingt-quatrième session</w:t>
      </w:r>
    </w:p>
    <w:p w14:paraId="0C5BC797" w14:textId="538B1804" w:rsidR="007059B1" w:rsidRPr="007059B1" w:rsidRDefault="007059B1" w:rsidP="007059B1">
      <w:pPr>
        <w:rPr>
          <w:lang w:val="fr-FR"/>
        </w:rPr>
      </w:pPr>
      <w:r w:rsidRPr="007059B1">
        <w:rPr>
          <w:lang w:val="fr-FR"/>
        </w:rPr>
        <w:t>Genève, 22-25 février</w:t>
      </w:r>
      <w:r w:rsidR="00565417">
        <w:rPr>
          <w:lang w:val="fr-FR"/>
        </w:rPr>
        <w:t xml:space="preserve"> 2022</w:t>
      </w:r>
    </w:p>
    <w:p w14:paraId="3804A853" w14:textId="77777777" w:rsidR="007059B1" w:rsidRPr="007059B1" w:rsidRDefault="007059B1" w:rsidP="007059B1">
      <w:pPr>
        <w:rPr>
          <w:lang w:val="fr-FR"/>
        </w:rPr>
      </w:pPr>
      <w:r w:rsidRPr="007059B1">
        <w:rPr>
          <w:lang w:val="fr-FR"/>
        </w:rPr>
        <w:t>Point 4 de l’ordre du jour provisoire</w:t>
      </w:r>
    </w:p>
    <w:p w14:paraId="25BA4209" w14:textId="643556B7" w:rsidR="007059B1" w:rsidRPr="007059B1" w:rsidRDefault="007059B1" w:rsidP="007059B1">
      <w:pPr>
        <w:rPr>
          <w:b/>
          <w:bCs/>
        </w:rPr>
      </w:pPr>
      <w:r w:rsidRPr="007059B1">
        <w:rPr>
          <w:b/>
          <w:bCs/>
          <w:lang w:val="fr-FR"/>
        </w:rPr>
        <w:t xml:space="preserve">Questions relatives à la gouvernance et autres questions </w:t>
      </w:r>
      <w:r w:rsidR="000D18C0">
        <w:rPr>
          <w:b/>
          <w:bCs/>
          <w:lang w:val="fr-FR"/>
        </w:rPr>
        <w:br/>
      </w:r>
      <w:r w:rsidRPr="007059B1">
        <w:rPr>
          <w:b/>
          <w:bCs/>
          <w:lang w:val="fr-FR"/>
        </w:rPr>
        <w:t xml:space="preserve">découlant des activités de la Commission économique </w:t>
      </w:r>
      <w:r w:rsidR="000D18C0">
        <w:rPr>
          <w:b/>
          <w:bCs/>
          <w:lang w:val="fr-FR"/>
        </w:rPr>
        <w:br/>
      </w:r>
      <w:r w:rsidRPr="007059B1">
        <w:rPr>
          <w:b/>
          <w:bCs/>
          <w:lang w:val="fr-FR"/>
        </w:rPr>
        <w:t>pour l’Europe, du Conseil économique et social</w:t>
      </w:r>
      <w:r w:rsidR="000D18C0">
        <w:rPr>
          <w:b/>
          <w:bCs/>
          <w:lang w:val="fr-FR"/>
        </w:rPr>
        <w:t xml:space="preserve"> </w:t>
      </w:r>
      <w:r w:rsidRPr="007059B1">
        <w:rPr>
          <w:b/>
          <w:bCs/>
          <w:lang w:val="fr-FR"/>
        </w:rPr>
        <w:t xml:space="preserve">et </w:t>
      </w:r>
      <w:r w:rsidR="000D18C0">
        <w:rPr>
          <w:b/>
          <w:bCs/>
          <w:lang w:val="fr-FR"/>
        </w:rPr>
        <w:br/>
      </w:r>
      <w:r w:rsidRPr="007059B1">
        <w:rPr>
          <w:b/>
          <w:bCs/>
          <w:lang w:val="fr-FR"/>
        </w:rPr>
        <w:t>d’autres organes et conférences des Nations Unies</w:t>
      </w:r>
    </w:p>
    <w:p w14:paraId="75840A7D" w14:textId="2B5A997E" w:rsidR="007059B1" w:rsidRPr="007059B1" w:rsidRDefault="007059B1" w:rsidP="00E925E7">
      <w:pPr>
        <w:pStyle w:val="HChG"/>
      </w:pPr>
      <w:r w:rsidRPr="007059B1">
        <w:rPr>
          <w:lang w:val="fr-FR"/>
        </w:rPr>
        <w:tab/>
      </w:r>
      <w:r w:rsidRPr="007059B1">
        <w:rPr>
          <w:lang w:val="fr-FR"/>
        </w:rPr>
        <w:tab/>
        <w:t xml:space="preserve">Conséquences de la COVID-19 et de la crise de liquidités </w:t>
      </w:r>
      <w:r w:rsidR="00E925E7">
        <w:rPr>
          <w:lang w:val="fr-FR"/>
        </w:rPr>
        <w:br/>
      </w:r>
      <w:r w:rsidRPr="007744A6">
        <w:rPr>
          <w:lang w:val="fr-FR"/>
        </w:rPr>
        <w:t>sur les travaux du sous-programme Transports</w:t>
      </w:r>
      <w:r w:rsidRPr="007059B1">
        <w:rPr>
          <w:lang w:val="fr-FR"/>
        </w:rPr>
        <w:t xml:space="preserve"> </w:t>
      </w:r>
      <w:r w:rsidR="00E925E7">
        <w:rPr>
          <w:lang w:val="fr-FR"/>
        </w:rPr>
        <w:br/>
      </w:r>
      <w:r w:rsidRPr="007059B1">
        <w:rPr>
          <w:lang w:val="fr-FR"/>
        </w:rPr>
        <w:t>–</w:t>
      </w:r>
      <w:r w:rsidR="00E925E7">
        <w:rPr>
          <w:lang w:val="fr-FR"/>
        </w:rPr>
        <w:t> </w:t>
      </w:r>
      <w:r w:rsidRPr="007059B1">
        <w:rPr>
          <w:lang w:val="fr-FR"/>
        </w:rPr>
        <w:t>Bilan de l’année 2021</w:t>
      </w:r>
    </w:p>
    <w:p w14:paraId="65935897" w14:textId="3BEB543A" w:rsidR="007059B1" w:rsidRPr="007059B1" w:rsidRDefault="007059B1" w:rsidP="00E925E7">
      <w:pPr>
        <w:pStyle w:val="H1G"/>
      </w:pPr>
      <w:r w:rsidRPr="007059B1">
        <w:rPr>
          <w:lang w:val="fr-FR"/>
        </w:rPr>
        <w:tab/>
      </w:r>
      <w:r w:rsidRPr="007059B1">
        <w:rPr>
          <w:lang w:val="fr-FR"/>
        </w:rPr>
        <w:tab/>
        <w:t>Note du secrétariat</w:t>
      </w:r>
      <w:r w:rsidR="00695513" w:rsidRPr="00695513">
        <w:rPr>
          <w:rStyle w:val="Appelnotedebasdep"/>
          <w:b w:val="0"/>
          <w:bCs/>
          <w:sz w:val="20"/>
          <w:vertAlign w:val="baseline"/>
        </w:rPr>
        <w:footnoteReference w:customMarkFollows="1" w:id="2"/>
        <w:t>*</w:t>
      </w:r>
    </w:p>
    <w:p w14:paraId="60BA8A5F" w14:textId="4778267C" w:rsidR="007059B1" w:rsidRPr="007059B1" w:rsidRDefault="00E925E7" w:rsidP="00E925E7">
      <w:pPr>
        <w:pStyle w:val="HChG"/>
      </w:pPr>
      <w:r>
        <w:rPr>
          <w:lang w:val="fr-FR"/>
        </w:rPr>
        <w:tab/>
      </w:r>
      <w:r w:rsidR="007059B1" w:rsidRPr="007059B1">
        <w:rPr>
          <w:lang w:val="fr-FR"/>
        </w:rPr>
        <w:t>I.</w:t>
      </w:r>
      <w:r w:rsidR="007059B1" w:rsidRPr="007059B1">
        <w:rPr>
          <w:lang w:val="fr-FR"/>
        </w:rPr>
        <w:tab/>
        <w:t>Contexte</w:t>
      </w:r>
    </w:p>
    <w:p w14:paraId="6F5B3F77" w14:textId="301E0934" w:rsidR="007059B1" w:rsidRPr="007059B1" w:rsidRDefault="007059B1" w:rsidP="00E925E7">
      <w:pPr>
        <w:pStyle w:val="SingleTxtG"/>
      </w:pPr>
      <w:r w:rsidRPr="007059B1">
        <w:rPr>
          <w:lang w:val="fr-FR"/>
        </w:rPr>
        <w:t>1.</w:t>
      </w:r>
      <w:r w:rsidRPr="007059B1">
        <w:rPr>
          <w:lang w:val="fr-FR"/>
        </w:rPr>
        <w:tab/>
        <w:t>À la suite de la déclaration du 16 mars 2020, par laquelle les autorités suisses ont fait état d’une «</w:t>
      </w:r>
      <w:r w:rsidR="000D18C0">
        <w:rPr>
          <w:lang w:val="fr-FR"/>
        </w:rPr>
        <w:t> </w:t>
      </w:r>
      <w:r w:rsidRPr="007059B1">
        <w:rPr>
          <w:lang w:val="fr-FR"/>
        </w:rPr>
        <w:t>situation extraordinaire</w:t>
      </w:r>
      <w:r w:rsidR="000D18C0">
        <w:rPr>
          <w:lang w:val="fr-FR"/>
        </w:rPr>
        <w:t> </w:t>
      </w:r>
      <w:r w:rsidRPr="007059B1">
        <w:rPr>
          <w:lang w:val="fr-FR"/>
        </w:rPr>
        <w:t>» au niveau national en raison du nombre croissant de cas de coronavirus dans le pays, le secrétariat a communiqué au Comité des transports intérieurs (CTI) et à son bureau des informations sur les effets conjugués de la COVID-19 et de la crise de liquidités sur le programme de travail 2020 du sous-programme Transports (voir le document ECE/TRANS/2021/5).</w:t>
      </w:r>
    </w:p>
    <w:p w14:paraId="1A9EBA15" w14:textId="77777777" w:rsidR="007059B1" w:rsidRPr="007059B1" w:rsidRDefault="007059B1" w:rsidP="00E925E7">
      <w:pPr>
        <w:pStyle w:val="SingleTxtG"/>
      </w:pPr>
      <w:r w:rsidRPr="007059B1">
        <w:rPr>
          <w:lang w:val="fr-FR"/>
        </w:rPr>
        <w:t>2.</w:t>
      </w:r>
      <w:r w:rsidRPr="007059B1">
        <w:rPr>
          <w:lang w:val="fr-FR"/>
        </w:rPr>
        <w:tab/>
        <w:t>L’objectif de la présente note est d’informer le Comité de l’état d’avancement des travaux prévus dans le programme de travail pour 2021.</w:t>
      </w:r>
    </w:p>
    <w:p w14:paraId="5655893A" w14:textId="447A3099" w:rsidR="007059B1" w:rsidRPr="007059B1" w:rsidRDefault="005E3F9C" w:rsidP="005E3F9C">
      <w:pPr>
        <w:pStyle w:val="HChG"/>
      </w:pPr>
      <w:r>
        <w:rPr>
          <w:lang w:val="fr-FR"/>
        </w:rPr>
        <w:tab/>
      </w:r>
      <w:r w:rsidR="007059B1" w:rsidRPr="007059B1">
        <w:rPr>
          <w:lang w:val="fr-FR"/>
        </w:rPr>
        <w:t>II.</w:t>
      </w:r>
      <w:r w:rsidR="007059B1" w:rsidRPr="007059B1">
        <w:rPr>
          <w:lang w:val="fr-FR"/>
        </w:rPr>
        <w:tab/>
        <w:t>Mesures d’ajustement</w:t>
      </w:r>
    </w:p>
    <w:p w14:paraId="2A7E487E" w14:textId="7AA013A9" w:rsidR="007059B1" w:rsidRPr="007059B1" w:rsidRDefault="005E3F9C" w:rsidP="005E3F9C">
      <w:pPr>
        <w:pStyle w:val="H1G"/>
      </w:pPr>
      <w:r>
        <w:tab/>
      </w:r>
      <w:r w:rsidR="007059B1" w:rsidRPr="007059B1">
        <w:rPr>
          <w:lang w:val="fr-FR"/>
        </w:rPr>
        <w:t>A.</w:t>
      </w:r>
      <w:r w:rsidR="007059B1" w:rsidRPr="007059B1">
        <w:rPr>
          <w:lang w:val="fr-FR"/>
        </w:rPr>
        <w:tab/>
        <w:t>Procédures spéciales mises en place pendant la pandémie de COVID-19</w:t>
      </w:r>
    </w:p>
    <w:p w14:paraId="49AFDC1F" w14:textId="77777777" w:rsidR="007059B1" w:rsidRPr="007059B1" w:rsidRDefault="007059B1" w:rsidP="00E925E7">
      <w:pPr>
        <w:pStyle w:val="SingleTxtG"/>
      </w:pPr>
      <w:r w:rsidRPr="007059B1">
        <w:rPr>
          <w:lang w:val="fr-FR"/>
        </w:rPr>
        <w:t>3.</w:t>
      </w:r>
      <w:r w:rsidRPr="007059B1">
        <w:rPr>
          <w:lang w:val="fr-FR"/>
        </w:rPr>
        <w:tab/>
        <w:t>Aucun changement n’a été apporté aux procédures spéciales qui avaient été établies en 2020.</w:t>
      </w:r>
    </w:p>
    <w:p w14:paraId="7A9C5CA3" w14:textId="67ED1656" w:rsidR="007059B1" w:rsidRPr="007059B1" w:rsidRDefault="005E3F9C" w:rsidP="0079253C">
      <w:pPr>
        <w:pStyle w:val="H1G"/>
        <w:tabs>
          <w:tab w:val="left" w:pos="408"/>
        </w:tabs>
      </w:pPr>
      <w:r>
        <w:tab/>
      </w:r>
      <w:r w:rsidR="0079253C">
        <w:tab/>
      </w:r>
      <w:r w:rsidR="007059B1" w:rsidRPr="007059B1">
        <w:rPr>
          <w:lang w:val="fr-FR"/>
        </w:rPr>
        <w:t>B.</w:t>
      </w:r>
      <w:r w:rsidR="007059B1" w:rsidRPr="007059B1">
        <w:rPr>
          <w:lang w:val="fr-FR"/>
        </w:rPr>
        <w:tab/>
        <w:t>Gestion des conférences</w:t>
      </w:r>
      <w:r w:rsidR="000D18C0">
        <w:rPr>
          <w:lang w:val="fr-FR"/>
        </w:rPr>
        <w:t> </w:t>
      </w:r>
      <w:r w:rsidR="007059B1" w:rsidRPr="007059B1">
        <w:rPr>
          <w:lang w:val="fr-FR"/>
        </w:rPr>
        <w:t>: changements d’orientation</w:t>
      </w:r>
    </w:p>
    <w:p w14:paraId="5B9ACF13" w14:textId="65BBFAE3" w:rsidR="007059B1" w:rsidRPr="007059B1" w:rsidRDefault="007059B1" w:rsidP="00E925E7">
      <w:pPr>
        <w:pStyle w:val="SingleTxtG"/>
      </w:pPr>
      <w:r w:rsidRPr="007059B1">
        <w:rPr>
          <w:lang w:val="fr-FR"/>
        </w:rPr>
        <w:t>4.</w:t>
      </w:r>
      <w:r w:rsidRPr="007059B1">
        <w:rPr>
          <w:lang w:val="fr-FR"/>
        </w:rPr>
        <w:tab/>
        <w:t xml:space="preserve">En raison des mesures prises pour atténuer les effets de la COVID-19, de la crise de liquidités et des contraintes imposées par le Plan stratégique patrimonial pour le Palais des </w:t>
      </w:r>
      <w:r w:rsidRPr="007059B1">
        <w:rPr>
          <w:lang w:val="fr-FR"/>
        </w:rPr>
        <w:lastRenderedPageBreak/>
        <w:t>Nations, la Division de la gestion des conférences de l’Office des Nations Unies à Genève (ONUG) a adopté en 2020, entre autres mesures, deux changements majeurs qui ont des conséquences sur les services de conférence et d’interprétation auxquels il est fait appel pour les réunions de la Commission économique pour l’Europe (CEE), à savoir</w:t>
      </w:r>
      <w:r w:rsidR="000D18C0">
        <w:rPr>
          <w:lang w:val="fr-FR"/>
        </w:rPr>
        <w:t> </w:t>
      </w:r>
      <w:r w:rsidRPr="007059B1">
        <w:rPr>
          <w:lang w:val="fr-FR"/>
        </w:rPr>
        <w:t xml:space="preserve">: </w:t>
      </w:r>
    </w:p>
    <w:p w14:paraId="5D070177" w14:textId="5A09EDE4" w:rsidR="007059B1" w:rsidRPr="007059B1" w:rsidRDefault="007059B1" w:rsidP="005E3F9C">
      <w:pPr>
        <w:pStyle w:val="Bullet1G"/>
      </w:pPr>
      <w:r w:rsidRPr="007059B1">
        <w:rPr>
          <w:lang w:val="fr-FR"/>
        </w:rPr>
        <w:t>Le quota de réunions appuyées par ces services alloué à la CEE a été réduit de trois par jour à une seule par jour ;</w:t>
      </w:r>
    </w:p>
    <w:p w14:paraId="70D00BD8" w14:textId="77777777" w:rsidR="007059B1" w:rsidRPr="007059B1" w:rsidRDefault="007059B1" w:rsidP="005E3F9C">
      <w:pPr>
        <w:pStyle w:val="Bullet1G"/>
      </w:pPr>
      <w:r w:rsidRPr="007059B1">
        <w:rPr>
          <w:lang w:val="fr-FR"/>
        </w:rPr>
        <w:t>La durée de l’interprétation a été réduite de trois heures par séance à deux heures par séance pour les réunions hybrides.</w:t>
      </w:r>
    </w:p>
    <w:p w14:paraId="78634099" w14:textId="7794BE16" w:rsidR="007059B1" w:rsidRPr="007059B1" w:rsidRDefault="007059B1" w:rsidP="00E925E7">
      <w:pPr>
        <w:pStyle w:val="SingleTxtG"/>
      </w:pPr>
      <w:r w:rsidRPr="007059B1">
        <w:rPr>
          <w:lang w:val="fr-FR"/>
        </w:rPr>
        <w:t>5.</w:t>
      </w:r>
      <w:r w:rsidRPr="007059B1">
        <w:rPr>
          <w:lang w:val="fr-FR"/>
        </w:rPr>
        <w:tab/>
        <w:t>Ces changements ont entraîné l’annulation, le report, la reprogrammation et le raccourcissement de réunions ainsi que le déclassement de certaines d’entre elles en réunions informelles en 2020 et pendant une partie de l’année 2021.</w:t>
      </w:r>
    </w:p>
    <w:p w14:paraId="12B2136A" w14:textId="204D5A37" w:rsidR="007059B1" w:rsidRPr="007059B1" w:rsidRDefault="007059B1" w:rsidP="00E925E7">
      <w:pPr>
        <w:pStyle w:val="SingleTxtG"/>
      </w:pPr>
      <w:r w:rsidRPr="007059B1">
        <w:rPr>
          <w:lang w:val="fr-FR"/>
        </w:rPr>
        <w:t>6.</w:t>
      </w:r>
      <w:r w:rsidRPr="007059B1">
        <w:rPr>
          <w:lang w:val="fr-FR"/>
        </w:rPr>
        <w:tab/>
        <w:t>Trois modifications majeures ont été appliquées en 2021 en ce qui concerne les restrictions susmentionnées :</w:t>
      </w:r>
    </w:p>
    <w:p w14:paraId="549F774A" w14:textId="77777777" w:rsidR="007059B1" w:rsidRPr="007059B1" w:rsidRDefault="007059B1" w:rsidP="005E3F9C">
      <w:pPr>
        <w:pStyle w:val="Bullet1G"/>
      </w:pPr>
      <w:r w:rsidRPr="007059B1">
        <w:rPr>
          <w:lang w:val="fr-FR"/>
        </w:rPr>
        <w:t>À compter du 5 juillet 2021, la durée des séances hybrides est repassée de deux à trois heures ;</w:t>
      </w:r>
    </w:p>
    <w:p w14:paraId="04B02B0D" w14:textId="2CFB022D" w:rsidR="007059B1" w:rsidRPr="007059B1" w:rsidRDefault="007059B1" w:rsidP="005E3F9C">
      <w:pPr>
        <w:pStyle w:val="Bullet1G"/>
      </w:pPr>
      <w:r w:rsidRPr="007059B1">
        <w:rPr>
          <w:lang w:val="fr-FR"/>
        </w:rPr>
        <w:t>À partir du dernier tiers de l’année 2021 (septembre-décembre), le quota alloué à la CEE a été rétabli à trois réunions par jour, à condition qu’</w:t>
      </w:r>
      <w:r w:rsidRPr="007059B1">
        <w:rPr>
          <w:b/>
          <w:bCs/>
          <w:lang w:val="fr-FR"/>
        </w:rPr>
        <w:t>une seule salle de conférence avec interprétation/plate-forme hybride par jour soit gérée par l’ONUG</w:t>
      </w:r>
      <w:r w:rsidRPr="007059B1">
        <w:rPr>
          <w:lang w:val="fr-FR"/>
        </w:rPr>
        <w:t>. Deux salles de conférence supplémentaires avec interprétation/</w:t>
      </w:r>
      <w:proofErr w:type="spellStart"/>
      <w:r w:rsidRPr="007059B1">
        <w:rPr>
          <w:lang w:val="fr-FR"/>
        </w:rPr>
        <w:t>plateforme</w:t>
      </w:r>
      <w:proofErr w:type="spellEnd"/>
      <w:r w:rsidRPr="007059B1">
        <w:rPr>
          <w:lang w:val="fr-FR"/>
        </w:rPr>
        <w:t xml:space="preserve"> hybride par jour peuvent être mises à disposition, à condition que la CEE s’occupe des aspects techniques</w:t>
      </w:r>
      <w:r w:rsidR="000D18C0">
        <w:rPr>
          <w:lang w:val="fr-FR"/>
        </w:rPr>
        <w:t xml:space="preserve"> </w:t>
      </w:r>
      <w:r w:rsidRPr="007059B1">
        <w:rPr>
          <w:lang w:val="fr-FR"/>
        </w:rPr>
        <w:t>des réunions</w:t>
      </w:r>
      <w:r w:rsidR="005E3F9C">
        <w:rPr>
          <w:lang w:val="fr-FR"/>
        </w:rPr>
        <w:t> </w:t>
      </w:r>
      <w:r w:rsidRPr="007059B1">
        <w:rPr>
          <w:lang w:val="fr-FR"/>
        </w:rPr>
        <w:t>;</w:t>
      </w:r>
    </w:p>
    <w:p w14:paraId="75704B0A" w14:textId="2AA9AE20" w:rsidR="007059B1" w:rsidRPr="007059B1" w:rsidRDefault="007059B1" w:rsidP="005E3F9C">
      <w:pPr>
        <w:pStyle w:val="Bullet1G"/>
      </w:pPr>
      <w:r w:rsidRPr="007059B1">
        <w:rPr>
          <w:lang w:val="fr-FR"/>
        </w:rPr>
        <w:t>La décision de revenir à des séances de trois heures a été partiellement suspendue à compter du 1</w:t>
      </w:r>
      <w:r w:rsidRPr="007059B1">
        <w:rPr>
          <w:vertAlign w:val="superscript"/>
          <w:lang w:val="fr-FR"/>
        </w:rPr>
        <w:t>er</w:t>
      </w:r>
      <w:r w:rsidRPr="007059B1">
        <w:rPr>
          <w:lang w:val="fr-FR"/>
        </w:rPr>
        <w:t xml:space="preserve"> novembre 2021. Dans la note verbale y afférente, le secrétariat était informé que cet aménagement exceptionnel ne pouvait plus être prolongé au-delà du 30</w:t>
      </w:r>
      <w:r w:rsidR="000D18C0">
        <w:rPr>
          <w:lang w:val="fr-FR"/>
        </w:rPr>
        <w:t> </w:t>
      </w:r>
      <w:r w:rsidRPr="007059B1">
        <w:rPr>
          <w:lang w:val="fr-FR"/>
        </w:rPr>
        <w:t>octobre, en raison de la pénurie d’interprètes indépendants sur le marché mondial. À compter du 1</w:t>
      </w:r>
      <w:r w:rsidRPr="007059B1">
        <w:rPr>
          <w:vertAlign w:val="superscript"/>
          <w:lang w:val="fr-FR"/>
        </w:rPr>
        <w:t>er</w:t>
      </w:r>
      <w:r w:rsidRPr="007059B1">
        <w:rPr>
          <w:lang w:val="fr-FR"/>
        </w:rPr>
        <w:t xml:space="preserve"> novembre, la durée des réunions hybrides et virtuelles avec interprétation repasserait à deux (2) heures lorsque la participation à distance active dépasserait </w:t>
      </w:r>
      <w:r w:rsidR="000D18C0">
        <w:rPr>
          <w:lang w:val="fr-FR"/>
        </w:rPr>
        <w:t>trente</w:t>
      </w:r>
      <w:r w:rsidRPr="007059B1">
        <w:rPr>
          <w:lang w:val="fr-FR"/>
        </w:rPr>
        <w:t xml:space="preserve"> minutes. La situation serait réévaluée à la mi-décembre et il serait rendu compte des changements qu’il aura été décidé d’apporter, le cas échéant.</w:t>
      </w:r>
    </w:p>
    <w:p w14:paraId="6FFBBD1C" w14:textId="77777777" w:rsidR="007059B1" w:rsidRPr="007059B1" w:rsidRDefault="007059B1" w:rsidP="00E925E7">
      <w:pPr>
        <w:pStyle w:val="SingleTxtG"/>
      </w:pPr>
      <w:r w:rsidRPr="007059B1">
        <w:rPr>
          <w:lang w:val="fr-FR"/>
        </w:rPr>
        <w:t>7.</w:t>
      </w:r>
      <w:r w:rsidRPr="007059B1">
        <w:rPr>
          <w:lang w:val="fr-FR"/>
        </w:rPr>
        <w:tab/>
        <w:t>En raison de ces changements stratégiques, le secrétariat a dû redéfinir, à l’échelle de l’ONUG, les priorités concernant les réunions programmées, exercice auquel ont directement participé le personnel, les secrétaires et, en dernier recours, l’équipe dirigeante (directeurs et directrices) et qui a donné lieu à d’intenses négociations.</w:t>
      </w:r>
    </w:p>
    <w:p w14:paraId="2792CC64" w14:textId="267BC987" w:rsidR="007059B1" w:rsidRPr="007059B1" w:rsidRDefault="005E3F9C" w:rsidP="005E3F9C">
      <w:pPr>
        <w:pStyle w:val="H1G"/>
      </w:pPr>
      <w:r>
        <w:tab/>
      </w:r>
      <w:r w:rsidR="007059B1" w:rsidRPr="007059B1">
        <w:rPr>
          <w:lang w:val="fr-FR"/>
        </w:rPr>
        <w:t>C.</w:t>
      </w:r>
      <w:r w:rsidR="007059B1" w:rsidRPr="007059B1">
        <w:rPr>
          <w:lang w:val="fr-FR"/>
        </w:rPr>
        <w:tab/>
        <w:t>Incidences sur les tâches confiées au personnel</w:t>
      </w:r>
    </w:p>
    <w:p w14:paraId="45B7DD7D" w14:textId="75EF111D" w:rsidR="007059B1" w:rsidRPr="007059B1" w:rsidRDefault="007059B1" w:rsidP="00E925E7">
      <w:pPr>
        <w:pStyle w:val="SingleTxtG"/>
      </w:pPr>
      <w:r w:rsidRPr="007059B1">
        <w:rPr>
          <w:lang w:val="fr-FR"/>
        </w:rPr>
        <w:t>8.</w:t>
      </w:r>
      <w:r w:rsidRPr="007059B1">
        <w:rPr>
          <w:lang w:val="fr-FR"/>
        </w:rPr>
        <w:tab/>
        <w:t>En raison des circonstances exceptionnelles décrites ci-dessus et comme il a été décidé de rétablir les quotas alloués à la CEE à trois réunions par jour, le personnel de la Division des transports durables a été affecté à des tâches de gestion technique des réunions, afin que des réunions officielles avec interprétation puissent être organisées au bénéfice des États membres et des Parties contractantes.</w:t>
      </w:r>
    </w:p>
    <w:p w14:paraId="39B8D0FD" w14:textId="481B5430" w:rsidR="007059B1" w:rsidRPr="007059B1" w:rsidRDefault="005E3F9C" w:rsidP="005E3F9C">
      <w:pPr>
        <w:pStyle w:val="H1G"/>
      </w:pPr>
      <w:r>
        <w:tab/>
      </w:r>
      <w:r w:rsidR="007059B1" w:rsidRPr="007059B1">
        <w:rPr>
          <w:lang w:val="fr-FR"/>
        </w:rPr>
        <w:t>D.</w:t>
      </w:r>
      <w:r w:rsidR="007059B1" w:rsidRPr="007059B1">
        <w:rPr>
          <w:lang w:val="fr-FR"/>
        </w:rPr>
        <w:tab/>
        <w:t>Annulations, reports, réunions informelles à distance (en ligne) et manifestations combinant des volets informel et formel</w:t>
      </w:r>
    </w:p>
    <w:p w14:paraId="023645D1" w14:textId="77777777" w:rsidR="007059B1" w:rsidRPr="007059B1" w:rsidRDefault="007059B1" w:rsidP="00E925E7">
      <w:pPr>
        <w:pStyle w:val="SingleTxtG"/>
      </w:pPr>
      <w:r w:rsidRPr="007059B1">
        <w:rPr>
          <w:lang w:val="fr-FR"/>
        </w:rPr>
        <w:t>9.</w:t>
      </w:r>
      <w:r w:rsidRPr="007059B1">
        <w:rPr>
          <w:lang w:val="fr-FR"/>
        </w:rPr>
        <w:tab/>
        <w:t>La situation exceptionnelle et les ajustements décrits ci-dessus ont entraîné le report ou l’annulation de plusieurs réunions des comités sectoriels de la CEE et de leurs organes subsidiaires. D’autres ont été limitées à des séances de deux heures avec interprétation, ce qui a eu des répercussions sur leur ordre du jour.</w:t>
      </w:r>
    </w:p>
    <w:p w14:paraId="77211679" w14:textId="77777777" w:rsidR="007059B1" w:rsidRPr="007059B1" w:rsidRDefault="007059B1" w:rsidP="00E925E7">
      <w:pPr>
        <w:pStyle w:val="SingleTxtG"/>
      </w:pPr>
      <w:r w:rsidRPr="005178D2">
        <w:rPr>
          <w:lang w:val="fr-FR"/>
        </w:rPr>
        <w:t>10.</w:t>
      </w:r>
      <w:r w:rsidRPr="005178D2">
        <w:rPr>
          <w:lang w:val="fr-FR"/>
        </w:rPr>
        <w:tab/>
        <w:t>Compte tenu de la conjoncture et dans le strict respect de la décision du Comité</w:t>
      </w:r>
      <w:r w:rsidRPr="007059B1">
        <w:rPr>
          <w:lang w:val="fr-FR"/>
        </w:rPr>
        <w:t xml:space="preserve"> exécutif relative aux procédures spéciales applicables aux organes subsidiaires du CTI, d’autres réunions se sont tenues en ligne, conformément aux procédures spéciales, afin d’assurer la continuité des activités.</w:t>
      </w:r>
    </w:p>
    <w:p w14:paraId="4B681EF6" w14:textId="77777777" w:rsidR="007059B1" w:rsidRPr="007059B1" w:rsidRDefault="007059B1" w:rsidP="00E925E7">
      <w:pPr>
        <w:pStyle w:val="SingleTxtG"/>
      </w:pPr>
      <w:r w:rsidRPr="007059B1">
        <w:rPr>
          <w:lang w:val="fr-FR"/>
        </w:rPr>
        <w:t>11.</w:t>
      </w:r>
      <w:r w:rsidRPr="007059B1">
        <w:rPr>
          <w:lang w:val="fr-FR"/>
        </w:rPr>
        <w:tab/>
        <w:t>En outre, la durée de plusieurs réunions a été raccourcie, le temps alloué aux formules hybrides étant limité, et certaines réunions programmées se sont tenues sous forme de réunions « mixtes » combinant des volets informel et formel, à la suite de négociations internes organisées entre les divisions de la CEE, de façon à répondre aux besoins d’autant de sous-programmes que possible dans le cadre de la limitation de quota appliquée par l’ONUG.</w:t>
      </w:r>
    </w:p>
    <w:p w14:paraId="7478AFA3" w14:textId="5B79853C" w:rsidR="007059B1" w:rsidRPr="007059B1" w:rsidRDefault="005E3F9C" w:rsidP="005E3F9C">
      <w:pPr>
        <w:pStyle w:val="HChG"/>
      </w:pPr>
      <w:r>
        <w:rPr>
          <w:lang w:val="fr-FR"/>
        </w:rPr>
        <w:tab/>
      </w:r>
      <w:r w:rsidR="007059B1" w:rsidRPr="007059B1">
        <w:rPr>
          <w:lang w:val="fr-FR"/>
        </w:rPr>
        <w:t>III.</w:t>
      </w:r>
      <w:r w:rsidR="007059B1" w:rsidRPr="007059B1">
        <w:rPr>
          <w:lang w:val="fr-FR"/>
        </w:rPr>
        <w:tab/>
        <w:t>Conséquences sur les travaux du sous-programme Transports</w:t>
      </w:r>
    </w:p>
    <w:p w14:paraId="54F6EC1C" w14:textId="342AF6BF" w:rsidR="007059B1" w:rsidRPr="007059B1" w:rsidRDefault="007059B1" w:rsidP="00E925E7">
      <w:pPr>
        <w:pStyle w:val="SingleTxtG"/>
      </w:pPr>
      <w:r w:rsidRPr="007059B1">
        <w:rPr>
          <w:lang w:val="fr-FR"/>
        </w:rPr>
        <w:t>12.</w:t>
      </w:r>
      <w:r w:rsidRPr="007059B1">
        <w:rPr>
          <w:lang w:val="fr-FR"/>
        </w:rPr>
        <w:tab/>
        <w:t>Il est rendu compte, dans cette troisième section, des estimations relatives aux effets conjugués de la pandémie de COVID-19 et de la crise de liquidités sur le sous-programme Transports.</w:t>
      </w:r>
    </w:p>
    <w:p w14:paraId="1FCCDD98" w14:textId="56856A99" w:rsidR="007059B1" w:rsidRPr="007059B1" w:rsidRDefault="007059B1" w:rsidP="00E925E7">
      <w:pPr>
        <w:pStyle w:val="SingleTxtG"/>
      </w:pPr>
      <w:r w:rsidRPr="007059B1">
        <w:rPr>
          <w:lang w:val="fr-FR"/>
        </w:rPr>
        <w:t>13.</w:t>
      </w:r>
      <w:r w:rsidRPr="007059B1">
        <w:rPr>
          <w:lang w:val="fr-FR"/>
        </w:rPr>
        <w:tab/>
        <w:t>Globalement, compte tenu des informations disponibles au moment de la rédaction du présent document, on peut affirmer avec certitude que la situation en 2021 est nettement meilleure qu’en 2020. En effet, 93</w:t>
      </w:r>
      <w:r w:rsidR="005178D2">
        <w:rPr>
          <w:lang w:val="fr-FR"/>
        </w:rPr>
        <w:t> </w:t>
      </w:r>
      <w:r w:rsidRPr="007059B1">
        <w:rPr>
          <w:lang w:val="fr-FR"/>
        </w:rPr>
        <w:t>% des produits définis dans le programme de travail 2021 du sous-programme Transports devraient être réalisés. Toutefois, des problèmes liés à la qualité ont été signalés, comme indiqué dans cette section</w:t>
      </w:r>
      <w:r w:rsidRPr="007059B1">
        <w:rPr>
          <w:sz w:val="18"/>
          <w:vertAlign w:val="superscript"/>
        </w:rPr>
        <w:footnoteReference w:id="3"/>
      </w:r>
      <w:r w:rsidRPr="007059B1">
        <w:rPr>
          <w:lang w:val="fr-FR"/>
        </w:rPr>
        <w:t>. La présente note traite essentiellement des conséquences sur</w:t>
      </w:r>
      <w:r w:rsidR="005E3F9C">
        <w:rPr>
          <w:lang w:val="fr-FR"/>
        </w:rPr>
        <w:t> </w:t>
      </w:r>
      <w:r w:rsidRPr="007059B1">
        <w:rPr>
          <w:lang w:val="fr-FR"/>
        </w:rPr>
        <w:t>:</w:t>
      </w:r>
    </w:p>
    <w:p w14:paraId="115DC785" w14:textId="39BC9502" w:rsidR="007059B1" w:rsidRPr="007059B1" w:rsidRDefault="007059B1" w:rsidP="005E3F9C">
      <w:pPr>
        <w:pStyle w:val="SingleTxtG"/>
        <w:ind w:firstLine="567"/>
      </w:pPr>
      <w:r w:rsidRPr="007059B1">
        <w:rPr>
          <w:lang w:val="fr-FR"/>
        </w:rPr>
        <w:t>a)</w:t>
      </w:r>
      <w:r w:rsidRPr="007059B1">
        <w:rPr>
          <w:lang w:val="fr-FR"/>
        </w:rPr>
        <w:tab/>
        <w:t xml:space="preserve">Les réunions des organes subsidiaires du CTI, qui constituent le fondement des travaux réglementaires que le Comité effectue conformément à son rôle de </w:t>
      </w:r>
      <w:proofErr w:type="spellStart"/>
      <w:r w:rsidRPr="007059B1">
        <w:rPr>
          <w:lang w:val="fr-FR"/>
        </w:rPr>
        <w:t>plateforme</w:t>
      </w:r>
      <w:proofErr w:type="spellEnd"/>
      <w:r w:rsidRPr="007059B1">
        <w:rPr>
          <w:lang w:val="fr-FR"/>
        </w:rPr>
        <w:t xml:space="preserve"> des Nations</w:t>
      </w:r>
      <w:r w:rsidR="005178D2">
        <w:rPr>
          <w:lang w:val="fr-FR"/>
        </w:rPr>
        <w:t> </w:t>
      </w:r>
      <w:r w:rsidRPr="007059B1">
        <w:rPr>
          <w:lang w:val="fr-FR"/>
        </w:rPr>
        <w:t>Unies pour les transports intérieurs</w:t>
      </w:r>
      <w:r w:rsidR="005E3F9C">
        <w:rPr>
          <w:lang w:val="fr-FR"/>
        </w:rPr>
        <w:t> </w:t>
      </w:r>
      <w:r w:rsidRPr="007059B1">
        <w:rPr>
          <w:lang w:val="fr-FR"/>
        </w:rPr>
        <w:t>;</w:t>
      </w:r>
    </w:p>
    <w:p w14:paraId="55BBEEBD" w14:textId="77777777" w:rsidR="007059B1" w:rsidRPr="007059B1" w:rsidRDefault="007059B1" w:rsidP="005E3F9C">
      <w:pPr>
        <w:pStyle w:val="SingleTxtG"/>
        <w:ind w:firstLine="567"/>
      </w:pPr>
      <w:r w:rsidRPr="007059B1">
        <w:rPr>
          <w:lang w:val="fr-FR"/>
        </w:rPr>
        <w:t>b)</w:t>
      </w:r>
      <w:r w:rsidRPr="007059B1">
        <w:rPr>
          <w:lang w:val="fr-FR"/>
        </w:rPr>
        <w:tab/>
        <w:t>La documentation, essentielle à la mise à jour des instruments juridiques.</w:t>
      </w:r>
    </w:p>
    <w:p w14:paraId="25C2B60F" w14:textId="12AD4E03" w:rsidR="007059B1" w:rsidRPr="007059B1" w:rsidRDefault="005E3F9C" w:rsidP="005E3F9C">
      <w:pPr>
        <w:pStyle w:val="H1G"/>
      </w:pPr>
      <w:r>
        <w:rPr>
          <w:lang w:val="fr-FR"/>
        </w:rPr>
        <w:tab/>
      </w:r>
      <w:r w:rsidR="007059B1" w:rsidRPr="007059B1">
        <w:rPr>
          <w:lang w:val="fr-FR"/>
        </w:rPr>
        <w:t>A.</w:t>
      </w:r>
      <w:r w:rsidR="007059B1" w:rsidRPr="007059B1">
        <w:rPr>
          <w:lang w:val="fr-FR"/>
        </w:rPr>
        <w:tab/>
        <w:t>Conséquences sur les réunions</w:t>
      </w:r>
    </w:p>
    <w:p w14:paraId="39CF186B" w14:textId="7FF95AAA" w:rsidR="007059B1" w:rsidRPr="007059B1" w:rsidRDefault="005E3F9C" w:rsidP="005E3F9C">
      <w:pPr>
        <w:pStyle w:val="H23G"/>
      </w:pPr>
      <w:r>
        <w:tab/>
      </w:r>
      <w:r w:rsidR="007059B1" w:rsidRPr="007059B1">
        <w:rPr>
          <w:lang w:val="fr-FR"/>
        </w:rPr>
        <w:t>1.</w:t>
      </w:r>
      <w:r w:rsidR="007059B1" w:rsidRPr="007059B1">
        <w:rPr>
          <w:lang w:val="fr-FR"/>
        </w:rPr>
        <w:tab/>
        <w:t>Conséquences sur les réunions des organes permanents (groupes de travail)</w:t>
      </w:r>
    </w:p>
    <w:p w14:paraId="58E898D6" w14:textId="1D968C3A" w:rsidR="007059B1" w:rsidRPr="007059B1" w:rsidRDefault="007059B1" w:rsidP="00E925E7">
      <w:pPr>
        <w:pStyle w:val="SingleTxtG"/>
      </w:pPr>
      <w:r w:rsidRPr="007059B1">
        <w:rPr>
          <w:lang w:val="fr-FR"/>
        </w:rPr>
        <w:t>14.</w:t>
      </w:r>
      <w:r w:rsidRPr="007059B1">
        <w:rPr>
          <w:lang w:val="fr-FR"/>
        </w:rPr>
        <w:tab/>
        <w:t>Au moment de la rédaction de la présente note, les effets conjugués de la COVID-19 et de la crise de liquidités sur la tenue des réunions de plusieurs groupes de travail du CTI prévues en 2021 ne s’étaient pas encore totalement fait sentir, mais il est déjà possible d’affirmer qu’ils seront moins importants qu’en 2020.</w:t>
      </w:r>
    </w:p>
    <w:p w14:paraId="6E3C2D05" w14:textId="02474C95" w:rsidR="007059B1" w:rsidRPr="007059B1" w:rsidRDefault="007059B1" w:rsidP="00E925E7">
      <w:pPr>
        <w:pStyle w:val="SingleTxtG"/>
        <w:rPr>
          <w:spacing w:val="-4"/>
        </w:rPr>
      </w:pPr>
      <w:r w:rsidRPr="007059B1">
        <w:rPr>
          <w:lang w:val="fr-FR"/>
        </w:rPr>
        <w:t>15.</w:t>
      </w:r>
      <w:r w:rsidRPr="007059B1">
        <w:rPr>
          <w:lang w:val="fr-FR"/>
        </w:rPr>
        <w:tab/>
        <w:t>Si l’on tient compte des réunions combinant des volets formel (réunions en présentiel et hybrides avec interprétation) et informel (sans interprétation) organisées conformément aux procédures spéciales, 76</w:t>
      </w:r>
      <w:r w:rsidR="005178D2">
        <w:rPr>
          <w:lang w:val="fr-FR"/>
        </w:rPr>
        <w:t> </w:t>
      </w:r>
      <w:r w:rsidRPr="007059B1">
        <w:rPr>
          <w:lang w:val="fr-FR"/>
        </w:rPr>
        <w:t>% au minimum des réunions des groupes de travail prévues en 2021 ont eu lieu (voir tableau</w:t>
      </w:r>
      <w:r w:rsidR="005178D2">
        <w:rPr>
          <w:lang w:val="fr-FR"/>
        </w:rPr>
        <w:t> </w:t>
      </w:r>
      <w:r w:rsidRPr="007059B1">
        <w:rPr>
          <w:lang w:val="fr-FR"/>
        </w:rPr>
        <w:t>1). À titre de comparaison, en 2020, pour certains groupes, le taux d’organisation effective des réunions n’était que de 35</w:t>
      </w:r>
      <w:r w:rsidR="005178D2">
        <w:rPr>
          <w:lang w:val="fr-FR"/>
        </w:rPr>
        <w:t> </w:t>
      </w:r>
      <w:r w:rsidRPr="007059B1">
        <w:rPr>
          <w:lang w:val="fr-FR"/>
        </w:rPr>
        <w:t>%.</w:t>
      </w:r>
    </w:p>
    <w:p w14:paraId="15980C82" w14:textId="4AAAE6BC" w:rsidR="007059B1" w:rsidRPr="007059B1" w:rsidRDefault="007059B1" w:rsidP="00E925E7">
      <w:pPr>
        <w:pStyle w:val="SingleTxtG"/>
      </w:pPr>
      <w:r w:rsidRPr="007059B1">
        <w:rPr>
          <w:lang w:val="fr-FR"/>
        </w:rPr>
        <w:t>16.</w:t>
      </w:r>
      <w:r w:rsidRPr="007059B1">
        <w:rPr>
          <w:lang w:val="fr-FR"/>
        </w:rPr>
        <w:tab/>
        <w:t>Globalement, le sous-programme dans son ensemble devrait permettre d’organiser la totalité des réunions des groupes de travail prévues, si l’on compte les réunions avec et sans interprétation (voir tableau</w:t>
      </w:r>
      <w:r w:rsidR="005178D2">
        <w:rPr>
          <w:lang w:val="fr-FR"/>
        </w:rPr>
        <w:t> </w:t>
      </w:r>
      <w:r w:rsidRPr="007059B1">
        <w:rPr>
          <w:lang w:val="fr-FR"/>
        </w:rPr>
        <w:t>1, colonne (e)).</w:t>
      </w:r>
    </w:p>
    <w:p w14:paraId="05249C17" w14:textId="391CF2C9" w:rsidR="007059B1" w:rsidRPr="007059B1" w:rsidRDefault="007059B1" w:rsidP="00E925E7">
      <w:pPr>
        <w:pStyle w:val="SingleTxtG"/>
      </w:pPr>
      <w:r w:rsidRPr="007059B1">
        <w:rPr>
          <w:lang w:val="fr-FR"/>
        </w:rPr>
        <w:t>17.</w:t>
      </w:r>
      <w:r w:rsidRPr="007059B1">
        <w:rPr>
          <w:lang w:val="fr-FR"/>
        </w:rPr>
        <w:tab/>
        <w:t xml:space="preserve">Cependant, le multilinguisme et la capacité d’organiser des réunions avec des services complets d’interprétation sont essentiels à la bonne exécution du mandat du Comité et de ses organes subsidiaires. Cela étant, </w:t>
      </w:r>
      <w:r w:rsidRPr="007059B1">
        <w:rPr>
          <w:b/>
          <w:bCs/>
          <w:lang w:val="fr-FR"/>
        </w:rPr>
        <w:t>seules 69</w:t>
      </w:r>
      <w:r w:rsidR="005178D2">
        <w:rPr>
          <w:b/>
          <w:bCs/>
          <w:lang w:val="fr-FR"/>
        </w:rPr>
        <w:t> </w:t>
      </w:r>
      <w:r w:rsidRPr="007059B1">
        <w:rPr>
          <w:b/>
          <w:bCs/>
          <w:lang w:val="fr-FR"/>
        </w:rPr>
        <w:t>% des réunions se dérouleront avec interprétation</w:t>
      </w:r>
      <w:r w:rsidRPr="007059B1">
        <w:rPr>
          <w:lang w:val="fr-FR"/>
        </w:rPr>
        <w:t>. En outre, plusieurs secrétaires ont signalé les conséquences sur la qualité de la difficulté à dégager un consensus en raison des contraintes associées aux réunions virtuelles, notamment le décalage horaire et la durée réduite des séances.</w:t>
      </w:r>
    </w:p>
    <w:p w14:paraId="6884CF0F" w14:textId="50BD01EF" w:rsidR="007059B1" w:rsidRPr="007059B1" w:rsidRDefault="007059B1" w:rsidP="00E925E7">
      <w:pPr>
        <w:pStyle w:val="SingleTxtG"/>
        <w:rPr>
          <w:spacing w:val="-4"/>
        </w:rPr>
      </w:pPr>
      <w:r w:rsidRPr="007059B1">
        <w:rPr>
          <w:lang w:val="fr-FR"/>
        </w:rPr>
        <w:t>18.</w:t>
      </w:r>
      <w:r w:rsidRPr="007059B1">
        <w:rPr>
          <w:lang w:val="fr-FR"/>
        </w:rPr>
        <w:tab/>
        <w:t xml:space="preserve">De plus, afin de garantir ce pourcentage de réunions avec interprétation, des membres du personnel de la Division ont été réaffectés de façon à aider l’ONUG à assurer la gestion technique des réunions. </w:t>
      </w:r>
      <w:r w:rsidRPr="007059B1">
        <w:rPr>
          <w:b/>
          <w:bCs/>
          <w:lang w:val="fr-FR"/>
        </w:rPr>
        <w:t>Dans l’ensemble, en 2021, on estime que dans 28</w:t>
      </w:r>
      <w:r w:rsidR="005178D2">
        <w:rPr>
          <w:b/>
          <w:bCs/>
          <w:lang w:val="fr-FR"/>
        </w:rPr>
        <w:t> </w:t>
      </w:r>
      <w:r w:rsidRPr="007059B1">
        <w:rPr>
          <w:b/>
          <w:bCs/>
          <w:lang w:val="fr-FR"/>
        </w:rPr>
        <w:t xml:space="preserve">% des cas, des membres du personnel de la Division assureront la gestion technique des réunions avec interprétation, bien que cette règle ne soit entrée en vigueur qu’au cours du dernier tiers de l’année (septembre </w:t>
      </w:r>
      <w:r w:rsidR="005178D2">
        <w:rPr>
          <w:b/>
          <w:bCs/>
          <w:lang w:val="fr-FR"/>
        </w:rPr>
        <w:t>− </w:t>
      </w:r>
      <w:r w:rsidRPr="007059B1">
        <w:rPr>
          <w:b/>
          <w:bCs/>
          <w:lang w:val="fr-FR"/>
        </w:rPr>
        <w:t>décembre)</w:t>
      </w:r>
      <w:r w:rsidRPr="007059B1">
        <w:rPr>
          <w:lang w:val="fr-FR"/>
        </w:rPr>
        <w:t>. Au moment de la rédaction de la présente note, il est impossible d’affirmer qu’elle continuera d’être appliquée tout au long de l’année 2022. Elle s’applique néanmoins aux réunions du premier trimestre de l’année 2022.</w:t>
      </w:r>
    </w:p>
    <w:p w14:paraId="3BC54028" w14:textId="08BD6E41" w:rsidR="007059B1" w:rsidRPr="007059B1" w:rsidRDefault="007059B1" w:rsidP="005E3F9C">
      <w:pPr>
        <w:pStyle w:val="Titre1"/>
        <w:spacing w:after="120"/>
        <w:ind w:left="113"/>
      </w:pPr>
      <w:r w:rsidRPr="007059B1">
        <w:rPr>
          <w:lang w:val="fr-FR"/>
        </w:rPr>
        <w:t xml:space="preserve">Tableau 1 </w:t>
      </w:r>
      <w:r w:rsidR="005E3F9C">
        <w:rPr>
          <w:lang w:val="fr-FR"/>
        </w:rPr>
        <w:br/>
      </w:r>
      <w:r w:rsidRPr="007059B1">
        <w:rPr>
          <w:b/>
          <w:bCs/>
          <w:lang w:val="fr-FR"/>
        </w:rPr>
        <w:t>Conséquences de la COVID-19 et de la crise de liquidités sur les réunions des groupes de travail</w:t>
      </w:r>
    </w:p>
    <w:tbl>
      <w:tblPr>
        <w:tblW w:w="9639" w:type="dxa"/>
        <w:tblLayout w:type="fixed"/>
        <w:tblCellMar>
          <w:left w:w="0" w:type="dxa"/>
          <w:right w:w="0" w:type="dxa"/>
        </w:tblCellMar>
        <w:tblLook w:val="04A0" w:firstRow="1" w:lastRow="0" w:firstColumn="1" w:lastColumn="0" w:noHBand="0" w:noVBand="1"/>
      </w:tblPr>
      <w:tblGrid>
        <w:gridCol w:w="2266"/>
        <w:gridCol w:w="850"/>
        <w:gridCol w:w="851"/>
        <w:gridCol w:w="851"/>
        <w:gridCol w:w="851"/>
        <w:gridCol w:w="851"/>
        <w:gridCol w:w="851"/>
        <w:gridCol w:w="1134"/>
        <w:gridCol w:w="1134"/>
      </w:tblGrid>
      <w:tr w:rsidR="005E3F9C" w:rsidRPr="005E3F9C" w14:paraId="09369411" w14:textId="77777777" w:rsidTr="005E3F9C">
        <w:trPr>
          <w:tblHeader/>
        </w:trPr>
        <w:tc>
          <w:tcPr>
            <w:tcW w:w="2268" w:type="dxa"/>
            <w:tcBorders>
              <w:top w:val="single" w:sz="4" w:space="0" w:color="auto"/>
              <w:bottom w:val="single" w:sz="12" w:space="0" w:color="auto"/>
            </w:tcBorders>
            <w:shd w:val="clear" w:color="auto" w:fill="auto"/>
            <w:vAlign w:val="bottom"/>
            <w:hideMark/>
          </w:tcPr>
          <w:p w14:paraId="193B2543" w14:textId="10017FBE" w:rsidR="007059B1" w:rsidRPr="005E3F9C" w:rsidRDefault="007059B1" w:rsidP="005E3F9C">
            <w:pPr>
              <w:suppressAutoHyphens w:val="0"/>
              <w:spacing w:before="80" w:after="80" w:line="200" w:lineRule="exact"/>
              <w:rPr>
                <w:i/>
                <w:sz w:val="16"/>
              </w:rPr>
            </w:pPr>
            <w:r w:rsidRPr="005E3F9C">
              <w:rPr>
                <w:i/>
                <w:sz w:val="16"/>
                <w:lang w:val="fr-FR"/>
              </w:rPr>
              <w:t xml:space="preserve">Organe </w:t>
            </w:r>
            <w:r w:rsidR="005E3F9C">
              <w:rPr>
                <w:i/>
                <w:sz w:val="16"/>
                <w:lang w:val="fr-FR"/>
              </w:rPr>
              <w:br/>
            </w:r>
            <w:proofErr w:type="spellStart"/>
            <w:r w:rsidRPr="005E3F9C">
              <w:rPr>
                <w:i/>
                <w:sz w:val="16"/>
                <w:lang w:val="fr-FR"/>
              </w:rPr>
              <w:t>intergouvernemental</w:t>
            </w:r>
            <w:proofErr w:type="spellEnd"/>
          </w:p>
        </w:tc>
        <w:tc>
          <w:tcPr>
            <w:tcW w:w="851" w:type="dxa"/>
            <w:tcBorders>
              <w:top w:val="single" w:sz="4" w:space="0" w:color="auto"/>
              <w:bottom w:val="single" w:sz="12" w:space="0" w:color="auto"/>
            </w:tcBorders>
            <w:shd w:val="clear" w:color="auto" w:fill="auto"/>
            <w:vAlign w:val="bottom"/>
            <w:hideMark/>
          </w:tcPr>
          <w:p w14:paraId="0D112FF1" w14:textId="6941C8BC" w:rsidR="007059B1" w:rsidRPr="005E3F9C" w:rsidRDefault="007059B1" w:rsidP="005E3F9C">
            <w:pPr>
              <w:suppressAutoHyphens w:val="0"/>
              <w:spacing w:before="80" w:after="80" w:line="200" w:lineRule="exact"/>
              <w:jc w:val="right"/>
              <w:rPr>
                <w:i/>
                <w:sz w:val="16"/>
              </w:rPr>
            </w:pPr>
            <w:r w:rsidRPr="005E3F9C">
              <w:rPr>
                <w:i/>
                <w:sz w:val="16"/>
                <w:lang w:val="fr-FR"/>
              </w:rPr>
              <w:t xml:space="preserve">Réunions prévues </w:t>
            </w:r>
            <w:r w:rsidR="004255E0">
              <w:rPr>
                <w:i/>
                <w:sz w:val="16"/>
                <w:lang w:val="fr-FR"/>
              </w:rPr>
              <w:br/>
            </w:r>
            <w:r w:rsidRPr="005E3F9C">
              <w:rPr>
                <w:i/>
                <w:sz w:val="16"/>
                <w:lang w:val="fr-FR"/>
              </w:rPr>
              <w:t>en 2021(a)</w:t>
            </w:r>
          </w:p>
        </w:tc>
        <w:tc>
          <w:tcPr>
            <w:tcW w:w="851" w:type="dxa"/>
            <w:tcBorders>
              <w:top w:val="single" w:sz="4" w:space="0" w:color="auto"/>
              <w:bottom w:val="single" w:sz="12" w:space="0" w:color="auto"/>
            </w:tcBorders>
            <w:shd w:val="clear" w:color="auto" w:fill="auto"/>
            <w:vAlign w:val="bottom"/>
            <w:hideMark/>
          </w:tcPr>
          <w:p w14:paraId="6768F7A8" w14:textId="09CB1AFD" w:rsidR="007059B1" w:rsidRPr="007C55B7" w:rsidRDefault="007059B1" w:rsidP="005E3F9C">
            <w:pPr>
              <w:suppressAutoHyphens w:val="0"/>
              <w:spacing w:before="80" w:after="80" w:line="200" w:lineRule="exact"/>
              <w:jc w:val="right"/>
              <w:rPr>
                <w:i/>
                <w:sz w:val="16"/>
              </w:rPr>
            </w:pPr>
            <w:r w:rsidRPr="007C55B7">
              <w:rPr>
                <w:i/>
                <w:sz w:val="16"/>
                <w:lang w:val="fr-FR"/>
              </w:rPr>
              <w:t xml:space="preserve">Réunions tenues </w:t>
            </w:r>
            <w:r w:rsidR="004255E0" w:rsidRPr="007C55B7">
              <w:rPr>
                <w:i/>
                <w:sz w:val="16"/>
                <w:lang w:val="fr-FR"/>
              </w:rPr>
              <w:br/>
            </w:r>
            <w:r w:rsidRPr="007C55B7">
              <w:rPr>
                <w:i/>
                <w:sz w:val="16"/>
                <w:lang w:val="fr-FR"/>
              </w:rPr>
              <w:t>en 2021 (estimation)</w:t>
            </w:r>
            <w:r w:rsidR="007C55B7" w:rsidRPr="007C55B7">
              <w:rPr>
                <w:i/>
                <w:sz w:val="16"/>
                <w:lang w:val="fr-FR"/>
              </w:rPr>
              <w:t xml:space="preserve"> (b)</w:t>
            </w:r>
          </w:p>
        </w:tc>
        <w:tc>
          <w:tcPr>
            <w:tcW w:w="851" w:type="dxa"/>
            <w:tcBorders>
              <w:top w:val="single" w:sz="4" w:space="0" w:color="auto"/>
              <w:bottom w:val="single" w:sz="12" w:space="0" w:color="auto"/>
            </w:tcBorders>
            <w:shd w:val="clear" w:color="auto" w:fill="auto"/>
            <w:vAlign w:val="bottom"/>
            <w:hideMark/>
          </w:tcPr>
          <w:p w14:paraId="40F1D055" w14:textId="77777777" w:rsidR="007059B1" w:rsidRPr="007C55B7" w:rsidRDefault="007059B1" w:rsidP="005E3F9C">
            <w:pPr>
              <w:suppressAutoHyphens w:val="0"/>
              <w:spacing w:before="80" w:after="80" w:line="200" w:lineRule="exact"/>
              <w:jc w:val="right"/>
              <w:rPr>
                <w:i/>
                <w:spacing w:val="-4"/>
                <w:sz w:val="16"/>
              </w:rPr>
            </w:pPr>
            <w:r w:rsidRPr="007C55B7">
              <w:rPr>
                <w:i/>
                <w:spacing w:val="-4"/>
                <w:sz w:val="16"/>
                <w:lang w:val="fr-FR"/>
              </w:rPr>
              <w:t xml:space="preserve">Réunions tenues avec interprétation en 2021 </w:t>
            </w:r>
            <w:r w:rsidRPr="007C55B7">
              <w:rPr>
                <w:i/>
                <w:spacing w:val="-4"/>
                <w:sz w:val="16"/>
                <w:lang w:val="fr-FR"/>
              </w:rPr>
              <w:br/>
              <w:t>(c)*</w:t>
            </w:r>
          </w:p>
        </w:tc>
        <w:tc>
          <w:tcPr>
            <w:tcW w:w="851" w:type="dxa"/>
            <w:tcBorders>
              <w:top w:val="single" w:sz="4" w:space="0" w:color="auto"/>
              <w:bottom w:val="single" w:sz="12" w:space="0" w:color="auto"/>
            </w:tcBorders>
            <w:shd w:val="clear" w:color="auto" w:fill="auto"/>
            <w:vAlign w:val="bottom"/>
            <w:hideMark/>
          </w:tcPr>
          <w:p w14:paraId="17D220BA" w14:textId="77777777" w:rsidR="007059B1" w:rsidRPr="004255E0" w:rsidRDefault="007059B1" w:rsidP="005E3F9C">
            <w:pPr>
              <w:suppressAutoHyphens w:val="0"/>
              <w:spacing w:before="80" w:after="80" w:line="200" w:lineRule="exact"/>
              <w:jc w:val="right"/>
              <w:rPr>
                <w:i/>
                <w:spacing w:val="-4"/>
                <w:sz w:val="16"/>
                <w:lang w:val="fr-FR"/>
              </w:rPr>
            </w:pPr>
            <w:r w:rsidRPr="004255E0">
              <w:rPr>
                <w:i/>
                <w:spacing w:val="-4"/>
                <w:sz w:val="16"/>
                <w:lang w:val="fr-FR"/>
              </w:rPr>
              <w:t xml:space="preserve">Réunions tenues sans interprétation en 2021 </w:t>
            </w:r>
            <w:r w:rsidRPr="004255E0">
              <w:rPr>
                <w:i/>
                <w:spacing w:val="-4"/>
                <w:sz w:val="16"/>
                <w:lang w:val="fr-FR"/>
              </w:rPr>
              <w:br/>
              <w:t>(d)*</w:t>
            </w:r>
          </w:p>
        </w:tc>
        <w:tc>
          <w:tcPr>
            <w:tcW w:w="851" w:type="dxa"/>
            <w:tcBorders>
              <w:top w:val="single" w:sz="4" w:space="0" w:color="auto"/>
              <w:bottom w:val="single" w:sz="12" w:space="0" w:color="auto"/>
            </w:tcBorders>
            <w:shd w:val="clear" w:color="auto" w:fill="auto"/>
            <w:vAlign w:val="bottom"/>
            <w:hideMark/>
          </w:tcPr>
          <w:p w14:paraId="733E3CDC" w14:textId="6F3AB7AB" w:rsidR="007059B1" w:rsidRPr="005E3F9C" w:rsidRDefault="007059B1" w:rsidP="005E3F9C">
            <w:pPr>
              <w:suppressAutoHyphens w:val="0"/>
              <w:spacing w:before="80" w:after="80" w:line="200" w:lineRule="exact"/>
              <w:jc w:val="right"/>
              <w:rPr>
                <w:i/>
                <w:sz w:val="16"/>
                <w:lang w:val="fr-FR"/>
              </w:rPr>
            </w:pPr>
            <w:r w:rsidRPr="005E3F9C">
              <w:rPr>
                <w:i/>
                <w:sz w:val="16"/>
                <w:lang w:val="fr-FR"/>
              </w:rPr>
              <w:t xml:space="preserve">Réunions </w:t>
            </w:r>
            <w:r w:rsidR="005E3F9C">
              <w:rPr>
                <w:i/>
                <w:sz w:val="16"/>
                <w:lang w:val="fr-FR"/>
              </w:rPr>
              <w:br/>
            </w:r>
            <w:r w:rsidRPr="005E3F9C">
              <w:rPr>
                <w:i/>
                <w:sz w:val="16"/>
                <w:lang w:val="fr-FR"/>
              </w:rPr>
              <w:t xml:space="preserve">tenues  </w:t>
            </w:r>
          </w:p>
          <w:p w14:paraId="35B1B417" w14:textId="77777777" w:rsidR="007059B1" w:rsidRPr="005E3F9C" w:rsidRDefault="007059B1" w:rsidP="005E3F9C">
            <w:pPr>
              <w:suppressAutoHyphens w:val="0"/>
              <w:spacing w:before="80" w:after="80" w:line="200" w:lineRule="exact"/>
              <w:jc w:val="right"/>
              <w:rPr>
                <w:i/>
                <w:sz w:val="16"/>
              </w:rPr>
            </w:pPr>
            <w:r w:rsidRPr="005E3F9C">
              <w:rPr>
                <w:i/>
                <w:sz w:val="16"/>
                <w:lang w:val="fr-FR"/>
              </w:rPr>
              <w:t xml:space="preserve">(e) = b/a </w:t>
            </w:r>
          </w:p>
        </w:tc>
        <w:tc>
          <w:tcPr>
            <w:tcW w:w="851" w:type="dxa"/>
            <w:tcBorders>
              <w:top w:val="single" w:sz="4" w:space="0" w:color="auto"/>
              <w:bottom w:val="single" w:sz="12" w:space="0" w:color="auto"/>
            </w:tcBorders>
            <w:shd w:val="clear" w:color="auto" w:fill="auto"/>
            <w:vAlign w:val="bottom"/>
            <w:hideMark/>
          </w:tcPr>
          <w:p w14:paraId="7D56AD0B" w14:textId="7E000676" w:rsidR="007059B1" w:rsidRPr="005E3F9C" w:rsidRDefault="007059B1" w:rsidP="005E3F9C">
            <w:pPr>
              <w:suppressAutoHyphens w:val="0"/>
              <w:spacing w:before="80" w:after="80" w:line="200" w:lineRule="exact"/>
              <w:jc w:val="right"/>
              <w:rPr>
                <w:i/>
                <w:sz w:val="16"/>
              </w:rPr>
            </w:pPr>
            <w:r w:rsidRPr="004255E0">
              <w:rPr>
                <w:i/>
                <w:spacing w:val="-4"/>
                <w:sz w:val="16"/>
                <w:lang w:val="fr-FR"/>
              </w:rPr>
              <w:t xml:space="preserve">Réunions tenues avec interprétation  </w:t>
            </w:r>
            <w:r w:rsidRPr="004255E0">
              <w:rPr>
                <w:i/>
                <w:spacing w:val="-4"/>
                <w:sz w:val="16"/>
                <w:lang w:val="fr-FR"/>
              </w:rPr>
              <w:br/>
              <w:t>(f) = (c)/(a</w:t>
            </w:r>
            <w:r w:rsidRPr="005E3F9C">
              <w:rPr>
                <w:i/>
                <w:sz w:val="16"/>
                <w:lang w:val="fr-FR"/>
              </w:rPr>
              <w:t xml:space="preserve">) </w:t>
            </w:r>
          </w:p>
        </w:tc>
        <w:tc>
          <w:tcPr>
            <w:tcW w:w="1134" w:type="dxa"/>
            <w:tcBorders>
              <w:top w:val="single" w:sz="4" w:space="0" w:color="auto"/>
              <w:bottom w:val="single" w:sz="12" w:space="0" w:color="auto"/>
            </w:tcBorders>
            <w:shd w:val="clear" w:color="auto" w:fill="auto"/>
            <w:vAlign w:val="bottom"/>
            <w:hideMark/>
          </w:tcPr>
          <w:p w14:paraId="01398546" w14:textId="6EF2753F" w:rsidR="007059B1" w:rsidRPr="005E3F9C" w:rsidRDefault="007059B1" w:rsidP="005E3F9C">
            <w:pPr>
              <w:suppressAutoHyphens w:val="0"/>
              <w:spacing w:before="80" w:after="80" w:line="200" w:lineRule="exact"/>
              <w:jc w:val="right"/>
              <w:rPr>
                <w:i/>
                <w:sz w:val="16"/>
              </w:rPr>
            </w:pPr>
            <w:r w:rsidRPr="005E3F9C">
              <w:rPr>
                <w:i/>
                <w:sz w:val="16"/>
                <w:lang w:val="fr-FR"/>
              </w:rPr>
              <w:t xml:space="preserve">Réunions avec interprétation dont la gestion technique était assurée par </w:t>
            </w:r>
            <w:r w:rsidR="005178D2">
              <w:rPr>
                <w:i/>
                <w:sz w:val="16"/>
                <w:lang w:val="fr-FR"/>
              </w:rPr>
              <w:br/>
            </w:r>
            <w:r w:rsidRPr="005E3F9C">
              <w:rPr>
                <w:i/>
                <w:sz w:val="16"/>
                <w:lang w:val="fr-FR"/>
              </w:rPr>
              <w:t xml:space="preserve">la Division </w:t>
            </w:r>
            <w:r w:rsidR="005178D2">
              <w:rPr>
                <w:i/>
                <w:sz w:val="16"/>
                <w:lang w:val="fr-FR"/>
              </w:rPr>
              <w:br/>
            </w:r>
            <w:r w:rsidRPr="005E3F9C">
              <w:rPr>
                <w:i/>
                <w:sz w:val="16"/>
                <w:lang w:val="fr-FR"/>
              </w:rPr>
              <w:t xml:space="preserve">des transports durables </w:t>
            </w:r>
            <w:r w:rsidRPr="005E3F9C">
              <w:rPr>
                <w:i/>
                <w:sz w:val="16"/>
                <w:lang w:val="fr-FR"/>
              </w:rPr>
              <w:br/>
              <w:t>(g)</w:t>
            </w:r>
          </w:p>
        </w:tc>
        <w:tc>
          <w:tcPr>
            <w:tcW w:w="1134" w:type="dxa"/>
            <w:tcBorders>
              <w:top w:val="single" w:sz="4" w:space="0" w:color="auto"/>
              <w:bottom w:val="single" w:sz="12" w:space="0" w:color="auto"/>
            </w:tcBorders>
            <w:shd w:val="clear" w:color="auto" w:fill="auto"/>
            <w:vAlign w:val="bottom"/>
            <w:hideMark/>
          </w:tcPr>
          <w:p w14:paraId="16BA6EBA" w14:textId="68CA1707" w:rsidR="007059B1" w:rsidRPr="005E3F9C" w:rsidRDefault="007059B1" w:rsidP="005E3F9C">
            <w:pPr>
              <w:suppressAutoHyphens w:val="0"/>
              <w:spacing w:before="80" w:after="80" w:line="200" w:lineRule="exact"/>
              <w:jc w:val="right"/>
              <w:rPr>
                <w:i/>
                <w:sz w:val="16"/>
              </w:rPr>
            </w:pPr>
            <w:r w:rsidRPr="005E3F9C">
              <w:rPr>
                <w:i/>
                <w:sz w:val="16"/>
                <w:lang w:val="fr-FR"/>
              </w:rPr>
              <w:t xml:space="preserve">Réunions dont </w:t>
            </w:r>
            <w:r w:rsidR="005178D2">
              <w:rPr>
                <w:i/>
                <w:sz w:val="16"/>
                <w:lang w:val="fr-FR"/>
              </w:rPr>
              <w:br/>
            </w:r>
            <w:r w:rsidRPr="005E3F9C">
              <w:rPr>
                <w:i/>
                <w:sz w:val="16"/>
                <w:lang w:val="fr-FR"/>
              </w:rPr>
              <w:t xml:space="preserve">la gestion technique était assurée par </w:t>
            </w:r>
            <w:r w:rsidR="005178D2">
              <w:rPr>
                <w:i/>
                <w:sz w:val="16"/>
                <w:lang w:val="fr-FR"/>
              </w:rPr>
              <w:br/>
            </w:r>
            <w:r w:rsidRPr="005E3F9C">
              <w:rPr>
                <w:i/>
                <w:sz w:val="16"/>
                <w:lang w:val="fr-FR"/>
              </w:rPr>
              <w:t xml:space="preserve">la Division </w:t>
            </w:r>
            <w:r w:rsidR="005178D2">
              <w:rPr>
                <w:i/>
                <w:sz w:val="16"/>
                <w:lang w:val="fr-FR"/>
              </w:rPr>
              <w:br/>
            </w:r>
            <w:r w:rsidRPr="005E3F9C">
              <w:rPr>
                <w:i/>
                <w:sz w:val="16"/>
                <w:lang w:val="fr-FR"/>
              </w:rPr>
              <w:t>des transports durables</w:t>
            </w:r>
            <w:r w:rsidRPr="005E3F9C">
              <w:rPr>
                <w:i/>
                <w:sz w:val="16"/>
                <w:lang w:val="fr-FR"/>
              </w:rPr>
              <w:br/>
              <w:t xml:space="preserve"> (h)=(g)/(c) </w:t>
            </w:r>
          </w:p>
        </w:tc>
      </w:tr>
      <w:tr w:rsidR="005E3F9C" w:rsidRPr="005E3F9C" w14:paraId="214F8753" w14:textId="77777777" w:rsidTr="005E3F9C">
        <w:tc>
          <w:tcPr>
            <w:tcW w:w="2268" w:type="dxa"/>
            <w:tcBorders>
              <w:top w:val="single" w:sz="12" w:space="0" w:color="auto"/>
            </w:tcBorders>
            <w:shd w:val="clear" w:color="auto" w:fill="auto"/>
            <w:hideMark/>
          </w:tcPr>
          <w:p w14:paraId="0DDAFB86" w14:textId="109A7184" w:rsidR="007059B1" w:rsidRPr="005E3F9C" w:rsidRDefault="007059B1" w:rsidP="005E3F9C">
            <w:pPr>
              <w:suppressAutoHyphens w:val="0"/>
              <w:spacing w:before="40" w:after="40" w:line="220" w:lineRule="exact"/>
              <w:rPr>
                <w:b/>
                <w:bCs/>
                <w:sz w:val="18"/>
                <w:szCs w:val="18"/>
              </w:rPr>
            </w:pPr>
            <w:r w:rsidRPr="005E3F9C">
              <w:rPr>
                <w:b/>
                <w:bCs/>
                <w:sz w:val="18"/>
                <w:lang w:val="fr-FR"/>
              </w:rPr>
              <w:t xml:space="preserve">Services fonctionnels </w:t>
            </w:r>
            <w:r w:rsidR="005E3F9C">
              <w:rPr>
                <w:b/>
                <w:bCs/>
                <w:sz w:val="18"/>
                <w:lang w:val="fr-FR"/>
              </w:rPr>
              <w:br/>
            </w:r>
            <w:r w:rsidRPr="005E3F9C">
              <w:rPr>
                <w:b/>
                <w:bCs/>
                <w:sz w:val="18"/>
                <w:lang w:val="fr-FR"/>
              </w:rPr>
              <w:t>à l’appui des réunions</w:t>
            </w:r>
            <w:r w:rsidRPr="005E3F9C">
              <w:rPr>
                <w:sz w:val="18"/>
                <w:lang w:val="fr-FR"/>
              </w:rPr>
              <w:t xml:space="preserve"> </w:t>
            </w:r>
            <w:r w:rsidR="005E3F9C">
              <w:rPr>
                <w:sz w:val="18"/>
                <w:lang w:val="fr-FR"/>
              </w:rPr>
              <w:br/>
            </w:r>
            <w:r w:rsidRPr="005E3F9C">
              <w:rPr>
                <w:sz w:val="18"/>
                <w:lang w:val="fr-FR"/>
              </w:rPr>
              <w:t xml:space="preserve">(nbre de réunions de 3h, </w:t>
            </w:r>
            <w:r w:rsidR="005E3F9C">
              <w:rPr>
                <w:sz w:val="18"/>
                <w:lang w:val="fr-FR"/>
              </w:rPr>
              <w:br/>
            </w:r>
            <w:r w:rsidRPr="005E3F9C">
              <w:rPr>
                <w:sz w:val="18"/>
                <w:lang w:val="fr-FR"/>
              </w:rPr>
              <w:t>par entité/thème)</w:t>
            </w:r>
          </w:p>
        </w:tc>
        <w:tc>
          <w:tcPr>
            <w:tcW w:w="851" w:type="dxa"/>
            <w:tcBorders>
              <w:top w:val="single" w:sz="12" w:space="0" w:color="auto"/>
            </w:tcBorders>
            <w:shd w:val="clear" w:color="auto" w:fill="auto"/>
            <w:vAlign w:val="bottom"/>
            <w:hideMark/>
          </w:tcPr>
          <w:p w14:paraId="24F00D60"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364</w:t>
            </w:r>
          </w:p>
        </w:tc>
        <w:tc>
          <w:tcPr>
            <w:tcW w:w="851" w:type="dxa"/>
            <w:tcBorders>
              <w:top w:val="single" w:sz="12" w:space="0" w:color="auto"/>
            </w:tcBorders>
            <w:shd w:val="clear" w:color="auto" w:fill="auto"/>
            <w:vAlign w:val="bottom"/>
            <w:hideMark/>
          </w:tcPr>
          <w:p w14:paraId="283DD4DC"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383</w:t>
            </w:r>
          </w:p>
        </w:tc>
        <w:tc>
          <w:tcPr>
            <w:tcW w:w="851" w:type="dxa"/>
            <w:tcBorders>
              <w:top w:val="single" w:sz="12" w:space="0" w:color="auto"/>
            </w:tcBorders>
            <w:shd w:val="clear" w:color="auto" w:fill="auto"/>
            <w:vAlign w:val="bottom"/>
            <w:hideMark/>
          </w:tcPr>
          <w:p w14:paraId="671BC7DC"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250</w:t>
            </w:r>
          </w:p>
        </w:tc>
        <w:tc>
          <w:tcPr>
            <w:tcW w:w="851" w:type="dxa"/>
            <w:tcBorders>
              <w:top w:val="single" w:sz="12" w:space="0" w:color="auto"/>
            </w:tcBorders>
            <w:shd w:val="clear" w:color="auto" w:fill="auto"/>
            <w:vAlign w:val="bottom"/>
            <w:hideMark/>
          </w:tcPr>
          <w:p w14:paraId="2FCF3381"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128</w:t>
            </w:r>
          </w:p>
        </w:tc>
        <w:tc>
          <w:tcPr>
            <w:tcW w:w="851" w:type="dxa"/>
            <w:tcBorders>
              <w:top w:val="single" w:sz="12" w:space="0" w:color="auto"/>
            </w:tcBorders>
            <w:shd w:val="clear" w:color="auto" w:fill="auto"/>
            <w:vAlign w:val="bottom"/>
            <w:hideMark/>
          </w:tcPr>
          <w:p w14:paraId="3AF79F4D"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105 %</w:t>
            </w:r>
          </w:p>
        </w:tc>
        <w:tc>
          <w:tcPr>
            <w:tcW w:w="851" w:type="dxa"/>
            <w:tcBorders>
              <w:top w:val="single" w:sz="12" w:space="0" w:color="auto"/>
            </w:tcBorders>
            <w:shd w:val="clear" w:color="auto" w:fill="auto"/>
            <w:vAlign w:val="bottom"/>
            <w:hideMark/>
          </w:tcPr>
          <w:p w14:paraId="48A712BB"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69 %</w:t>
            </w:r>
          </w:p>
        </w:tc>
        <w:tc>
          <w:tcPr>
            <w:tcW w:w="1134" w:type="dxa"/>
            <w:tcBorders>
              <w:top w:val="single" w:sz="12" w:space="0" w:color="auto"/>
            </w:tcBorders>
            <w:shd w:val="clear" w:color="auto" w:fill="auto"/>
            <w:vAlign w:val="bottom"/>
            <w:hideMark/>
          </w:tcPr>
          <w:p w14:paraId="4C866DE5"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69</w:t>
            </w:r>
          </w:p>
        </w:tc>
        <w:tc>
          <w:tcPr>
            <w:tcW w:w="1134" w:type="dxa"/>
            <w:tcBorders>
              <w:top w:val="single" w:sz="12" w:space="0" w:color="auto"/>
            </w:tcBorders>
            <w:shd w:val="clear" w:color="auto" w:fill="auto"/>
            <w:vAlign w:val="bottom"/>
            <w:hideMark/>
          </w:tcPr>
          <w:p w14:paraId="5C32BB7D"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28 %</w:t>
            </w:r>
          </w:p>
        </w:tc>
      </w:tr>
      <w:tr w:rsidR="005E3F9C" w:rsidRPr="005E3F9C" w14:paraId="27E7D9A1" w14:textId="77777777" w:rsidTr="005E3F9C">
        <w:tc>
          <w:tcPr>
            <w:tcW w:w="2268" w:type="dxa"/>
            <w:shd w:val="clear" w:color="auto" w:fill="auto"/>
            <w:hideMark/>
          </w:tcPr>
          <w:p w14:paraId="030737A0" w14:textId="3F087A84" w:rsidR="007059B1" w:rsidRPr="005E3F9C" w:rsidRDefault="007059B1" w:rsidP="005E3F9C">
            <w:pPr>
              <w:suppressAutoHyphens w:val="0"/>
              <w:spacing w:before="40" w:after="40" w:line="220" w:lineRule="exact"/>
              <w:ind w:left="170" w:hanging="170"/>
              <w:rPr>
                <w:b/>
                <w:bCs/>
                <w:sz w:val="18"/>
                <w:szCs w:val="18"/>
              </w:rPr>
            </w:pPr>
            <w:r w:rsidRPr="005E3F9C">
              <w:rPr>
                <w:b/>
                <w:bCs/>
                <w:sz w:val="18"/>
                <w:lang w:val="fr-FR"/>
              </w:rPr>
              <w:t>4.</w:t>
            </w:r>
            <w:r w:rsidR="005E3F9C">
              <w:rPr>
                <w:sz w:val="18"/>
                <w:lang w:val="fr-FR"/>
              </w:rPr>
              <w:tab/>
            </w:r>
            <w:r w:rsidRPr="005E3F9C">
              <w:rPr>
                <w:b/>
                <w:bCs/>
                <w:sz w:val="18"/>
                <w:lang w:val="fr-FR"/>
              </w:rPr>
              <w:t>Comité des transports intérieurs</w:t>
            </w:r>
          </w:p>
        </w:tc>
        <w:tc>
          <w:tcPr>
            <w:tcW w:w="851" w:type="dxa"/>
            <w:shd w:val="clear" w:color="auto" w:fill="auto"/>
            <w:vAlign w:val="bottom"/>
            <w:hideMark/>
          </w:tcPr>
          <w:p w14:paraId="46ED98A4"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327</w:t>
            </w:r>
          </w:p>
        </w:tc>
        <w:tc>
          <w:tcPr>
            <w:tcW w:w="851" w:type="dxa"/>
            <w:shd w:val="clear" w:color="auto" w:fill="auto"/>
            <w:vAlign w:val="bottom"/>
            <w:hideMark/>
          </w:tcPr>
          <w:p w14:paraId="2405A92B"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346</w:t>
            </w:r>
          </w:p>
        </w:tc>
        <w:tc>
          <w:tcPr>
            <w:tcW w:w="851" w:type="dxa"/>
            <w:shd w:val="clear" w:color="auto" w:fill="auto"/>
            <w:vAlign w:val="bottom"/>
            <w:hideMark/>
          </w:tcPr>
          <w:p w14:paraId="08379C15"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213</w:t>
            </w:r>
          </w:p>
        </w:tc>
        <w:tc>
          <w:tcPr>
            <w:tcW w:w="851" w:type="dxa"/>
            <w:shd w:val="clear" w:color="auto" w:fill="auto"/>
            <w:vAlign w:val="bottom"/>
            <w:hideMark/>
          </w:tcPr>
          <w:p w14:paraId="586B93B7"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128</w:t>
            </w:r>
          </w:p>
        </w:tc>
        <w:tc>
          <w:tcPr>
            <w:tcW w:w="851" w:type="dxa"/>
            <w:shd w:val="clear" w:color="auto" w:fill="auto"/>
            <w:vAlign w:val="bottom"/>
            <w:hideMark/>
          </w:tcPr>
          <w:p w14:paraId="320EB543"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106 %</w:t>
            </w:r>
          </w:p>
        </w:tc>
        <w:tc>
          <w:tcPr>
            <w:tcW w:w="851" w:type="dxa"/>
            <w:shd w:val="clear" w:color="auto" w:fill="auto"/>
            <w:vAlign w:val="bottom"/>
            <w:hideMark/>
          </w:tcPr>
          <w:p w14:paraId="794CA6C0"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65 %</w:t>
            </w:r>
          </w:p>
        </w:tc>
        <w:tc>
          <w:tcPr>
            <w:tcW w:w="1134" w:type="dxa"/>
            <w:shd w:val="clear" w:color="auto" w:fill="auto"/>
            <w:vAlign w:val="bottom"/>
            <w:hideMark/>
          </w:tcPr>
          <w:p w14:paraId="0CA604AC"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60</w:t>
            </w:r>
          </w:p>
        </w:tc>
        <w:tc>
          <w:tcPr>
            <w:tcW w:w="1134" w:type="dxa"/>
            <w:shd w:val="clear" w:color="auto" w:fill="auto"/>
            <w:vAlign w:val="bottom"/>
            <w:hideMark/>
          </w:tcPr>
          <w:p w14:paraId="580DE3C5"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28 %</w:t>
            </w:r>
          </w:p>
        </w:tc>
      </w:tr>
      <w:tr w:rsidR="005E3F9C" w:rsidRPr="005E3F9C" w14:paraId="069EE6C3" w14:textId="77777777" w:rsidTr="005E3F9C">
        <w:tc>
          <w:tcPr>
            <w:tcW w:w="2268" w:type="dxa"/>
            <w:shd w:val="clear" w:color="auto" w:fill="auto"/>
            <w:hideMark/>
          </w:tcPr>
          <w:p w14:paraId="0494BFE5" w14:textId="00EBE5EE" w:rsidR="007059B1" w:rsidRPr="005E3F9C" w:rsidRDefault="007059B1" w:rsidP="005E3F9C">
            <w:pPr>
              <w:suppressAutoHyphens w:val="0"/>
              <w:spacing w:before="40" w:after="40" w:line="220" w:lineRule="exact"/>
              <w:ind w:left="170" w:hanging="170"/>
              <w:rPr>
                <w:sz w:val="18"/>
                <w:szCs w:val="18"/>
              </w:rPr>
            </w:pPr>
            <w:r w:rsidRPr="005E3F9C">
              <w:rPr>
                <w:sz w:val="18"/>
                <w:lang w:val="fr-FR"/>
              </w:rPr>
              <w:t>a.</w:t>
            </w:r>
            <w:r w:rsidR="005E3F9C">
              <w:rPr>
                <w:sz w:val="18"/>
                <w:lang w:val="fr-FR"/>
              </w:rPr>
              <w:tab/>
            </w:r>
            <w:r w:rsidRPr="005E3F9C">
              <w:rPr>
                <w:sz w:val="18"/>
                <w:lang w:val="fr-FR"/>
              </w:rPr>
              <w:t>Comité des transports intérieurs et bureau</w:t>
            </w:r>
          </w:p>
        </w:tc>
        <w:tc>
          <w:tcPr>
            <w:tcW w:w="851" w:type="dxa"/>
            <w:shd w:val="clear" w:color="auto" w:fill="auto"/>
            <w:vAlign w:val="bottom"/>
            <w:hideMark/>
          </w:tcPr>
          <w:p w14:paraId="599275D4"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16</w:t>
            </w:r>
          </w:p>
        </w:tc>
        <w:tc>
          <w:tcPr>
            <w:tcW w:w="851" w:type="dxa"/>
            <w:shd w:val="clear" w:color="auto" w:fill="auto"/>
            <w:vAlign w:val="bottom"/>
            <w:hideMark/>
          </w:tcPr>
          <w:p w14:paraId="62BF2459"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17</w:t>
            </w:r>
          </w:p>
        </w:tc>
        <w:tc>
          <w:tcPr>
            <w:tcW w:w="851" w:type="dxa"/>
            <w:shd w:val="clear" w:color="auto" w:fill="auto"/>
            <w:vAlign w:val="bottom"/>
            <w:hideMark/>
          </w:tcPr>
          <w:p w14:paraId="59E25E78"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11</w:t>
            </w:r>
          </w:p>
        </w:tc>
        <w:tc>
          <w:tcPr>
            <w:tcW w:w="851" w:type="dxa"/>
            <w:shd w:val="clear" w:color="auto" w:fill="auto"/>
            <w:vAlign w:val="bottom"/>
            <w:hideMark/>
          </w:tcPr>
          <w:p w14:paraId="5C4F1043"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851" w:type="dxa"/>
            <w:shd w:val="clear" w:color="auto" w:fill="auto"/>
            <w:vAlign w:val="bottom"/>
            <w:hideMark/>
          </w:tcPr>
          <w:p w14:paraId="602FBF0B"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106 %</w:t>
            </w:r>
          </w:p>
        </w:tc>
        <w:tc>
          <w:tcPr>
            <w:tcW w:w="851" w:type="dxa"/>
            <w:shd w:val="clear" w:color="auto" w:fill="auto"/>
            <w:vAlign w:val="bottom"/>
            <w:hideMark/>
          </w:tcPr>
          <w:p w14:paraId="22C0E7A2"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69 %</w:t>
            </w:r>
          </w:p>
        </w:tc>
        <w:tc>
          <w:tcPr>
            <w:tcW w:w="1134" w:type="dxa"/>
            <w:shd w:val="clear" w:color="auto" w:fill="auto"/>
            <w:vAlign w:val="bottom"/>
            <w:hideMark/>
          </w:tcPr>
          <w:p w14:paraId="5D82F523"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4</w:t>
            </w:r>
          </w:p>
        </w:tc>
        <w:tc>
          <w:tcPr>
            <w:tcW w:w="1134" w:type="dxa"/>
            <w:shd w:val="clear" w:color="auto" w:fill="auto"/>
            <w:vAlign w:val="bottom"/>
            <w:hideMark/>
          </w:tcPr>
          <w:p w14:paraId="04031DE7"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36 %</w:t>
            </w:r>
          </w:p>
        </w:tc>
      </w:tr>
      <w:tr w:rsidR="005E3F9C" w:rsidRPr="005E3F9C" w14:paraId="00291B5B" w14:textId="77777777" w:rsidTr="005E3F9C">
        <w:tc>
          <w:tcPr>
            <w:tcW w:w="2268" w:type="dxa"/>
            <w:shd w:val="clear" w:color="auto" w:fill="auto"/>
            <w:hideMark/>
          </w:tcPr>
          <w:p w14:paraId="19077107" w14:textId="58E3016F" w:rsidR="007059B1" w:rsidRPr="005E3F9C" w:rsidRDefault="007059B1" w:rsidP="005E3F9C">
            <w:pPr>
              <w:suppressAutoHyphens w:val="0"/>
              <w:spacing w:before="40" w:after="40" w:line="220" w:lineRule="exact"/>
              <w:ind w:left="170" w:hanging="170"/>
              <w:rPr>
                <w:sz w:val="18"/>
                <w:szCs w:val="18"/>
              </w:rPr>
            </w:pPr>
            <w:r w:rsidRPr="005E3F9C">
              <w:rPr>
                <w:sz w:val="18"/>
                <w:lang w:val="fr-FR"/>
              </w:rPr>
              <w:t>b.</w:t>
            </w:r>
            <w:r w:rsidR="005E3F9C">
              <w:rPr>
                <w:sz w:val="18"/>
                <w:lang w:val="fr-FR"/>
              </w:rPr>
              <w:tab/>
            </w:r>
            <w:r w:rsidRPr="005E3F9C">
              <w:rPr>
                <w:sz w:val="18"/>
                <w:lang w:val="fr-FR"/>
              </w:rPr>
              <w:t xml:space="preserve">Forum mondial de l’harmonisation des Règlements concernant </w:t>
            </w:r>
            <w:r w:rsidR="005E3F9C">
              <w:rPr>
                <w:sz w:val="18"/>
                <w:lang w:val="fr-FR"/>
              </w:rPr>
              <w:br/>
            </w:r>
            <w:r w:rsidRPr="005E3F9C">
              <w:rPr>
                <w:sz w:val="18"/>
                <w:lang w:val="fr-FR"/>
              </w:rPr>
              <w:t>les véhicules</w:t>
            </w:r>
          </w:p>
        </w:tc>
        <w:tc>
          <w:tcPr>
            <w:tcW w:w="851" w:type="dxa"/>
            <w:shd w:val="clear" w:color="auto" w:fill="auto"/>
            <w:vAlign w:val="bottom"/>
            <w:hideMark/>
          </w:tcPr>
          <w:p w14:paraId="4D87D722"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111</w:t>
            </w:r>
          </w:p>
        </w:tc>
        <w:tc>
          <w:tcPr>
            <w:tcW w:w="851" w:type="dxa"/>
            <w:shd w:val="clear" w:color="auto" w:fill="auto"/>
            <w:vAlign w:val="bottom"/>
            <w:hideMark/>
          </w:tcPr>
          <w:p w14:paraId="6F551907"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115</w:t>
            </w:r>
          </w:p>
        </w:tc>
        <w:tc>
          <w:tcPr>
            <w:tcW w:w="851" w:type="dxa"/>
            <w:shd w:val="clear" w:color="auto" w:fill="auto"/>
            <w:vAlign w:val="bottom"/>
            <w:hideMark/>
          </w:tcPr>
          <w:p w14:paraId="2EAE0E0A"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39</w:t>
            </w:r>
          </w:p>
        </w:tc>
        <w:tc>
          <w:tcPr>
            <w:tcW w:w="851" w:type="dxa"/>
            <w:shd w:val="clear" w:color="auto" w:fill="auto"/>
            <w:vAlign w:val="bottom"/>
            <w:hideMark/>
          </w:tcPr>
          <w:p w14:paraId="665D7012"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76</w:t>
            </w:r>
          </w:p>
        </w:tc>
        <w:tc>
          <w:tcPr>
            <w:tcW w:w="851" w:type="dxa"/>
            <w:shd w:val="clear" w:color="auto" w:fill="auto"/>
            <w:vAlign w:val="bottom"/>
            <w:hideMark/>
          </w:tcPr>
          <w:p w14:paraId="29A14599"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104 %</w:t>
            </w:r>
          </w:p>
        </w:tc>
        <w:tc>
          <w:tcPr>
            <w:tcW w:w="851" w:type="dxa"/>
            <w:shd w:val="clear" w:color="auto" w:fill="auto"/>
            <w:vAlign w:val="bottom"/>
            <w:hideMark/>
          </w:tcPr>
          <w:p w14:paraId="2AF7B701"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35 %</w:t>
            </w:r>
          </w:p>
        </w:tc>
        <w:tc>
          <w:tcPr>
            <w:tcW w:w="1134" w:type="dxa"/>
            <w:shd w:val="clear" w:color="auto" w:fill="auto"/>
            <w:vAlign w:val="bottom"/>
            <w:hideMark/>
          </w:tcPr>
          <w:p w14:paraId="7C347295"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8</w:t>
            </w:r>
          </w:p>
        </w:tc>
        <w:tc>
          <w:tcPr>
            <w:tcW w:w="1134" w:type="dxa"/>
            <w:shd w:val="clear" w:color="auto" w:fill="auto"/>
            <w:vAlign w:val="bottom"/>
            <w:hideMark/>
          </w:tcPr>
          <w:p w14:paraId="031CBA70"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21 %</w:t>
            </w:r>
          </w:p>
        </w:tc>
      </w:tr>
      <w:tr w:rsidR="005E3F9C" w:rsidRPr="005E3F9C" w14:paraId="3619B051" w14:textId="77777777" w:rsidTr="005E3F9C">
        <w:tc>
          <w:tcPr>
            <w:tcW w:w="2268" w:type="dxa"/>
            <w:shd w:val="clear" w:color="auto" w:fill="auto"/>
            <w:hideMark/>
          </w:tcPr>
          <w:p w14:paraId="440B1C2C" w14:textId="2BE267E6" w:rsidR="007059B1" w:rsidRPr="005E3F9C" w:rsidRDefault="007059B1" w:rsidP="005E3F9C">
            <w:pPr>
              <w:suppressAutoHyphens w:val="0"/>
              <w:spacing w:before="40" w:after="40" w:line="220" w:lineRule="exact"/>
              <w:ind w:left="170" w:hanging="170"/>
              <w:rPr>
                <w:sz w:val="18"/>
                <w:szCs w:val="18"/>
              </w:rPr>
            </w:pPr>
            <w:r w:rsidRPr="005E3F9C">
              <w:rPr>
                <w:sz w:val="18"/>
                <w:lang w:val="fr-FR"/>
              </w:rPr>
              <w:t>c.</w:t>
            </w:r>
            <w:r w:rsidR="005E3F9C">
              <w:rPr>
                <w:sz w:val="18"/>
                <w:lang w:val="fr-FR"/>
              </w:rPr>
              <w:tab/>
            </w:r>
            <w:r w:rsidRPr="005E3F9C">
              <w:rPr>
                <w:sz w:val="18"/>
                <w:lang w:val="fr-FR"/>
              </w:rPr>
              <w:t xml:space="preserve">Groupe de travail </w:t>
            </w:r>
            <w:r w:rsidR="005178D2">
              <w:rPr>
                <w:sz w:val="18"/>
                <w:lang w:val="fr-FR"/>
              </w:rPr>
              <w:br/>
            </w:r>
            <w:r w:rsidRPr="005E3F9C">
              <w:rPr>
                <w:sz w:val="18"/>
                <w:lang w:val="fr-FR"/>
              </w:rPr>
              <w:t>du transport des denrées périssables</w:t>
            </w:r>
          </w:p>
        </w:tc>
        <w:tc>
          <w:tcPr>
            <w:tcW w:w="851" w:type="dxa"/>
            <w:shd w:val="clear" w:color="auto" w:fill="auto"/>
            <w:vAlign w:val="bottom"/>
            <w:hideMark/>
          </w:tcPr>
          <w:p w14:paraId="7944919A"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8</w:t>
            </w:r>
          </w:p>
        </w:tc>
        <w:tc>
          <w:tcPr>
            <w:tcW w:w="851" w:type="dxa"/>
            <w:shd w:val="clear" w:color="auto" w:fill="auto"/>
            <w:vAlign w:val="bottom"/>
            <w:hideMark/>
          </w:tcPr>
          <w:p w14:paraId="5692B7C8"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8</w:t>
            </w:r>
          </w:p>
        </w:tc>
        <w:tc>
          <w:tcPr>
            <w:tcW w:w="851" w:type="dxa"/>
            <w:shd w:val="clear" w:color="auto" w:fill="auto"/>
            <w:vAlign w:val="bottom"/>
            <w:hideMark/>
          </w:tcPr>
          <w:p w14:paraId="55A150CB"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7</w:t>
            </w:r>
          </w:p>
        </w:tc>
        <w:tc>
          <w:tcPr>
            <w:tcW w:w="851" w:type="dxa"/>
            <w:shd w:val="clear" w:color="auto" w:fill="auto"/>
            <w:vAlign w:val="bottom"/>
            <w:hideMark/>
          </w:tcPr>
          <w:p w14:paraId="28A54D1F"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w:t>
            </w:r>
          </w:p>
        </w:tc>
        <w:tc>
          <w:tcPr>
            <w:tcW w:w="851" w:type="dxa"/>
            <w:shd w:val="clear" w:color="auto" w:fill="auto"/>
            <w:vAlign w:val="bottom"/>
            <w:hideMark/>
          </w:tcPr>
          <w:p w14:paraId="688C5BC7"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c>
          <w:tcPr>
            <w:tcW w:w="851" w:type="dxa"/>
            <w:shd w:val="clear" w:color="auto" w:fill="auto"/>
            <w:vAlign w:val="bottom"/>
            <w:hideMark/>
          </w:tcPr>
          <w:p w14:paraId="6BA9C000"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88 %</w:t>
            </w:r>
          </w:p>
        </w:tc>
        <w:tc>
          <w:tcPr>
            <w:tcW w:w="1134" w:type="dxa"/>
            <w:shd w:val="clear" w:color="auto" w:fill="auto"/>
            <w:vAlign w:val="bottom"/>
            <w:hideMark/>
          </w:tcPr>
          <w:p w14:paraId="6A37B09D"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7</w:t>
            </w:r>
          </w:p>
        </w:tc>
        <w:tc>
          <w:tcPr>
            <w:tcW w:w="1134" w:type="dxa"/>
            <w:shd w:val="clear" w:color="auto" w:fill="auto"/>
            <w:vAlign w:val="bottom"/>
            <w:hideMark/>
          </w:tcPr>
          <w:p w14:paraId="757F7789"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r>
      <w:tr w:rsidR="005E3F9C" w:rsidRPr="005E3F9C" w14:paraId="4E124FB0" w14:textId="77777777" w:rsidTr="005E3F9C">
        <w:tc>
          <w:tcPr>
            <w:tcW w:w="2268" w:type="dxa"/>
            <w:shd w:val="clear" w:color="auto" w:fill="auto"/>
            <w:hideMark/>
          </w:tcPr>
          <w:p w14:paraId="128DDC7C" w14:textId="7F78D07B" w:rsidR="007059B1" w:rsidRPr="005E3F9C" w:rsidRDefault="007059B1" w:rsidP="005E3F9C">
            <w:pPr>
              <w:suppressAutoHyphens w:val="0"/>
              <w:spacing w:before="40" w:after="40" w:line="220" w:lineRule="exact"/>
              <w:ind w:left="170" w:hanging="170"/>
              <w:rPr>
                <w:sz w:val="18"/>
                <w:szCs w:val="18"/>
              </w:rPr>
            </w:pPr>
            <w:r w:rsidRPr="005E3F9C">
              <w:rPr>
                <w:sz w:val="18"/>
                <w:lang w:val="fr-FR"/>
              </w:rPr>
              <w:t>d.</w:t>
            </w:r>
            <w:r w:rsidR="005E3F9C">
              <w:rPr>
                <w:sz w:val="18"/>
                <w:lang w:val="fr-FR"/>
              </w:rPr>
              <w:tab/>
            </w:r>
            <w:r w:rsidRPr="005E3F9C">
              <w:rPr>
                <w:sz w:val="18"/>
                <w:lang w:val="fr-FR"/>
              </w:rPr>
              <w:t>Groupe de travail des transports de marchandises dangereuses</w:t>
            </w:r>
          </w:p>
        </w:tc>
        <w:tc>
          <w:tcPr>
            <w:tcW w:w="851" w:type="dxa"/>
            <w:shd w:val="clear" w:color="auto" w:fill="auto"/>
            <w:vAlign w:val="bottom"/>
            <w:hideMark/>
          </w:tcPr>
          <w:p w14:paraId="67503858"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68</w:t>
            </w:r>
          </w:p>
        </w:tc>
        <w:tc>
          <w:tcPr>
            <w:tcW w:w="851" w:type="dxa"/>
            <w:shd w:val="clear" w:color="auto" w:fill="auto"/>
            <w:vAlign w:val="bottom"/>
            <w:hideMark/>
          </w:tcPr>
          <w:p w14:paraId="0B8E63C2"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52</w:t>
            </w:r>
          </w:p>
        </w:tc>
        <w:tc>
          <w:tcPr>
            <w:tcW w:w="851" w:type="dxa"/>
            <w:shd w:val="clear" w:color="auto" w:fill="auto"/>
            <w:vAlign w:val="bottom"/>
            <w:hideMark/>
          </w:tcPr>
          <w:p w14:paraId="7095D082"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34</w:t>
            </w:r>
          </w:p>
        </w:tc>
        <w:tc>
          <w:tcPr>
            <w:tcW w:w="851" w:type="dxa"/>
            <w:shd w:val="clear" w:color="auto" w:fill="auto"/>
            <w:vAlign w:val="bottom"/>
            <w:hideMark/>
          </w:tcPr>
          <w:p w14:paraId="3E6CEC8F"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18</w:t>
            </w:r>
          </w:p>
        </w:tc>
        <w:tc>
          <w:tcPr>
            <w:tcW w:w="851" w:type="dxa"/>
            <w:shd w:val="clear" w:color="auto" w:fill="auto"/>
            <w:vAlign w:val="bottom"/>
            <w:hideMark/>
          </w:tcPr>
          <w:p w14:paraId="73BC01FD"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76 %</w:t>
            </w:r>
          </w:p>
        </w:tc>
        <w:tc>
          <w:tcPr>
            <w:tcW w:w="851" w:type="dxa"/>
            <w:shd w:val="clear" w:color="auto" w:fill="auto"/>
            <w:vAlign w:val="bottom"/>
            <w:hideMark/>
          </w:tcPr>
          <w:p w14:paraId="0EA53129"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50 %</w:t>
            </w:r>
          </w:p>
        </w:tc>
        <w:tc>
          <w:tcPr>
            <w:tcW w:w="1134" w:type="dxa"/>
            <w:shd w:val="clear" w:color="auto" w:fill="auto"/>
            <w:vAlign w:val="bottom"/>
            <w:hideMark/>
          </w:tcPr>
          <w:p w14:paraId="725BBB3F"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7</w:t>
            </w:r>
          </w:p>
        </w:tc>
        <w:tc>
          <w:tcPr>
            <w:tcW w:w="1134" w:type="dxa"/>
            <w:shd w:val="clear" w:color="auto" w:fill="auto"/>
            <w:vAlign w:val="bottom"/>
            <w:hideMark/>
          </w:tcPr>
          <w:p w14:paraId="442B596C"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21 %</w:t>
            </w:r>
          </w:p>
        </w:tc>
      </w:tr>
      <w:tr w:rsidR="005E3F9C" w:rsidRPr="005E3F9C" w14:paraId="5B3D2873" w14:textId="77777777" w:rsidTr="005E3F9C">
        <w:tc>
          <w:tcPr>
            <w:tcW w:w="2268" w:type="dxa"/>
            <w:shd w:val="clear" w:color="auto" w:fill="auto"/>
            <w:hideMark/>
          </w:tcPr>
          <w:p w14:paraId="2F87E968" w14:textId="015205BF" w:rsidR="007059B1" w:rsidRPr="005E3F9C" w:rsidRDefault="007059B1" w:rsidP="005E3F9C">
            <w:pPr>
              <w:suppressAutoHyphens w:val="0"/>
              <w:spacing w:before="40" w:after="40" w:line="220" w:lineRule="exact"/>
              <w:ind w:left="170" w:hanging="170"/>
              <w:rPr>
                <w:sz w:val="18"/>
                <w:szCs w:val="18"/>
              </w:rPr>
            </w:pPr>
            <w:r w:rsidRPr="005E3F9C">
              <w:rPr>
                <w:sz w:val="18"/>
                <w:lang w:val="fr-FR"/>
              </w:rPr>
              <w:t>e.</w:t>
            </w:r>
            <w:r w:rsidR="005E3F9C">
              <w:rPr>
                <w:sz w:val="18"/>
                <w:lang w:val="fr-FR"/>
              </w:rPr>
              <w:tab/>
            </w:r>
            <w:r w:rsidRPr="005E3F9C">
              <w:rPr>
                <w:sz w:val="18"/>
                <w:lang w:val="fr-FR"/>
              </w:rPr>
              <w:t xml:space="preserve">Groupe de travail chargé d’examiner les tendances </w:t>
            </w:r>
            <w:r w:rsidR="005E3F9C">
              <w:rPr>
                <w:sz w:val="18"/>
                <w:lang w:val="fr-FR"/>
              </w:rPr>
              <w:br/>
            </w:r>
            <w:r w:rsidRPr="005E3F9C">
              <w:rPr>
                <w:sz w:val="18"/>
                <w:lang w:val="fr-FR"/>
              </w:rPr>
              <w:t xml:space="preserve">et l’économie des transports </w:t>
            </w:r>
            <w:r w:rsidR="005E3F9C">
              <w:rPr>
                <w:sz w:val="18"/>
                <w:lang w:val="fr-FR"/>
              </w:rPr>
              <w:br/>
            </w:r>
            <w:r w:rsidRPr="005E3F9C">
              <w:rPr>
                <w:sz w:val="18"/>
                <w:lang w:val="fr-FR"/>
              </w:rPr>
              <w:t>et groupes d’experts subsidiaires</w:t>
            </w:r>
          </w:p>
        </w:tc>
        <w:tc>
          <w:tcPr>
            <w:tcW w:w="851" w:type="dxa"/>
            <w:shd w:val="clear" w:color="auto" w:fill="auto"/>
            <w:vAlign w:val="bottom"/>
            <w:hideMark/>
          </w:tcPr>
          <w:p w14:paraId="0C1205CA"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22</w:t>
            </w:r>
          </w:p>
        </w:tc>
        <w:tc>
          <w:tcPr>
            <w:tcW w:w="851" w:type="dxa"/>
            <w:shd w:val="clear" w:color="auto" w:fill="auto"/>
            <w:vAlign w:val="bottom"/>
            <w:hideMark/>
          </w:tcPr>
          <w:p w14:paraId="2A74C30B"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20</w:t>
            </w:r>
          </w:p>
        </w:tc>
        <w:tc>
          <w:tcPr>
            <w:tcW w:w="851" w:type="dxa"/>
            <w:shd w:val="clear" w:color="auto" w:fill="auto"/>
            <w:vAlign w:val="bottom"/>
            <w:hideMark/>
          </w:tcPr>
          <w:p w14:paraId="5C6B3A5C"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14</w:t>
            </w:r>
          </w:p>
        </w:tc>
        <w:tc>
          <w:tcPr>
            <w:tcW w:w="851" w:type="dxa"/>
            <w:shd w:val="clear" w:color="auto" w:fill="auto"/>
            <w:vAlign w:val="bottom"/>
            <w:hideMark/>
          </w:tcPr>
          <w:p w14:paraId="18AAD290"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851" w:type="dxa"/>
            <w:shd w:val="clear" w:color="auto" w:fill="auto"/>
            <w:vAlign w:val="bottom"/>
            <w:hideMark/>
          </w:tcPr>
          <w:p w14:paraId="6C5C8A71"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91 %</w:t>
            </w:r>
          </w:p>
        </w:tc>
        <w:tc>
          <w:tcPr>
            <w:tcW w:w="851" w:type="dxa"/>
            <w:shd w:val="clear" w:color="auto" w:fill="auto"/>
            <w:vAlign w:val="bottom"/>
            <w:hideMark/>
          </w:tcPr>
          <w:p w14:paraId="353810BB"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64 %</w:t>
            </w:r>
          </w:p>
        </w:tc>
        <w:tc>
          <w:tcPr>
            <w:tcW w:w="1134" w:type="dxa"/>
            <w:shd w:val="clear" w:color="auto" w:fill="auto"/>
            <w:vAlign w:val="bottom"/>
            <w:hideMark/>
          </w:tcPr>
          <w:p w14:paraId="42E69D31"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1134" w:type="dxa"/>
            <w:shd w:val="clear" w:color="auto" w:fill="auto"/>
            <w:vAlign w:val="bottom"/>
            <w:hideMark/>
          </w:tcPr>
          <w:p w14:paraId="242930AD"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43 %</w:t>
            </w:r>
          </w:p>
        </w:tc>
      </w:tr>
      <w:tr w:rsidR="005E3F9C" w:rsidRPr="005E3F9C" w14:paraId="0CA7A8E2" w14:textId="77777777" w:rsidTr="005E3F9C">
        <w:tc>
          <w:tcPr>
            <w:tcW w:w="2268" w:type="dxa"/>
            <w:shd w:val="clear" w:color="auto" w:fill="auto"/>
            <w:hideMark/>
          </w:tcPr>
          <w:p w14:paraId="5445A82E" w14:textId="00BCA5DA" w:rsidR="007059B1" w:rsidRPr="005E3F9C" w:rsidRDefault="007059B1" w:rsidP="005E3F9C">
            <w:pPr>
              <w:suppressAutoHyphens w:val="0"/>
              <w:spacing w:before="40" w:after="40" w:line="220" w:lineRule="exact"/>
              <w:ind w:left="170" w:hanging="170"/>
              <w:rPr>
                <w:sz w:val="18"/>
                <w:szCs w:val="18"/>
              </w:rPr>
            </w:pPr>
            <w:r w:rsidRPr="005E3F9C">
              <w:rPr>
                <w:sz w:val="18"/>
                <w:lang w:val="fr-FR"/>
              </w:rPr>
              <w:t>f.</w:t>
            </w:r>
            <w:r w:rsidR="005E3F9C">
              <w:rPr>
                <w:sz w:val="18"/>
                <w:lang w:val="fr-FR"/>
              </w:rPr>
              <w:tab/>
            </w:r>
            <w:r w:rsidRPr="005E3F9C">
              <w:rPr>
                <w:sz w:val="18"/>
                <w:lang w:val="fr-FR"/>
              </w:rPr>
              <w:t>Groupe de travail des statistiques des transports</w:t>
            </w:r>
          </w:p>
        </w:tc>
        <w:tc>
          <w:tcPr>
            <w:tcW w:w="851" w:type="dxa"/>
            <w:shd w:val="clear" w:color="auto" w:fill="auto"/>
            <w:vAlign w:val="bottom"/>
            <w:hideMark/>
          </w:tcPr>
          <w:p w14:paraId="0F51D5D7"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851" w:type="dxa"/>
            <w:shd w:val="clear" w:color="auto" w:fill="auto"/>
            <w:vAlign w:val="bottom"/>
            <w:hideMark/>
          </w:tcPr>
          <w:p w14:paraId="51854683"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851" w:type="dxa"/>
            <w:shd w:val="clear" w:color="auto" w:fill="auto"/>
            <w:vAlign w:val="bottom"/>
            <w:hideMark/>
          </w:tcPr>
          <w:p w14:paraId="00EEEC48"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w:t>
            </w:r>
          </w:p>
        </w:tc>
        <w:tc>
          <w:tcPr>
            <w:tcW w:w="851" w:type="dxa"/>
            <w:shd w:val="clear" w:color="auto" w:fill="auto"/>
            <w:vAlign w:val="bottom"/>
            <w:hideMark/>
          </w:tcPr>
          <w:p w14:paraId="68EB2DB7"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3</w:t>
            </w:r>
          </w:p>
        </w:tc>
        <w:tc>
          <w:tcPr>
            <w:tcW w:w="851" w:type="dxa"/>
            <w:shd w:val="clear" w:color="auto" w:fill="auto"/>
            <w:vAlign w:val="bottom"/>
            <w:hideMark/>
          </w:tcPr>
          <w:p w14:paraId="2145C217"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c>
          <w:tcPr>
            <w:tcW w:w="851" w:type="dxa"/>
            <w:shd w:val="clear" w:color="auto" w:fill="auto"/>
            <w:vAlign w:val="bottom"/>
            <w:hideMark/>
          </w:tcPr>
          <w:p w14:paraId="0C33ADEC"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33 %</w:t>
            </w:r>
          </w:p>
        </w:tc>
        <w:tc>
          <w:tcPr>
            <w:tcW w:w="1134" w:type="dxa"/>
            <w:shd w:val="clear" w:color="auto" w:fill="auto"/>
            <w:vAlign w:val="bottom"/>
            <w:hideMark/>
          </w:tcPr>
          <w:p w14:paraId="35A3E7BD" w14:textId="77777777" w:rsidR="007059B1" w:rsidRPr="005E3F9C" w:rsidRDefault="007059B1" w:rsidP="005E3F9C">
            <w:pPr>
              <w:suppressAutoHyphens w:val="0"/>
              <w:spacing w:before="40" w:after="40" w:line="220" w:lineRule="exact"/>
              <w:jc w:val="right"/>
              <w:rPr>
                <w:b/>
                <w:bCs/>
                <w:sz w:val="18"/>
                <w:szCs w:val="18"/>
                <w:lang w:eastAsia="zh-CN"/>
              </w:rPr>
            </w:pPr>
          </w:p>
        </w:tc>
        <w:tc>
          <w:tcPr>
            <w:tcW w:w="1134" w:type="dxa"/>
            <w:shd w:val="clear" w:color="auto" w:fill="auto"/>
            <w:vAlign w:val="bottom"/>
            <w:hideMark/>
          </w:tcPr>
          <w:p w14:paraId="6BFE0F8E"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0 %</w:t>
            </w:r>
          </w:p>
        </w:tc>
      </w:tr>
      <w:tr w:rsidR="005E3F9C" w:rsidRPr="005E3F9C" w14:paraId="42D867A6" w14:textId="77777777" w:rsidTr="005E3F9C">
        <w:tc>
          <w:tcPr>
            <w:tcW w:w="2268" w:type="dxa"/>
            <w:shd w:val="clear" w:color="auto" w:fill="auto"/>
            <w:hideMark/>
          </w:tcPr>
          <w:p w14:paraId="1706A7F7" w14:textId="287399F7" w:rsidR="007059B1" w:rsidRPr="005E3F9C" w:rsidRDefault="007059B1" w:rsidP="005E3F9C">
            <w:pPr>
              <w:suppressAutoHyphens w:val="0"/>
              <w:spacing w:before="40" w:after="40" w:line="220" w:lineRule="exact"/>
              <w:ind w:left="170" w:hanging="170"/>
              <w:rPr>
                <w:sz w:val="18"/>
                <w:szCs w:val="18"/>
              </w:rPr>
            </w:pPr>
            <w:r w:rsidRPr="005E3F9C">
              <w:rPr>
                <w:sz w:val="18"/>
                <w:lang w:val="fr-FR"/>
              </w:rPr>
              <w:t>g.</w:t>
            </w:r>
            <w:r w:rsidR="005E3F9C">
              <w:rPr>
                <w:sz w:val="18"/>
                <w:lang w:val="fr-FR"/>
              </w:rPr>
              <w:tab/>
            </w:r>
            <w:r w:rsidRPr="005E3F9C">
              <w:rPr>
                <w:sz w:val="18"/>
                <w:lang w:val="fr-FR"/>
              </w:rPr>
              <w:t>Groupe de travail des transports routiers et groupes d’experts subsidiaires</w:t>
            </w:r>
          </w:p>
        </w:tc>
        <w:tc>
          <w:tcPr>
            <w:tcW w:w="851" w:type="dxa"/>
            <w:shd w:val="clear" w:color="auto" w:fill="auto"/>
            <w:vAlign w:val="bottom"/>
            <w:hideMark/>
          </w:tcPr>
          <w:p w14:paraId="75667B9B"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851" w:type="dxa"/>
            <w:shd w:val="clear" w:color="auto" w:fill="auto"/>
            <w:vAlign w:val="bottom"/>
            <w:hideMark/>
          </w:tcPr>
          <w:p w14:paraId="77A0D115"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12</w:t>
            </w:r>
          </w:p>
        </w:tc>
        <w:tc>
          <w:tcPr>
            <w:tcW w:w="851" w:type="dxa"/>
            <w:shd w:val="clear" w:color="auto" w:fill="auto"/>
            <w:vAlign w:val="bottom"/>
            <w:hideMark/>
          </w:tcPr>
          <w:p w14:paraId="6F82027F"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11</w:t>
            </w:r>
          </w:p>
        </w:tc>
        <w:tc>
          <w:tcPr>
            <w:tcW w:w="851" w:type="dxa"/>
            <w:shd w:val="clear" w:color="auto" w:fill="auto"/>
            <w:vAlign w:val="bottom"/>
            <w:hideMark/>
          </w:tcPr>
          <w:p w14:paraId="69A6A351"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w:t>
            </w:r>
          </w:p>
        </w:tc>
        <w:tc>
          <w:tcPr>
            <w:tcW w:w="851" w:type="dxa"/>
            <w:shd w:val="clear" w:color="auto" w:fill="auto"/>
            <w:vAlign w:val="bottom"/>
            <w:hideMark/>
          </w:tcPr>
          <w:p w14:paraId="38D44AE5"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200 %</w:t>
            </w:r>
          </w:p>
        </w:tc>
        <w:tc>
          <w:tcPr>
            <w:tcW w:w="851" w:type="dxa"/>
            <w:shd w:val="clear" w:color="auto" w:fill="auto"/>
            <w:vAlign w:val="bottom"/>
            <w:hideMark/>
          </w:tcPr>
          <w:p w14:paraId="4349FF52"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183 %</w:t>
            </w:r>
          </w:p>
        </w:tc>
        <w:tc>
          <w:tcPr>
            <w:tcW w:w="1134" w:type="dxa"/>
            <w:shd w:val="clear" w:color="auto" w:fill="auto"/>
            <w:vAlign w:val="bottom"/>
            <w:hideMark/>
          </w:tcPr>
          <w:p w14:paraId="08D4B540"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4</w:t>
            </w:r>
          </w:p>
        </w:tc>
        <w:tc>
          <w:tcPr>
            <w:tcW w:w="1134" w:type="dxa"/>
            <w:shd w:val="clear" w:color="auto" w:fill="auto"/>
            <w:vAlign w:val="bottom"/>
            <w:hideMark/>
          </w:tcPr>
          <w:p w14:paraId="6339FE29"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36 %</w:t>
            </w:r>
          </w:p>
        </w:tc>
      </w:tr>
      <w:tr w:rsidR="005E3F9C" w:rsidRPr="005E3F9C" w14:paraId="3990643A" w14:textId="77777777" w:rsidTr="005E3F9C">
        <w:tc>
          <w:tcPr>
            <w:tcW w:w="2268" w:type="dxa"/>
            <w:shd w:val="clear" w:color="auto" w:fill="auto"/>
            <w:hideMark/>
          </w:tcPr>
          <w:p w14:paraId="030D35B5" w14:textId="7FCCCAC5" w:rsidR="007059B1" w:rsidRPr="005E3F9C" w:rsidRDefault="007059B1" w:rsidP="005E3F9C">
            <w:pPr>
              <w:suppressAutoHyphens w:val="0"/>
              <w:spacing w:before="40" w:after="40" w:line="220" w:lineRule="exact"/>
              <w:ind w:left="170" w:hanging="170"/>
              <w:rPr>
                <w:sz w:val="18"/>
                <w:szCs w:val="18"/>
              </w:rPr>
            </w:pPr>
            <w:r w:rsidRPr="005E3F9C">
              <w:rPr>
                <w:sz w:val="18"/>
                <w:lang w:val="fr-FR"/>
              </w:rPr>
              <w:t>h.</w:t>
            </w:r>
            <w:r w:rsidR="005E3F9C">
              <w:rPr>
                <w:sz w:val="18"/>
                <w:lang w:val="fr-FR"/>
              </w:rPr>
              <w:tab/>
            </w:r>
            <w:r w:rsidRPr="005E3F9C">
              <w:rPr>
                <w:sz w:val="18"/>
                <w:lang w:val="fr-FR"/>
              </w:rPr>
              <w:t>Forum mondial de la sécurité routière et groupes d’experts subsidiaires</w:t>
            </w:r>
          </w:p>
        </w:tc>
        <w:tc>
          <w:tcPr>
            <w:tcW w:w="851" w:type="dxa"/>
            <w:shd w:val="clear" w:color="auto" w:fill="auto"/>
            <w:vAlign w:val="bottom"/>
            <w:hideMark/>
          </w:tcPr>
          <w:p w14:paraId="2CD21189"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14</w:t>
            </w:r>
          </w:p>
        </w:tc>
        <w:tc>
          <w:tcPr>
            <w:tcW w:w="851" w:type="dxa"/>
            <w:shd w:val="clear" w:color="auto" w:fill="auto"/>
            <w:vAlign w:val="bottom"/>
            <w:hideMark/>
          </w:tcPr>
          <w:p w14:paraId="11F771C4"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24</w:t>
            </w:r>
          </w:p>
        </w:tc>
        <w:tc>
          <w:tcPr>
            <w:tcW w:w="851" w:type="dxa"/>
            <w:shd w:val="clear" w:color="auto" w:fill="auto"/>
            <w:vAlign w:val="bottom"/>
            <w:hideMark/>
          </w:tcPr>
          <w:p w14:paraId="5CD43123"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17</w:t>
            </w:r>
          </w:p>
        </w:tc>
        <w:tc>
          <w:tcPr>
            <w:tcW w:w="851" w:type="dxa"/>
            <w:shd w:val="clear" w:color="auto" w:fill="auto"/>
            <w:vAlign w:val="bottom"/>
            <w:hideMark/>
          </w:tcPr>
          <w:p w14:paraId="536DE9C0"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7</w:t>
            </w:r>
          </w:p>
        </w:tc>
        <w:tc>
          <w:tcPr>
            <w:tcW w:w="851" w:type="dxa"/>
            <w:shd w:val="clear" w:color="auto" w:fill="auto"/>
            <w:vAlign w:val="bottom"/>
            <w:hideMark/>
          </w:tcPr>
          <w:p w14:paraId="3AAD4304"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171 %</w:t>
            </w:r>
          </w:p>
        </w:tc>
        <w:tc>
          <w:tcPr>
            <w:tcW w:w="851" w:type="dxa"/>
            <w:shd w:val="clear" w:color="auto" w:fill="auto"/>
            <w:vAlign w:val="bottom"/>
            <w:hideMark/>
          </w:tcPr>
          <w:p w14:paraId="23F0C93F"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121 %</w:t>
            </w:r>
          </w:p>
        </w:tc>
        <w:tc>
          <w:tcPr>
            <w:tcW w:w="1134" w:type="dxa"/>
            <w:shd w:val="clear" w:color="auto" w:fill="auto"/>
            <w:vAlign w:val="bottom"/>
            <w:hideMark/>
          </w:tcPr>
          <w:p w14:paraId="676532BA"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w:t>
            </w:r>
          </w:p>
        </w:tc>
        <w:tc>
          <w:tcPr>
            <w:tcW w:w="1134" w:type="dxa"/>
            <w:shd w:val="clear" w:color="auto" w:fill="auto"/>
            <w:vAlign w:val="bottom"/>
            <w:hideMark/>
          </w:tcPr>
          <w:p w14:paraId="3057F64B"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12 %</w:t>
            </w:r>
          </w:p>
        </w:tc>
      </w:tr>
      <w:tr w:rsidR="005E3F9C" w:rsidRPr="005E3F9C" w14:paraId="73C27E4A" w14:textId="77777777" w:rsidTr="005E3F9C">
        <w:tc>
          <w:tcPr>
            <w:tcW w:w="2268" w:type="dxa"/>
            <w:shd w:val="clear" w:color="auto" w:fill="auto"/>
            <w:hideMark/>
          </w:tcPr>
          <w:p w14:paraId="7361DBC2" w14:textId="1F961876" w:rsidR="007059B1" w:rsidRPr="005E3F9C" w:rsidRDefault="007059B1" w:rsidP="005E3F9C">
            <w:pPr>
              <w:suppressAutoHyphens w:val="0"/>
              <w:spacing w:before="40" w:after="40" w:line="220" w:lineRule="exact"/>
              <w:ind w:left="170" w:hanging="170"/>
              <w:rPr>
                <w:sz w:val="18"/>
                <w:szCs w:val="18"/>
              </w:rPr>
            </w:pPr>
            <w:r w:rsidRPr="005E3F9C">
              <w:rPr>
                <w:sz w:val="18"/>
                <w:lang w:val="fr-FR"/>
              </w:rPr>
              <w:t>i.</w:t>
            </w:r>
            <w:r w:rsidR="005E3F9C">
              <w:rPr>
                <w:sz w:val="18"/>
                <w:lang w:val="fr-FR"/>
              </w:rPr>
              <w:tab/>
            </w:r>
            <w:r w:rsidRPr="005E3F9C">
              <w:rPr>
                <w:sz w:val="18"/>
                <w:lang w:val="fr-FR"/>
              </w:rPr>
              <w:t>Groupe de travail des transports par chemin de fer et groupes d’experts subsidiaires</w:t>
            </w:r>
          </w:p>
        </w:tc>
        <w:tc>
          <w:tcPr>
            <w:tcW w:w="851" w:type="dxa"/>
            <w:shd w:val="clear" w:color="auto" w:fill="auto"/>
            <w:vAlign w:val="bottom"/>
            <w:hideMark/>
          </w:tcPr>
          <w:p w14:paraId="0C38A7C0"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851" w:type="dxa"/>
            <w:shd w:val="clear" w:color="auto" w:fill="auto"/>
            <w:vAlign w:val="bottom"/>
            <w:hideMark/>
          </w:tcPr>
          <w:p w14:paraId="74883768"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26</w:t>
            </w:r>
          </w:p>
        </w:tc>
        <w:tc>
          <w:tcPr>
            <w:tcW w:w="851" w:type="dxa"/>
            <w:shd w:val="clear" w:color="auto" w:fill="auto"/>
            <w:vAlign w:val="bottom"/>
            <w:hideMark/>
          </w:tcPr>
          <w:p w14:paraId="28C275A3"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26</w:t>
            </w:r>
          </w:p>
        </w:tc>
        <w:tc>
          <w:tcPr>
            <w:tcW w:w="851" w:type="dxa"/>
            <w:shd w:val="clear" w:color="auto" w:fill="auto"/>
            <w:vAlign w:val="bottom"/>
            <w:hideMark/>
          </w:tcPr>
          <w:p w14:paraId="4727B493" w14:textId="77777777" w:rsidR="007059B1" w:rsidRPr="005E3F9C" w:rsidRDefault="007059B1" w:rsidP="005E3F9C">
            <w:pPr>
              <w:suppressAutoHyphens w:val="0"/>
              <w:spacing w:before="40" w:after="40" w:line="220" w:lineRule="exact"/>
              <w:jc w:val="right"/>
              <w:rPr>
                <w:sz w:val="18"/>
                <w:szCs w:val="18"/>
                <w:lang w:eastAsia="zh-CN"/>
              </w:rPr>
            </w:pPr>
          </w:p>
        </w:tc>
        <w:tc>
          <w:tcPr>
            <w:tcW w:w="851" w:type="dxa"/>
            <w:shd w:val="clear" w:color="auto" w:fill="auto"/>
            <w:vAlign w:val="bottom"/>
            <w:hideMark/>
          </w:tcPr>
          <w:p w14:paraId="59473462"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433 %</w:t>
            </w:r>
          </w:p>
        </w:tc>
        <w:tc>
          <w:tcPr>
            <w:tcW w:w="851" w:type="dxa"/>
            <w:shd w:val="clear" w:color="auto" w:fill="auto"/>
            <w:vAlign w:val="bottom"/>
            <w:hideMark/>
          </w:tcPr>
          <w:p w14:paraId="1BB16A4C"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433 %</w:t>
            </w:r>
          </w:p>
        </w:tc>
        <w:tc>
          <w:tcPr>
            <w:tcW w:w="1134" w:type="dxa"/>
            <w:shd w:val="clear" w:color="auto" w:fill="auto"/>
            <w:vAlign w:val="bottom"/>
            <w:hideMark/>
          </w:tcPr>
          <w:p w14:paraId="00479F29"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10</w:t>
            </w:r>
          </w:p>
        </w:tc>
        <w:tc>
          <w:tcPr>
            <w:tcW w:w="1134" w:type="dxa"/>
            <w:shd w:val="clear" w:color="auto" w:fill="auto"/>
            <w:vAlign w:val="bottom"/>
            <w:hideMark/>
          </w:tcPr>
          <w:p w14:paraId="56B18830"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38 %</w:t>
            </w:r>
          </w:p>
        </w:tc>
      </w:tr>
      <w:tr w:rsidR="005E3F9C" w:rsidRPr="005E3F9C" w14:paraId="5E93FB1B" w14:textId="77777777" w:rsidTr="005E3F9C">
        <w:tc>
          <w:tcPr>
            <w:tcW w:w="2268" w:type="dxa"/>
            <w:shd w:val="clear" w:color="auto" w:fill="auto"/>
            <w:hideMark/>
          </w:tcPr>
          <w:p w14:paraId="0773D7D8" w14:textId="2AD4F117" w:rsidR="007059B1" w:rsidRPr="005E3F9C" w:rsidRDefault="007059B1" w:rsidP="005E3F9C">
            <w:pPr>
              <w:suppressAutoHyphens w:val="0"/>
              <w:spacing w:before="40" w:after="40" w:line="220" w:lineRule="exact"/>
              <w:ind w:left="170" w:hanging="170"/>
              <w:rPr>
                <w:sz w:val="18"/>
                <w:szCs w:val="18"/>
              </w:rPr>
            </w:pPr>
            <w:r w:rsidRPr="005E3F9C">
              <w:rPr>
                <w:sz w:val="18"/>
                <w:lang w:val="fr-FR"/>
              </w:rPr>
              <w:t>j.</w:t>
            </w:r>
            <w:r w:rsidR="005E3F9C">
              <w:rPr>
                <w:sz w:val="18"/>
                <w:lang w:val="fr-FR"/>
              </w:rPr>
              <w:tab/>
            </w:r>
            <w:r w:rsidRPr="005E3F9C">
              <w:rPr>
                <w:sz w:val="18"/>
                <w:lang w:val="fr-FR"/>
              </w:rPr>
              <w:t xml:space="preserve">Groupe de travail du transport intermodal </w:t>
            </w:r>
            <w:r w:rsidR="005E3F9C">
              <w:rPr>
                <w:sz w:val="18"/>
                <w:lang w:val="fr-FR"/>
              </w:rPr>
              <w:br/>
            </w:r>
            <w:r w:rsidRPr="005E3F9C">
              <w:rPr>
                <w:sz w:val="18"/>
                <w:lang w:val="fr-FR"/>
              </w:rPr>
              <w:t>et de la logistique</w:t>
            </w:r>
          </w:p>
        </w:tc>
        <w:tc>
          <w:tcPr>
            <w:tcW w:w="851" w:type="dxa"/>
            <w:shd w:val="clear" w:color="auto" w:fill="auto"/>
            <w:vAlign w:val="bottom"/>
            <w:hideMark/>
          </w:tcPr>
          <w:p w14:paraId="022C2FCC"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851" w:type="dxa"/>
            <w:shd w:val="clear" w:color="auto" w:fill="auto"/>
            <w:vAlign w:val="bottom"/>
            <w:hideMark/>
          </w:tcPr>
          <w:p w14:paraId="74324CAB"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14</w:t>
            </w:r>
          </w:p>
        </w:tc>
        <w:tc>
          <w:tcPr>
            <w:tcW w:w="851" w:type="dxa"/>
            <w:shd w:val="clear" w:color="auto" w:fill="auto"/>
            <w:vAlign w:val="bottom"/>
            <w:hideMark/>
          </w:tcPr>
          <w:p w14:paraId="48B438BB"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851" w:type="dxa"/>
            <w:shd w:val="clear" w:color="auto" w:fill="auto"/>
            <w:vAlign w:val="bottom"/>
            <w:hideMark/>
          </w:tcPr>
          <w:p w14:paraId="44F12B09" w14:textId="77777777" w:rsidR="007059B1" w:rsidRPr="005E3F9C" w:rsidRDefault="007059B1" w:rsidP="005E3F9C">
            <w:pPr>
              <w:suppressAutoHyphens w:val="0"/>
              <w:spacing w:before="40" w:after="40" w:line="220" w:lineRule="exact"/>
              <w:jc w:val="right"/>
              <w:rPr>
                <w:sz w:val="18"/>
                <w:szCs w:val="18"/>
                <w:lang w:eastAsia="zh-CN"/>
              </w:rPr>
            </w:pPr>
          </w:p>
        </w:tc>
        <w:tc>
          <w:tcPr>
            <w:tcW w:w="851" w:type="dxa"/>
            <w:shd w:val="clear" w:color="auto" w:fill="auto"/>
            <w:vAlign w:val="bottom"/>
            <w:hideMark/>
          </w:tcPr>
          <w:p w14:paraId="730CCE96"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233 %</w:t>
            </w:r>
          </w:p>
        </w:tc>
        <w:tc>
          <w:tcPr>
            <w:tcW w:w="851" w:type="dxa"/>
            <w:shd w:val="clear" w:color="auto" w:fill="auto"/>
            <w:vAlign w:val="bottom"/>
            <w:hideMark/>
          </w:tcPr>
          <w:p w14:paraId="4D5E33EC"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c>
          <w:tcPr>
            <w:tcW w:w="1134" w:type="dxa"/>
            <w:shd w:val="clear" w:color="auto" w:fill="auto"/>
            <w:vAlign w:val="bottom"/>
            <w:hideMark/>
          </w:tcPr>
          <w:p w14:paraId="31FAC013"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1134" w:type="dxa"/>
            <w:shd w:val="clear" w:color="auto" w:fill="auto"/>
            <w:vAlign w:val="bottom"/>
            <w:hideMark/>
          </w:tcPr>
          <w:p w14:paraId="7BA75C7C"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r>
      <w:tr w:rsidR="005E3F9C" w:rsidRPr="005E3F9C" w14:paraId="37F0D822" w14:textId="77777777" w:rsidTr="005E3F9C">
        <w:tc>
          <w:tcPr>
            <w:tcW w:w="2268" w:type="dxa"/>
            <w:shd w:val="clear" w:color="auto" w:fill="auto"/>
            <w:hideMark/>
          </w:tcPr>
          <w:p w14:paraId="6E151099" w14:textId="6BF55828" w:rsidR="007059B1" w:rsidRPr="005E3F9C" w:rsidRDefault="007059B1" w:rsidP="005E3F9C">
            <w:pPr>
              <w:suppressAutoHyphens w:val="0"/>
              <w:spacing w:before="40" w:after="40" w:line="220" w:lineRule="exact"/>
              <w:ind w:left="170" w:hanging="170"/>
              <w:rPr>
                <w:sz w:val="18"/>
                <w:szCs w:val="18"/>
              </w:rPr>
            </w:pPr>
            <w:r w:rsidRPr="005E3F9C">
              <w:rPr>
                <w:sz w:val="18"/>
                <w:lang w:val="fr-FR"/>
              </w:rPr>
              <w:t>k.</w:t>
            </w:r>
            <w:r w:rsidR="005E3F9C">
              <w:rPr>
                <w:sz w:val="18"/>
                <w:lang w:val="fr-FR"/>
              </w:rPr>
              <w:tab/>
            </w:r>
            <w:r w:rsidRPr="005E3F9C">
              <w:rPr>
                <w:sz w:val="18"/>
                <w:lang w:val="fr-FR"/>
              </w:rPr>
              <w:t>Groupe de travail des transports par voie navigable</w:t>
            </w:r>
          </w:p>
        </w:tc>
        <w:tc>
          <w:tcPr>
            <w:tcW w:w="851" w:type="dxa"/>
            <w:shd w:val="clear" w:color="auto" w:fill="auto"/>
            <w:vAlign w:val="bottom"/>
            <w:hideMark/>
          </w:tcPr>
          <w:p w14:paraId="392ABCF6"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18</w:t>
            </w:r>
          </w:p>
        </w:tc>
        <w:tc>
          <w:tcPr>
            <w:tcW w:w="851" w:type="dxa"/>
            <w:shd w:val="clear" w:color="auto" w:fill="auto"/>
            <w:vAlign w:val="bottom"/>
            <w:hideMark/>
          </w:tcPr>
          <w:p w14:paraId="379FFB1D"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14</w:t>
            </w:r>
          </w:p>
        </w:tc>
        <w:tc>
          <w:tcPr>
            <w:tcW w:w="851" w:type="dxa"/>
            <w:shd w:val="clear" w:color="auto" w:fill="auto"/>
            <w:vAlign w:val="bottom"/>
            <w:hideMark/>
          </w:tcPr>
          <w:p w14:paraId="0F7167E5"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14</w:t>
            </w:r>
          </w:p>
        </w:tc>
        <w:tc>
          <w:tcPr>
            <w:tcW w:w="851" w:type="dxa"/>
            <w:shd w:val="clear" w:color="auto" w:fill="auto"/>
            <w:vAlign w:val="bottom"/>
            <w:hideMark/>
          </w:tcPr>
          <w:p w14:paraId="0CAB864D"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4</w:t>
            </w:r>
          </w:p>
        </w:tc>
        <w:tc>
          <w:tcPr>
            <w:tcW w:w="851" w:type="dxa"/>
            <w:shd w:val="clear" w:color="auto" w:fill="auto"/>
            <w:vAlign w:val="bottom"/>
            <w:hideMark/>
          </w:tcPr>
          <w:p w14:paraId="2B4BDDBD"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78 %</w:t>
            </w:r>
          </w:p>
        </w:tc>
        <w:tc>
          <w:tcPr>
            <w:tcW w:w="851" w:type="dxa"/>
            <w:shd w:val="clear" w:color="auto" w:fill="auto"/>
            <w:vAlign w:val="bottom"/>
            <w:hideMark/>
          </w:tcPr>
          <w:p w14:paraId="1886641E"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78 %</w:t>
            </w:r>
          </w:p>
        </w:tc>
        <w:tc>
          <w:tcPr>
            <w:tcW w:w="1134" w:type="dxa"/>
            <w:shd w:val="clear" w:color="auto" w:fill="auto"/>
            <w:vAlign w:val="bottom"/>
            <w:hideMark/>
          </w:tcPr>
          <w:p w14:paraId="76BB9F2C"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6</w:t>
            </w:r>
          </w:p>
        </w:tc>
        <w:tc>
          <w:tcPr>
            <w:tcW w:w="1134" w:type="dxa"/>
            <w:shd w:val="clear" w:color="auto" w:fill="auto"/>
            <w:vAlign w:val="bottom"/>
            <w:hideMark/>
          </w:tcPr>
          <w:p w14:paraId="16D657BE"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43 %</w:t>
            </w:r>
          </w:p>
        </w:tc>
      </w:tr>
      <w:tr w:rsidR="005E3F9C" w:rsidRPr="005E3F9C" w14:paraId="47E6C64E" w14:textId="77777777" w:rsidTr="005E3F9C">
        <w:tc>
          <w:tcPr>
            <w:tcW w:w="2268" w:type="dxa"/>
            <w:shd w:val="clear" w:color="auto" w:fill="auto"/>
            <w:hideMark/>
          </w:tcPr>
          <w:p w14:paraId="2DA06E77" w14:textId="40AAC631" w:rsidR="007059B1" w:rsidRPr="005E3F9C" w:rsidRDefault="007059B1" w:rsidP="005178D2">
            <w:pPr>
              <w:keepNext/>
              <w:keepLines/>
              <w:suppressAutoHyphens w:val="0"/>
              <w:spacing w:before="40" w:after="40" w:line="220" w:lineRule="exact"/>
              <w:ind w:left="170" w:hanging="170"/>
              <w:rPr>
                <w:sz w:val="18"/>
                <w:szCs w:val="18"/>
              </w:rPr>
            </w:pPr>
            <w:r w:rsidRPr="005E3F9C">
              <w:rPr>
                <w:sz w:val="18"/>
                <w:lang w:val="fr-FR"/>
              </w:rPr>
              <w:t>l.</w:t>
            </w:r>
            <w:r w:rsidR="005E3F9C">
              <w:rPr>
                <w:sz w:val="18"/>
                <w:lang w:val="fr-FR"/>
              </w:rPr>
              <w:tab/>
            </w:r>
            <w:r w:rsidRPr="005E3F9C">
              <w:rPr>
                <w:sz w:val="18"/>
                <w:lang w:val="fr-FR"/>
              </w:rPr>
              <w:t xml:space="preserve">Groupe de travail des problèmes douaniers intéressant les transports </w:t>
            </w:r>
            <w:r w:rsidR="005E3F9C">
              <w:rPr>
                <w:sz w:val="18"/>
                <w:lang w:val="fr-FR"/>
              </w:rPr>
              <w:br/>
            </w:r>
            <w:r w:rsidRPr="005E3F9C">
              <w:rPr>
                <w:sz w:val="18"/>
                <w:lang w:val="fr-FR"/>
              </w:rPr>
              <w:t>et groupes d’experts subsidiaires</w:t>
            </w:r>
          </w:p>
        </w:tc>
        <w:tc>
          <w:tcPr>
            <w:tcW w:w="851" w:type="dxa"/>
            <w:shd w:val="clear" w:color="auto" w:fill="auto"/>
            <w:vAlign w:val="bottom"/>
            <w:hideMark/>
          </w:tcPr>
          <w:p w14:paraId="7EBA8419" w14:textId="77777777" w:rsidR="007059B1" w:rsidRPr="005E3F9C" w:rsidRDefault="007059B1" w:rsidP="005178D2">
            <w:pPr>
              <w:keepNext/>
              <w:keepLines/>
              <w:suppressAutoHyphens w:val="0"/>
              <w:spacing w:before="40" w:after="40" w:line="220" w:lineRule="exact"/>
              <w:jc w:val="right"/>
              <w:rPr>
                <w:sz w:val="18"/>
                <w:szCs w:val="18"/>
              </w:rPr>
            </w:pPr>
            <w:r w:rsidRPr="005E3F9C">
              <w:rPr>
                <w:sz w:val="18"/>
                <w:lang w:val="fr-FR"/>
              </w:rPr>
              <w:t>46</w:t>
            </w:r>
          </w:p>
        </w:tc>
        <w:tc>
          <w:tcPr>
            <w:tcW w:w="851" w:type="dxa"/>
            <w:shd w:val="clear" w:color="auto" w:fill="auto"/>
            <w:vAlign w:val="bottom"/>
            <w:hideMark/>
          </w:tcPr>
          <w:p w14:paraId="546AAE1D" w14:textId="77777777" w:rsidR="007059B1" w:rsidRPr="005E3F9C" w:rsidRDefault="007059B1" w:rsidP="005178D2">
            <w:pPr>
              <w:keepNext/>
              <w:keepLines/>
              <w:suppressAutoHyphens w:val="0"/>
              <w:spacing w:before="40" w:after="40" w:line="220" w:lineRule="exact"/>
              <w:jc w:val="right"/>
              <w:rPr>
                <w:sz w:val="18"/>
                <w:szCs w:val="18"/>
              </w:rPr>
            </w:pPr>
            <w:r w:rsidRPr="005E3F9C">
              <w:rPr>
                <w:sz w:val="18"/>
                <w:lang w:val="fr-FR"/>
              </w:rPr>
              <w:t>38</w:t>
            </w:r>
          </w:p>
        </w:tc>
        <w:tc>
          <w:tcPr>
            <w:tcW w:w="851" w:type="dxa"/>
            <w:shd w:val="clear" w:color="auto" w:fill="auto"/>
            <w:vAlign w:val="bottom"/>
            <w:hideMark/>
          </w:tcPr>
          <w:p w14:paraId="1BA67244" w14:textId="77777777" w:rsidR="007059B1" w:rsidRPr="005E3F9C" w:rsidRDefault="007059B1" w:rsidP="005178D2">
            <w:pPr>
              <w:keepNext/>
              <w:keepLines/>
              <w:suppressAutoHyphens w:val="0"/>
              <w:spacing w:before="40" w:after="40" w:line="220" w:lineRule="exact"/>
              <w:jc w:val="right"/>
              <w:rPr>
                <w:sz w:val="18"/>
                <w:szCs w:val="18"/>
              </w:rPr>
            </w:pPr>
            <w:r w:rsidRPr="005E3F9C">
              <w:rPr>
                <w:sz w:val="18"/>
                <w:lang w:val="fr-FR"/>
              </w:rPr>
              <w:t>32</w:t>
            </w:r>
          </w:p>
        </w:tc>
        <w:tc>
          <w:tcPr>
            <w:tcW w:w="851" w:type="dxa"/>
            <w:shd w:val="clear" w:color="auto" w:fill="auto"/>
            <w:vAlign w:val="bottom"/>
            <w:hideMark/>
          </w:tcPr>
          <w:p w14:paraId="5B7A6B79" w14:textId="77777777" w:rsidR="007059B1" w:rsidRPr="005E3F9C" w:rsidRDefault="007059B1" w:rsidP="005178D2">
            <w:pPr>
              <w:keepNext/>
              <w:keepLines/>
              <w:suppressAutoHyphens w:val="0"/>
              <w:spacing w:before="40" w:after="40" w:line="220" w:lineRule="exact"/>
              <w:jc w:val="right"/>
              <w:rPr>
                <w:sz w:val="18"/>
                <w:szCs w:val="18"/>
              </w:rPr>
            </w:pPr>
            <w:r w:rsidRPr="005E3F9C">
              <w:rPr>
                <w:sz w:val="18"/>
                <w:lang w:val="fr-FR"/>
              </w:rPr>
              <w:t>6</w:t>
            </w:r>
          </w:p>
        </w:tc>
        <w:tc>
          <w:tcPr>
            <w:tcW w:w="851" w:type="dxa"/>
            <w:shd w:val="clear" w:color="auto" w:fill="auto"/>
            <w:vAlign w:val="bottom"/>
            <w:hideMark/>
          </w:tcPr>
          <w:p w14:paraId="0279F9D2"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83 %</w:t>
            </w:r>
          </w:p>
        </w:tc>
        <w:tc>
          <w:tcPr>
            <w:tcW w:w="851" w:type="dxa"/>
            <w:shd w:val="clear" w:color="auto" w:fill="auto"/>
            <w:vAlign w:val="bottom"/>
            <w:hideMark/>
          </w:tcPr>
          <w:p w14:paraId="1C71A03E"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70 %</w:t>
            </w:r>
          </w:p>
        </w:tc>
        <w:tc>
          <w:tcPr>
            <w:tcW w:w="1134" w:type="dxa"/>
            <w:shd w:val="clear" w:color="auto" w:fill="auto"/>
            <w:vAlign w:val="bottom"/>
            <w:hideMark/>
          </w:tcPr>
          <w:p w14:paraId="4E1D31C8" w14:textId="77777777" w:rsidR="007059B1" w:rsidRPr="005E3F9C" w:rsidRDefault="007059B1" w:rsidP="005178D2">
            <w:pPr>
              <w:keepNext/>
              <w:keepLines/>
              <w:suppressAutoHyphens w:val="0"/>
              <w:spacing w:before="40" w:after="40" w:line="220" w:lineRule="exact"/>
              <w:jc w:val="right"/>
              <w:rPr>
                <w:b/>
                <w:bCs/>
                <w:sz w:val="18"/>
                <w:szCs w:val="18"/>
                <w:lang w:eastAsia="zh-CN"/>
              </w:rPr>
            </w:pPr>
          </w:p>
        </w:tc>
        <w:tc>
          <w:tcPr>
            <w:tcW w:w="1134" w:type="dxa"/>
            <w:shd w:val="clear" w:color="auto" w:fill="auto"/>
            <w:vAlign w:val="bottom"/>
            <w:hideMark/>
          </w:tcPr>
          <w:p w14:paraId="510BAC88"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0 %</w:t>
            </w:r>
          </w:p>
        </w:tc>
      </w:tr>
      <w:tr w:rsidR="005E3F9C" w:rsidRPr="005E3F9C" w14:paraId="0E0D7CC3" w14:textId="77777777" w:rsidTr="005E3F9C">
        <w:tc>
          <w:tcPr>
            <w:tcW w:w="2268" w:type="dxa"/>
            <w:shd w:val="clear" w:color="auto" w:fill="auto"/>
            <w:hideMark/>
          </w:tcPr>
          <w:p w14:paraId="7B528390" w14:textId="06E0F4C3" w:rsidR="007059B1" w:rsidRPr="005E3F9C" w:rsidRDefault="007059B1" w:rsidP="005178D2">
            <w:pPr>
              <w:keepNext/>
              <w:keepLines/>
              <w:suppressAutoHyphens w:val="0"/>
              <w:spacing w:before="40" w:after="40" w:line="220" w:lineRule="exact"/>
              <w:ind w:left="170" w:hanging="170"/>
              <w:rPr>
                <w:b/>
                <w:bCs/>
                <w:sz w:val="18"/>
                <w:szCs w:val="18"/>
              </w:rPr>
            </w:pPr>
            <w:r w:rsidRPr="005E3F9C">
              <w:rPr>
                <w:b/>
                <w:bCs/>
                <w:sz w:val="18"/>
                <w:lang w:val="fr-FR"/>
              </w:rPr>
              <w:t>5.</w:t>
            </w:r>
            <w:r w:rsidR="005E3F9C">
              <w:rPr>
                <w:sz w:val="18"/>
                <w:lang w:val="fr-FR"/>
              </w:rPr>
              <w:tab/>
            </w:r>
            <w:r w:rsidRPr="005E3F9C">
              <w:rPr>
                <w:b/>
                <w:bCs/>
                <w:sz w:val="18"/>
                <w:lang w:val="fr-FR"/>
              </w:rPr>
              <w:t xml:space="preserve">Conseil économique </w:t>
            </w:r>
            <w:r w:rsidR="005E3F9C">
              <w:rPr>
                <w:b/>
                <w:bCs/>
                <w:sz w:val="18"/>
                <w:lang w:val="fr-FR"/>
              </w:rPr>
              <w:br/>
            </w:r>
            <w:r w:rsidRPr="005E3F9C">
              <w:rPr>
                <w:b/>
                <w:bCs/>
                <w:sz w:val="18"/>
                <w:lang w:val="fr-FR"/>
              </w:rPr>
              <w:t>et social</w:t>
            </w:r>
          </w:p>
        </w:tc>
        <w:tc>
          <w:tcPr>
            <w:tcW w:w="851" w:type="dxa"/>
            <w:shd w:val="clear" w:color="auto" w:fill="auto"/>
            <w:vAlign w:val="bottom"/>
            <w:hideMark/>
          </w:tcPr>
          <w:p w14:paraId="278E145D"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35</w:t>
            </w:r>
          </w:p>
        </w:tc>
        <w:tc>
          <w:tcPr>
            <w:tcW w:w="851" w:type="dxa"/>
            <w:shd w:val="clear" w:color="auto" w:fill="auto"/>
            <w:vAlign w:val="bottom"/>
            <w:hideMark/>
          </w:tcPr>
          <w:p w14:paraId="10B000BD"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35</w:t>
            </w:r>
          </w:p>
        </w:tc>
        <w:tc>
          <w:tcPr>
            <w:tcW w:w="851" w:type="dxa"/>
            <w:shd w:val="clear" w:color="auto" w:fill="auto"/>
            <w:vAlign w:val="bottom"/>
            <w:hideMark/>
          </w:tcPr>
          <w:p w14:paraId="4B191B0A"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35</w:t>
            </w:r>
          </w:p>
        </w:tc>
        <w:tc>
          <w:tcPr>
            <w:tcW w:w="851" w:type="dxa"/>
            <w:shd w:val="clear" w:color="auto" w:fill="auto"/>
            <w:vAlign w:val="bottom"/>
            <w:hideMark/>
          </w:tcPr>
          <w:p w14:paraId="1D2F3A4F"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0</w:t>
            </w:r>
          </w:p>
        </w:tc>
        <w:tc>
          <w:tcPr>
            <w:tcW w:w="851" w:type="dxa"/>
            <w:shd w:val="clear" w:color="auto" w:fill="auto"/>
            <w:vAlign w:val="bottom"/>
            <w:hideMark/>
          </w:tcPr>
          <w:p w14:paraId="37DC9CDA"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100 %</w:t>
            </w:r>
          </w:p>
        </w:tc>
        <w:tc>
          <w:tcPr>
            <w:tcW w:w="851" w:type="dxa"/>
            <w:shd w:val="clear" w:color="auto" w:fill="auto"/>
            <w:vAlign w:val="bottom"/>
            <w:hideMark/>
          </w:tcPr>
          <w:p w14:paraId="257A1ADC"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100 %</w:t>
            </w:r>
          </w:p>
        </w:tc>
        <w:tc>
          <w:tcPr>
            <w:tcW w:w="1134" w:type="dxa"/>
            <w:shd w:val="clear" w:color="auto" w:fill="auto"/>
            <w:vAlign w:val="bottom"/>
            <w:hideMark/>
          </w:tcPr>
          <w:p w14:paraId="58651E38"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9</w:t>
            </w:r>
          </w:p>
        </w:tc>
        <w:tc>
          <w:tcPr>
            <w:tcW w:w="1134" w:type="dxa"/>
            <w:shd w:val="clear" w:color="auto" w:fill="auto"/>
            <w:vAlign w:val="bottom"/>
            <w:hideMark/>
          </w:tcPr>
          <w:p w14:paraId="3A45424E" w14:textId="77777777" w:rsidR="007059B1" w:rsidRPr="005E3F9C" w:rsidRDefault="007059B1" w:rsidP="005178D2">
            <w:pPr>
              <w:keepNext/>
              <w:keepLines/>
              <w:suppressAutoHyphens w:val="0"/>
              <w:spacing w:before="40" w:after="40" w:line="220" w:lineRule="exact"/>
              <w:jc w:val="right"/>
              <w:rPr>
                <w:b/>
                <w:bCs/>
                <w:sz w:val="18"/>
                <w:szCs w:val="18"/>
              </w:rPr>
            </w:pPr>
            <w:r w:rsidRPr="005E3F9C">
              <w:rPr>
                <w:b/>
                <w:bCs/>
                <w:sz w:val="18"/>
                <w:lang w:val="fr-FR"/>
              </w:rPr>
              <w:t>26 %</w:t>
            </w:r>
          </w:p>
        </w:tc>
      </w:tr>
      <w:tr w:rsidR="005E3F9C" w:rsidRPr="005E3F9C" w14:paraId="5FCB1672" w14:textId="77777777" w:rsidTr="005E3F9C">
        <w:tc>
          <w:tcPr>
            <w:tcW w:w="2268" w:type="dxa"/>
            <w:shd w:val="clear" w:color="auto" w:fill="auto"/>
            <w:hideMark/>
          </w:tcPr>
          <w:p w14:paraId="3677F0D3" w14:textId="7DCCF645" w:rsidR="007059B1" w:rsidRPr="005E3F9C" w:rsidRDefault="007059B1" w:rsidP="005E3F9C">
            <w:pPr>
              <w:suppressAutoHyphens w:val="0"/>
              <w:spacing w:before="40" w:after="40" w:line="220" w:lineRule="exact"/>
              <w:ind w:left="170" w:hanging="170"/>
              <w:rPr>
                <w:sz w:val="18"/>
                <w:szCs w:val="18"/>
              </w:rPr>
            </w:pPr>
            <w:r w:rsidRPr="005E3F9C">
              <w:rPr>
                <w:sz w:val="18"/>
                <w:lang w:val="fr-FR"/>
              </w:rPr>
              <w:t>a.</w:t>
            </w:r>
            <w:r w:rsidR="005E3F9C">
              <w:rPr>
                <w:sz w:val="18"/>
                <w:lang w:val="fr-FR"/>
              </w:rPr>
              <w:tab/>
            </w:r>
            <w:r w:rsidRPr="005E3F9C">
              <w:rPr>
                <w:sz w:val="18"/>
                <w:lang w:val="fr-FR"/>
              </w:rPr>
              <w:t>Comité d’experts du transport des marchandises dangereuses et du Système général harmonisé de classification et d’étiquetage des produits chimiques</w:t>
            </w:r>
          </w:p>
        </w:tc>
        <w:tc>
          <w:tcPr>
            <w:tcW w:w="851" w:type="dxa"/>
            <w:shd w:val="clear" w:color="auto" w:fill="auto"/>
            <w:vAlign w:val="bottom"/>
            <w:hideMark/>
          </w:tcPr>
          <w:p w14:paraId="325E9A08"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0</w:t>
            </w:r>
          </w:p>
        </w:tc>
        <w:tc>
          <w:tcPr>
            <w:tcW w:w="851" w:type="dxa"/>
            <w:shd w:val="clear" w:color="auto" w:fill="auto"/>
            <w:vAlign w:val="bottom"/>
            <w:hideMark/>
          </w:tcPr>
          <w:p w14:paraId="7247F467"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0</w:t>
            </w:r>
          </w:p>
        </w:tc>
        <w:tc>
          <w:tcPr>
            <w:tcW w:w="851" w:type="dxa"/>
            <w:shd w:val="clear" w:color="auto" w:fill="auto"/>
            <w:vAlign w:val="bottom"/>
            <w:hideMark/>
          </w:tcPr>
          <w:p w14:paraId="4D7808E8"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0</w:t>
            </w:r>
          </w:p>
        </w:tc>
        <w:tc>
          <w:tcPr>
            <w:tcW w:w="851" w:type="dxa"/>
            <w:shd w:val="clear" w:color="auto" w:fill="auto"/>
            <w:vAlign w:val="bottom"/>
            <w:hideMark/>
          </w:tcPr>
          <w:p w14:paraId="10FA7EEE" w14:textId="77777777" w:rsidR="007059B1" w:rsidRPr="005E3F9C" w:rsidRDefault="007059B1" w:rsidP="005E3F9C">
            <w:pPr>
              <w:suppressAutoHyphens w:val="0"/>
              <w:spacing w:before="40" w:after="40" w:line="220" w:lineRule="exact"/>
              <w:jc w:val="right"/>
              <w:rPr>
                <w:sz w:val="18"/>
                <w:szCs w:val="18"/>
                <w:lang w:eastAsia="zh-CN"/>
              </w:rPr>
            </w:pPr>
          </w:p>
        </w:tc>
        <w:tc>
          <w:tcPr>
            <w:tcW w:w="851" w:type="dxa"/>
            <w:shd w:val="clear" w:color="auto" w:fill="auto"/>
            <w:vAlign w:val="bottom"/>
            <w:hideMark/>
          </w:tcPr>
          <w:p w14:paraId="74E43159" w14:textId="77777777" w:rsidR="007059B1" w:rsidRPr="005E3F9C" w:rsidRDefault="007059B1" w:rsidP="005E3F9C">
            <w:pPr>
              <w:suppressAutoHyphens w:val="0"/>
              <w:spacing w:before="40" w:after="40" w:line="220" w:lineRule="exact"/>
              <w:jc w:val="right"/>
              <w:rPr>
                <w:sz w:val="18"/>
                <w:szCs w:val="18"/>
                <w:lang w:eastAsia="zh-CN"/>
              </w:rPr>
            </w:pPr>
          </w:p>
        </w:tc>
        <w:tc>
          <w:tcPr>
            <w:tcW w:w="851" w:type="dxa"/>
            <w:shd w:val="clear" w:color="auto" w:fill="auto"/>
            <w:vAlign w:val="bottom"/>
            <w:hideMark/>
          </w:tcPr>
          <w:p w14:paraId="714608B5" w14:textId="77777777" w:rsidR="007059B1" w:rsidRPr="005E3F9C" w:rsidRDefault="007059B1" w:rsidP="005E3F9C">
            <w:pPr>
              <w:suppressAutoHyphens w:val="0"/>
              <w:spacing w:before="40" w:after="40" w:line="220" w:lineRule="exact"/>
              <w:jc w:val="right"/>
              <w:rPr>
                <w:sz w:val="18"/>
                <w:szCs w:val="18"/>
                <w:lang w:eastAsia="zh-CN"/>
              </w:rPr>
            </w:pPr>
          </w:p>
        </w:tc>
        <w:tc>
          <w:tcPr>
            <w:tcW w:w="1134" w:type="dxa"/>
            <w:shd w:val="clear" w:color="auto" w:fill="auto"/>
            <w:vAlign w:val="bottom"/>
            <w:hideMark/>
          </w:tcPr>
          <w:p w14:paraId="26C8FED1" w14:textId="77777777" w:rsidR="007059B1" w:rsidRPr="005E3F9C" w:rsidRDefault="007059B1" w:rsidP="005E3F9C">
            <w:pPr>
              <w:suppressAutoHyphens w:val="0"/>
              <w:spacing w:before="40" w:after="40" w:line="220" w:lineRule="exact"/>
              <w:jc w:val="right"/>
              <w:rPr>
                <w:sz w:val="18"/>
                <w:szCs w:val="18"/>
                <w:lang w:eastAsia="zh-CN"/>
              </w:rPr>
            </w:pPr>
          </w:p>
        </w:tc>
        <w:tc>
          <w:tcPr>
            <w:tcW w:w="1134" w:type="dxa"/>
            <w:shd w:val="clear" w:color="auto" w:fill="auto"/>
            <w:vAlign w:val="bottom"/>
            <w:hideMark/>
          </w:tcPr>
          <w:p w14:paraId="07E46388" w14:textId="77777777" w:rsidR="007059B1" w:rsidRPr="005E3F9C" w:rsidRDefault="007059B1" w:rsidP="005E3F9C">
            <w:pPr>
              <w:suppressAutoHyphens w:val="0"/>
              <w:spacing w:before="40" w:after="40" w:line="220" w:lineRule="exact"/>
              <w:jc w:val="right"/>
              <w:rPr>
                <w:sz w:val="18"/>
                <w:szCs w:val="18"/>
                <w:lang w:eastAsia="zh-CN"/>
              </w:rPr>
            </w:pPr>
          </w:p>
        </w:tc>
      </w:tr>
      <w:tr w:rsidR="005E3F9C" w:rsidRPr="005E3F9C" w14:paraId="035230CD" w14:textId="77777777" w:rsidTr="005E3F9C">
        <w:tc>
          <w:tcPr>
            <w:tcW w:w="2268" w:type="dxa"/>
            <w:shd w:val="clear" w:color="auto" w:fill="auto"/>
            <w:hideMark/>
          </w:tcPr>
          <w:p w14:paraId="0D28FC8B" w14:textId="080A4C38" w:rsidR="007059B1" w:rsidRPr="005E3F9C" w:rsidRDefault="007059B1" w:rsidP="005E3F9C">
            <w:pPr>
              <w:suppressAutoHyphens w:val="0"/>
              <w:spacing w:before="40" w:after="40" w:line="220" w:lineRule="exact"/>
              <w:ind w:left="170" w:hanging="170"/>
              <w:rPr>
                <w:sz w:val="18"/>
                <w:szCs w:val="18"/>
              </w:rPr>
            </w:pPr>
            <w:r w:rsidRPr="005E3F9C">
              <w:rPr>
                <w:sz w:val="18"/>
                <w:lang w:val="fr-FR"/>
              </w:rPr>
              <w:t>b.</w:t>
            </w:r>
            <w:r w:rsidR="005E3F9C">
              <w:rPr>
                <w:sz w:val="18"/>
                <w:lang w:val="fr-FR"/>
              </w:rPr>
              <w:tab/>
            </w:r>
            <w:r w:rsidRPr="005E3F9C">
              <w:rPr>
                <w:sz w:val="18"/>
                <w:lang w:val="fr-FR"/>
              </w:rPr>
              <w:t>Sous-Comité d’experts du transport des marchandises dangereuses</w:t>
            </w:r>
          </w:p>
        </w:tc>
        <w:tc>
          <w:tcPr>
            <w:tcW w:w="851" w:type="dxa"/>
            <w:shd w:val="clear" w:color="auto" w:fill="auto"/>
            <w:vAlign w:val="bottom"/>
            <w:hideMark/>
          </w:tcPr>
          <w:p w14:paraId="786D0DE6"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25</w:t>
            </w:r>
          </w:p>
        </w:tc>
        <w:tc>
          <w:tcPr>
            <w:tcW w:w="851" w:type="dxa"/>
            <w:shd w:val="clear" w:color="auto" w:fill="auto"/>
            <w:vAlign w:val="bottom"/>
            <w:hideMark/>
          </w:tcPr>
          <w:p w14:paraId="0ABB339C"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25</w:t>
            </w:r>
          </w:p>
        </w:tc>
        <w:tc>
          <w:tcPr>
            <w:tcW w:w="851" w:type="dxa"/>
            <w:shd w:val="clear" w:color="auto" w:fill="auto"/>
            <w:vAlign w:val="bottom"/>
            <w:hideMark/>
          </w:tcPr>
          <w:p w14:paraId="4AB78F4F"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25</w:t>
            </w:r>
          </w:p>
        </w:tc>
        <w:tc>
          <w:tcPr>
            <w:tcW w:w="851" w:type="dxa"/>
            <w:shd w:val="clear" w:color="auto" w:fill="auto"/>
            <w:vAlign w:val="bottom"/>
            <w:hideMark/>
          </w:tcPr>
          <w:p w14:paraId="7F01A6E8" w14:textId="77777777" w:rsidR="007059B1" w:rsidRPr="005E3F9C" w:rsidRDefault="007059B1" w:rsidP="005E3F9C">
            <w:pPr>
              <w:suppressAutoHyphens w:val="0"/>
              <w:spacing w:before="40" w:after="40" w:line="220" w:lineRule="exact"/>
              <w:jc w:val="right"/>
              <w:rPr>
                <w:sz w:val="18"/>
                <w:szCs w:val="18"/>
                <w:lang w:eastAsia="zh-CN"/>
              </w:rPr>
            </w:pPr>
          </w:p>
        </w:tc>
        <w:tc>
          <w:tcPr>
            <w:tcW w:w="851" w:type="dxa"/>
            <w:shd w:val="clear" w:color="auto" w:fill="auto"/>
            <w:vAlign w:val="bottom"/>
            <w:hideMark/>
          </w:tcPr>
          <w:p w14:paraId="7D6D10FB"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c>
          <w:tcPr>
            <w:tcW w:w="851" w:type="dxa"/>
            <w:shd w:val="clear" w:color="auto" w:fill="auto"/>
            <w:vAlign w:val="bottom"/>
            <w:hideMark/>
          </w:tcPr>
          <w:p w14:paraId="5C317361"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c>
          <w:tcPr>
            <w:tcW w:w="1134" w:type="dxa"/>
            <w:shd w:val="clear" w:color="auto" w:fill="auto"/>
            <w:vAlign w:val="bottom"/>
            <w:hideMark/>
          </w:tcPr>
          <w:p w14:paraId="7024365D"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9</w:t>
            </w:r>
          </w:p>
        </w:tc>
        <w:tc>
          <w:tcPr>
            <w:tcW w:w="1134" w:type="dxa"/>
            <w:shd w:val="clear" w:color="auto" w:fill="auto"/>
            <w:vAlign w:val="bottom"/>
            <w:hideMark/>
          </w:tcPr>
          <w:p w14:paraId="38467DBB"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36 %</w:t>
            </w:r>
          </w:p>
        </w:tc>
      </w:tr>
      <w:tr w:rsidR="005E3F9C" w:rsidRPr="005E3F9C" w14:paraId="5DE8B7AC" w14:textId="77777777" w:rsidTr="005E3F9C">
        <w:tc>
          <w:tcPr>
            <w:tcW w:w="2268" w:type="dxa"/>
            <w:shd w:val="clear" w:color="auto" w:fill="auto"/>
            <w:hideMark/>
          </w:tcPr>
          <w:p w14:paraId="0326CEFD" w14:textId="2BF257A6" w:rsidR="007059B1" w:rsidRPr="005E3F9C" w:rsidRDefault="007059B1" w:rsidP="005E3F9C">
            <w:pPr>
              <w:suppressAutoHyphens w:val="0"/>
              <w:spacing w:before="40" w:after="40" w:line="220" w:lineRule="exact"/>
              <w:ind w:left="170" w:hanging="170"/>
              <w:rPr>
                <w:sz w:val="18"/>
                <w:szCs w:val="18"/>
              </w:rPr>
            </w:pPr>
            <w:r w:rsidRPr="005E3F9C">
              <w:rPr>
                <w:sz w:val="18"/>
                <w:lang w:val="fr-FR"/>
              </w:rPr>
              <w:t>c.</w:t>
            </w:r>
            <w:r w:rsidR="005E3F9C">
              <w:rPr>
                <w:sz w:val="18"/>
                <w:lang w:val="fr-FR"/>
              </w:rPr>
              <w:tab/>
            </w:r>
            <w:r w:rsidRPr="005E3F9C">
              <w:rPr>
                <w:sz w:val="18"/>
                <w:lang w:val="fr-FR"/>
              </w:rPr>
              <w:t xml:space="preserve">Sous-Comité d’experts </w:t>
            </w:r>
            <w:r w:rsidR="005178D2">
              <w:rPr>
                <w:sz w:val="18"/>
                <w:lang w:val="fr-FR"/>
              </w:rPr>
              <w:br/>
            </w:r>
            <w:r w:rsidRPr="005E3F9C">
              <w:rPr>
                <w:sz w:val="18"/>
                <w:lang w:val="fr-FR"/>
              </w:rPr>
              <w:t>du Système général harmonisé de classification et d’étiquetage des produits chimiques</w:t>
            </w:r>
          </w:p>
        </w:tc>
        <w:tc>
          <w:tcPr>
            <w:tcW w:w="851" w:type="dxa"/>
            <w:shd w:val="clear" w:color="auto" w:fill="auto"/>
            <w:vAlign w:val="bottom"/>
            <w:hideMark/>
          </w:tcPr>
          <w:p w14:paraId="02DF8154"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10</w:t>
            </w:r>
          </w:p>
        </w:tc>
        <w:tc>
          <w:tcPr>
            <w:tcW w:w="851" w:type="dxa"/>
            <w:shd w:val="clear" w:color="auto" w:fill="auto"/>
            <w:vAlign w:val="bottom"/>
            <w:hideMark/>
          </w:tcPr>
          <w:p w14:paraId="53712D94"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10</w:t>
            </w:r>
          </w:p>
        </w:tc>
        <w:tc>
          <w:tcPr>
            <w:tcW w:w="851" w:type="dxa"/>
            <w:shd w:val="clear" w:color="auto" w:fill="auto"/>
            <w:vAlign w:val="bottom"/>
            <w:hideMark/>
          </w:tcPr>
          <w:p w14:paraId="37EE7693" w14:textId="77777777" w:rsidR="007059B1" w:rsidRPr="005E3F9C" w:rsidRDefault="007059B1" w:rsidP="005E3F9C">
            <w:pPr>
              <w:suppressAutoHyphens w:val="0"/>
              <w:spacing w:before="40" w:after="40" w:line="220" w:lineRule="exact"/>
              <w:jc w:val="right"/>
              <w:rPr>
                <w:sz w:val="18"/>
                <w:szCs w:val="18"/>
              </w:rPr>
            </w:pPr>
            <w:r w:rsidRPr="005E3F9C">
              <w:rPr>
                <w:sz w:val="18"/>
                <w:lang w:val="fr-FR"/>
              </w:rPr>
              <w:t>10</w:t>
            </w:r>
          </w:p>
        </w:tc>
        <w:tc>
          <w:tcPr>
            <w:tcW w:w="851" w:type="dxa"/>
            <w:shd w:val="clear" w:color="auto" w:fill="auto"/>
            <w:vAlign w:val="bottom"/>
            <w:hideMark/>
          </w:tcPr>
          <w:p w14:paraId="5247C708" w14:textId="77777777" w:rsidR="007059B1" w:rsidRPr="005E3F9C" w:rsidRDefault="007059B1" w:rsidP="005E3F9C">
            <w:pPr>
              <w:suppressAutoHyphens w:val="0"/>
              <w:spacing w:before="40" w:after="40" w:line="220" w:lineRule="exact"/>
              <w:jc w:val="right"/>
              <w:rPr>
                <w:sz w:val="18"/>
                <w:szCs w:val="18"/>
                <w:lang w:eastAsia="zh-CN"/>
              </w:rPr>
            </w:pPr>
          </w:p>
        </w:tc>
        <w:tc>
          <w:tcPr>
            <w:tcW w:w="851" w:type="dxa"/>
            <w:shd w:val="clear" w:color="auto" w:fill="auto"/>
            <w:vAlign w:val="bottom"/>
            <w:hideMark/>
          </w:tcPr>
          <w:p w14:paraId="26AB71BF"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c>
          <w:tcPr>
            <w:tcW w:w="851" w:type="dxa"/>
            <w:shd w:val="clear" w:color="auto" w:fill="auto"/>
            <w:vAlign w:val="bottom"/>
            <w:hideMark/>
          </w:tcPr>
          <w:p w14:paraId="1A377F2F"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c>
          <w:tcPr>
            <w:tcW w:w="1134" w:type="dxa"/>
            <w:shd w:val="clear" w:color="auto" w:fill="auto"/>
            <w:vAlign w:val="bottom"/>
            <w:hideMark/>
          </w:tcPr>
          <w:p w14:paraId="5E16FCE6" w14:textId="77777777" w:rsidR="007059B1" w:rsidRPr="005E3F9C" w:rsidRDefault="007059B1" w:rsidP="005E3F9C">
            <w:pPr>
              <w:suppressAutoHyphens w:val="0"/>
              <w:spacing w:before="40" w:after="40" w:line="220" w:lineRule="exact"/>
              <w:jc w:val="right"/>
              <w:rPr>
                <w:b/>
                <w:bCs/>
                <w:sz w:val="18"/>
                <w:szCs w:val="18"/>
                <w:lang w:eastAsia="zh-CN"/>
              </w:rPr>
            </w:pPr>
          </w:p>
        </w:tc>
        <w:tc>
          <w:tcPr>
            <w:tcW w:w="1134" w:type="dxa"/>
            <w:shd w:val="clear" w:color="auto" w:fill="auto"/>
            <w:vAlign w:val="bottom"/>
            <w:hideMark/>
          </w:tcPr>
          <w:p w14:paraId="32F0E0B1"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0 %</w:t>
            </w:r>
          </w:p>
        </w:tc>
      </w:tr>
      <w:tr w:rsidR="005E3F9C" w:rsidRPr="005E3F9C" w14:paraId="1843CFB7" w14:textId="77777777" w:rsidTr="005E3F9C">
        <w:tc>
          <w:tcPr>
            <w:tcW w:w="2268" w:type="dxa"/>
            <w:tcBorders>
              <w:bottom w:val="single" w:sz="12" w:space="0" w:color="auto"/>
            </w:tcBorders>
            <w:shd w:val="clear" w:color="auto" w:fill="auto"/>
            <w:hideMark/>
          </w:tcPr>
          <w:p w14:paraId="43DB255D" w14:textId="334CD0F9" w:rsidR="007059B1" w:rsidRPr="005E3F9C" w:rsidRDefault="007059B1" w:rsidP="005E3F9C">
            <w:pPr>
              <w:suppressAutoHyphens w:val="0"/>
              <w:spacing w:before="40" w:after="40" w:line="220" w:lineRule="exact"/>
              <w:ind w:left="170" w:hanging="170"/>
              <w:rPr>
                <w:b/>
                <w:bCs/>
                <w:sz w:val="18"/>
                <w:szCs w:val="18"/>
              </w:rPr>
            </w:pPr>
            <w:r w:rsidRPr="005E3F9C">
              <w:rPr>
                <w:b/>
                <w:bCs/>
                <w:sz w:val="18"/>
                <w:lang w:val="fr-FR"/>
              </w:rPr>
              <w:t>6.</w:t>
            </w:r>
            <w:r w:rsidR="005E3F9C">
              <w:rPr>
                <w:sz w:val="18"/>
                <w:lang w:val="fr-FR"/>
              </w:rPr>
              <w:tab/>
            </w:r>
            <w:r w:rsidRPr="005E3F9C">
              <w:rPr>
                <w:b/>
                <w:bCs/>
                <w:sz w:val="18"/>
                <w:lang w:val="fr-FR"/>
              </w:rPr>
              <w:t>Réunion de haut niveau sur les transports, la santé et l’environnement</w:t>
            </w:r>
          </w:p>
        </w:tc>
        <w:tc>
          <w:tcPr>
            <w:tcW w:w="851" w:type="dxa"/>
            <w:tcBorders>
              <w:bottom w:val="single" w:sz="12" w:space="0" w:color="auto"/>
            </w:tcBorders>
            <w:shd w:val="clear" w:color="auto" w:fill="auto"/>
            <w:vAlign w:val="bottom"/>
            <w:hideMark/>
          </w:tcPr>
          <w:p w14:paraId="49353F7F"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w:t>
            </w:r>
          </w:p>
        </w:tc>
        <w:tc>
          <w:tcPr>
            <w:tcW w:w="851" w:type="dxa"/>
            <w:tcBorders>
              <w:bottom w:val="single" w:sz="12" w:space="0" w:color="auto"/>
            </w:tcBorders>
            <w:shd w:val="clear" w:color="auto" w:fill="auto"/>
            <w:vAlign w:val="bottom"/>
            <w:hideMark/>
          </w:tcPr>
          <w:p w14:paraId="1AD1B565"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w:t>
            </w:r>
          </w:p>
        </w:tc>
        <w:tc>
          <w:tcPr>
            <w:tcW w:w="851" w:type="dxa"/>
            <w:tcBorders>
              <w:bottom w:val="single" w:sz="12" w:space="0" w:color="auto"/>
            </w:tcBorders>
            <w:shd w:val="clear" w:color="auto" w:fill="auto"/>
            <w:vAlign w:val="bottom"/>
            <w:hideMark/>
          </w:tcPr>
          <w:p w14:paraId="7A289764"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2</w:t>
            </w:r>
          </w:p>
        </w:tc>
        <w:tc>
          <w:tcPr>
            <w:tcW w:w="851" w:type="dxa"/>
            <w:tcBorders>
              <w:bottom w:val="single" w:sz="12" w:space="0" w:color="auto"/>
            </w:tcBorders>
            <w:shd w:val="clear" w:color="auto" w:fill="auto"/>
            <w:vAlign w:val="bottom"/>
            <w:hideMark/>
          </w:tcPr>
          <w:p w14:paraId="0244BDE9" w14:textId="77777777" w:rsidR="007059B1" w:rsidRPr="005E3F9C" w:rsidRDefault="007059B1" w:rsidP="005E3F9C">
            <w:pPr>
              <w:suppressAutoHyphens w:val="0"/>
              <w:spacing w:before="40" w:after="40" w:line="220" w:lineRule="exact"/>
              <w:jc w:val="right"/>
              <w:rPr>
                <w:b/>
                <w:bCs/>
                <w:sz w:val="18"/>
                <w:szCs w:val="18"/>
                <w:lang w:eastAsia="zh-CN"/>
              </w:rPr>
            </w:pPr>
          </w:p>
        </w:tc>
        <w:tc>
          <w:tcPr>
            <w:tcW w:w="851" w:type="dxa"/>
            <w:tcBorders>
              <w:bottom w:val="single" w:sz="12" w:space="0" w:color="auto"/>
            </w:tcBorders>
            <w:shd w:val="clear" w:color="auto" w:fill="auto"/>
            <w:vAlign w:val="bottom"/>
            <w:hideMark/>
          </w:tcPr>
          <w:p w14:paraId="22363A62"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100 %</w:t>
            </w:r>
          </w:p>
        </w:tc>
        <w:tc>
          <w:tcPr>
            <w:tcW w:w="851" w:type="dxa"/>
            <w:tcBorders>
              <w:bottom w:val="single" w:sz="12" w:space="0" w:color="auto"/>
            </w:tcBorders>
            <w:shd w:val="clear" w:color="auto" w:fill="auto"/>
            <w:vAlign w:val="bottom"/>
            <w:hideMark/>
          </w:tcPr>
          <w:p w14:paraId="156A97ED" w14:textId="77777777" w:rsidR="007059B1" w:rsidRPr="005E3F9C" w:rsidRDefault="007059B1" w:rsidP="005E3F9C">
            <w:pPr>
              <w:suppressAutoHyphens w:val="0"/>
              <w:spacing w:before="40" w:after="40" w:line="220" w:lineRule="exact"/>
              <w:jc w:val="right"/>
              <w:rPr>
                <w:b/>
                <w:bCs/>
                <w:sz w:val="18"/>
                <w:szCs w:val="18"/>
                <w:lang w:eastAsia="zh-CN"/>
              </w:rPr>
            </w:pPr>
          </w:p>
        </w:tc>
        <w:tc>
          <w:tcPr>
            <w:tcW w:w="1134" w:type="dxa"/>
            <w:tcBorders>
              <w:bottom w:val="single" w:sz="12" w:space="0" w:color="auto"/>
            </w:tcBorders>
            <w:shd w:val="clear" w:color="auto" w:fill="auto"/>
            <w:vAlign w:val="bottom"/>
            <w:hideMark/>
          </w:tcPr>
          <w:p w14:paraId="35530CCE"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0</w:t>
            </w:r>
          </w:p>
        </w:tc>
        <w:tc>
          <w:tcPr>
            <w:tcW w:w="1134" w:type="dxa"/>
            <w:tcBorders>
              <w:bottom w:val="single" w:sz="12" w:space="0" w:color="auto"/>
            </w:tcBorders>
            <w:shd w:val="clear" w:color="auto" w:fill="auto"/>
            <w:vAlign w:val="bottom"/>
            <w:hideMark/>
          </w:tcPr>
          <w:p w14:paraId="4E1F0D08" w14:textId="77777777" w:rsidR="007059B1" w:rsidRPr="005E3F9C" w:rsidRDefault="007059B1" w:rsidP="005E3F9C">
            <w:pPr>
              <w:suppressAutoHyphens w:val="0"/>
              <w:spacing w:before="40" w:after="40" w:line="220" w:lineRule="exact"/>
              <w:jc w:val="right"/>
              <w:rPr>
                <w:b/>
                <w:bCs/>
                <w:sz w:val="18"/>
                <w:szCs w:val="18"/>
              </w:rPr>
            </w:pPr>
            <w:r w:rsidRPr="005E3F9C">
              <w:rPr>
                <w:b/>
                <w:bCs/>
                <w:sz w:val="18"/>
                <w:lang w:val="fr-FR"/>
              </w:rPr>
              <w:t>0 %</w:t>
            </w:r>
          </w:p>
        </w:tc>
      </w:tr>
    </w:tbl>
    <w:p w14:paraId="7C8450DB" w14:textId="2FE4A457" w:rsidR="007059B1" w:rsidRPr="007059B1" w:rsidRDefault="005E3F9C" w:rsidP="005E3F9C">
      <w:pPr>
        <w:pStyle w:val="H23G"/>
      </w:pPr>
      <w:r>
        <w:tab/>
      </w:r>
      <w:r w:rsidR="007059B1" w:rsidRPr="007059B1">
        <w:rPr>
          <w:lang w:val="fr-FR"/>
        </w:rPr>
        <w:t>2.</w:t>
      </w:r>
      <w:r w:rsidR="007059B1" w:rsidRPr="007059B1">
        <w:rPr>
          <w:lang w:val="fr-FR"/>
        </w:rPr>
        <w:tab/>
        <w:t>Conséquences sur les réunions des équipes de spécialistes (groupes d’experts)</w:t>
      </w:r>
    </w:p>
    <w:p w14:paraId="7B1ED64B" w14:textId="0B0A225C" w:rsidR="007059B1" w:rsidRPr="007059B1" w:rsidRDefault="007059B1" w:rsidP="00E925E7">
      <w:pPr>
        <w:pStyle w:val="SingleTxtG"/>
      </w:pPr>
      <w:r w:rsidRPr="007059B1">
        <w:rPr>
          <w:lang w:val="fr-FR"/>
        </w:rPr>
        <w:t>19.</w:t>
      </w:r>
      <w:r w:rsidRPr="007059B1">
        <w:rPr>
          <w:lang w:val="fr-FR"/>
        </w:rPr>
        <w:tab/>
        <w:t>La tenue des réunions des groupes d’experts est traitée séparément dans le présent document car ces organes ont un mandat limité dans le temps. L’organisation effective, telle qu’elle a été signalée, des réunions programmées en 2021 qui sont énumérées à l’annexe III du programme de travail 2021 du sous-programme Transports est résumée au tableau 2. Selon ce tableau, pas moins de 85</w:t>
      </w:r>
      <w:r w:rsidR="005178D2">
        <w:rPr>
          <w:lang w:val="fr-FR"/>
        </w:rPr>
        <w:t> </w:t>
      </w:r>
      <w:r w:rsidRPr="007059B1">
        <w:rPr>
          <w:lang w:val="fr-FR"/>
        </w:rPr>
        <w:t>% des réunions prévues devraient être organisées en 2021 avec des services complets d’interprétation. À titre de comparaison, en 2020, moins de 30</w:t>
      </w:r>
      <w:r w:rsidR="005178D2">
        <w:rPr>
          <w:lang w:val="fr-FR"/>
        </w:rPr>
        <w:t> </w:t>
      </w:r>
      <w:r w:rsidRPr="007059B1">
        <w:rPr>
          <w:lang w:val="fr-FR"/>
        </w:rPr>
        <w:t>% des réunions prévues dans les plans de travail des groupes d’experts ont eu lieu.</w:t>
      </w:r>
    </w:p>
    <w:p w14:paraId="690FFB72" w14:textId="19241833" w:rsidR="007059B1" w:rsidRPr="007059B1" w:rsidRDefault="007059B1" w:rsidP="00E925E7">
      <w:pPr>
        <w:pStyle w:val="SingleTxtG"/>
        <w:rPr>
          <w:b/>
          <w:bCs/>
          <w:sz w:val="24"/>
          <w:szCs w:val="24"/>
        </w:rPr>
      </w:pPr>
      <w:r w:rsidRPr="007059B1">
        <w:rPr>
          <w:lang w:val="fr-FR"/>
        </w:rPr>
        <w:t>20.</w:t>
      </w:r>
      <w:r w:rsidRPr="007059B1">
        <w:rPr>
          <w:lang w:val="fr-FR"/>
        </w:rPr>
        <w:tab/>
        <w:t>Cependant, afin d’assurer ce niveau d’exécution, des membres du personnel de la Division ont été réaffectés de façon à aider l’ONUG à assurer la gestion technique des réunions. Dans l’ensemble, on estime que dans 30</w:t>
      </w:r>
      <w:r w:rsidR="005178D2">
        <w:rPr>
          <w:lang w:val="fr-FR"/>
        </w:rPr>
        <w:t> </w:t>
      </w:r>
      <w:r w:rsidRPr="007059B1">
        <w:rPr>
          <w:lang w:val="fr-FR"/>
        </w:rPr>
        <w:t xml:space="preserve">% des cas, des membres du personnel de la Division assureront la gestion technique des réunions avec interprétation des groupes d’experts, bien que cette règle ne soit entrée en vigueur qu’au cours du dernier tiers de l’année 2021 (septembre </w:t>
      </w:r>
      <w:r w:rsidR="005178D2">
        <w:rPr>
          <w:lang w:val="fr-FR"/>
        </w:rPr>
        <w:t>− </w:t>
      </w:r>
      <w:r w:rsidRPr="007059B1">
        <w:rPr>
          <w:lang w:val="fr-FR"/>
        </w:rPr>
        <w:t>décembre).</w:t>
      </w:r>
    </w:p>
    <w:p w14:paraId="79D4C109" w14:textId="0EA7E3E6" w:rsidR="007059B1" w:rsidRPr="007059B1" w:rsidRDefault="007059B1" w:rsidP="005E3F9C">
      <w:pPr>
        <w:pStyle w:val="Titre1"/>
        <w:spacing w:after="120"/>
        <w:ind w:left="113"/>
      </w:pPr>
      <w:r w:rsidRPr="007059B1">
        <w:rPr>
          <w:lang w:val="fr-FR"/>
        </w:rPr>
        <w:t>Tableau 2</w:t>
      </w:r>
      <w:r w:rsidR="005E3F9C">
        <w:rPr>
          <w:lang w:val="fr-FR"/>
        </w:rPr>
        <w:br/>
      </w:r>
      <w:r w:rsidRPr="007059B1">
        <w:rPr>
          <w:b/>
          <w:bCs/>
          <w:lang w:val="fr-FR"/>
        </w:rPr>
        <w:t>Conséquences de la COVID-19 et de la crise de liquidités sur les réunions des groupes de travail</w:t>
      </w:r>
    </w:p>
    <w:tbl>
      <w:tblPr>
        <w:tblW w:w="9639" w:type="dxa"/>
        <w:tblLayout w:type="fixed"/>
        <w:tblCellMar>
          <w:left w:w="0" w:type="dxa"/>
          <w:right w:w="0" w:type="dxa"/>
        </w:tblCellMar>
        <w:tblLook w:val="04A0" w:firstRow="1" w:lastRow="0" w:firstColumn="1" w:lastColumn="0" w:noHBand="0" w:noVBand="1"/>
      </w:tblPr>
      <w:tblGrid>
        <w:gridCol w:w="2266"/>
        <w:gridCol w:w="850"/>
        <w:gridCol w:w="851"/>
        <w:gridCol w:w="851"/>
        <w:gridCol w:w="851"/>
        <w:gridCol w:w="851"/>
        <w:gridCol w:w="851"/>
        <w:gridCol w:w="1134"/>
        <w:gridCol w:w="1134"/>
      </w:tblGrid>
      <w:tr w:rsidR="005E3F9C" w:rsidRPr="005E3F9C" w14:paraId="50607D0C" w14:textId="77777777" w:rsidTr="005E3F9C">
        <w:trPr>
          <w:tblHeader/>
        </w:trPr>
        <w:tc>
          <w:tcPr>
            <w:tcW w:w="2268" w:type="dxa"/>
            <w:tcBorders>
              <w:top w:val="single" w:sz="4" w:space="0" w:color="auto"/>
              <w:bottom w:val="single" w:sz="12" w:space="0" w:color="auto"/>
            </w:tcBorders>
            <w:shd w:val="clear" w:color="auto" w:fill="auto"/>
            <w:vAlign w:val="bottom"/>
            <w:hideMark/>
          </w:tcPr>
          <w:p w14:paraId="71FE66BC" w14:textId="364CA5FE" w:rsidR="007059B1" w:rsidRPr="005E3F9C" w:rsidRDefault="007059B1" w:rsidP="005E3F9C">
            <w:pPr>
              <w:suppressAutoHyphens w:val="0"/>
              <w:spacing w:before="80" w:after="80" w:line="200" w:lineRule="exact"/>
              <w:rPr>
                <w:bCs/>
                <w:i/>
                <w:sz w:val="16"/>
              </w:rPr>
            </w:pPr>
            <w:r w:rsidRPr="005E3F9C">
              <w:rPr>
                <w:i/>
                <w:sz w:val="16"/>
                <w:lang w:val="fr-FR"/>
              </w:rPr>
              <w:t xml:space="preserve">Réunions </w:t>
            </w:r>
            <w:r w:rsidR="004255E0">
              <w:rPr>
                <w:i/>
                <w:sz w:val="16"/>
                <w:lang w:val="fr-FR"/>
              </w:rPr>
              <w:br/>
            </w:r>
            <w:r w:rsidRPr="005E3F9C">
              <w:rPr>
                <w:i/>
                <w:sz w:val="16"/>
                <w:lang w:val="fr-FR"/>
              </w:rPr>
              <w:t>des groupes d’experts (ECE/TRANS/2021/8)</w:t>
            </w:r>
          </w:p>
        </w:tc>
        <w:tc>
          <w:tcPr>
            <w:tcW w:w="851" w:type="dxa"/>
            <w:tcBorders>
              <w:top w:val="single" w:sz="4" w:space="0" w:color="auto"/>
              <w:bottom w:val="single" w:sz="12" w:space="0" w:color="auto"/>
            </w:tcBorders>
            <w:shd w:val="clear" w:color="auto" w:fill="auto"/>
            <w:vAlign w:val="bottom"/>
            <w:hideMark/>
          </w:tcPr>
          <w:p w14:paraId="47B82CDD" w14:textId="6EB12B06" w:rsidR="007059B1" w:rsidRPr="005E3F9C" w:rsidRDefault="007059B1" w:rsidP="005E3F9C">
            <w:pPr>
              <w:suppressAutoHyphens w:val="0"/>
              <w:spacing w:before="80" w:after="80" w:line="200" w:lineRule="exact"/>
              <w:jc w:val="right"/>
              <w:rPr>
                <w:bCs/>
                <w:i/>
                <w:sz w:val="16"/>
              </w:rPr>
            </w:pPr>
            <w:r w:rsidRPr="005E3F9C">
              <w:rPr>
                <w:i/>
                <w:sz w:val="16"/>
                <w:lang w:val="fr-FR"/>
              </w:rPr>
              <w:t xml:space="preserve">Réunions prévues </w:t>
            </w:r>
            <w:r w:rsidR="004255E0">
              <w:rPr>
                <w:i/>
                <w:sz w:val="16"/>
                <w:lang w:val="fr-FR"/>
              </w:rPr>
              <w:br/>
            </w:r>
            <w:r w:rsidRPr="005E3F9C">
              <w:rPr>
                <w:i/>
                <w:sz w:val="16"/>
                <w:lang w:val="fr-FR"/>
              </w:rPr>
              <w:t>en 2021</w:t>
            </w:r>
            <w:r w:rsidRPr="005E3F9C">
              <w:rPr>
                <w:i/>
                <w:sz w:val="16"/>
                <w:lang w:val="fr-FR"/>
              </w:rPr>
              <w:br/>
              <w:t>(a)</w:t>
            </w:r>
          </w:p>
        </w:tc>
        <w:tc>
          <w:tcPr>
            <w:tcW w:w="851" w:type="dxa"/>
            <w:tcBorders>
              <w:top w:val="single" w:sz="4" w:space="0" w:color="auto"/>
              <w:bottom w:val="single" w:sz="12" w:space="0" w:color="auto"/>
            </w:tcBorders>
            <w:shd w:val="clear" w:color="auto" w:fill="auto"/>
            <w:vAlign w:val="bottom"/>
            <w:hideMark/>
          </w:tcPr>
          <w:p w14:paraId="7F9DE9C8" w14:textId="1DCC714E" w:rsidR="007059B1" w:rsidRPr="005E3F9C" w:rsidRDefault="007059B1" w:rsidP="005E3F9C">
            <w:pPr>
              <w:suppressAutoHyphens w:val="0"/>
              <w:spacing w:before="80" w:after="80" w:line="200" w:lineRule="exact"/>
              <w:jc w:val="right"/>
              <w:rPr>
                <w:bCs/>
                <w:i/>
                <w:sz w:val="16"/>
              </w:rPr>
            </w:pPr>
            <w:r w:rsidRPr="005E3F9C">
              <w:rPr>
                <w:i/>
                <w:sz w:val="16"/>
                <w:lang w:val="fr-FR"/>
              </w:rPr>
              <w:t xml:space="preserve">Réunions tenues </w:t>
            </w:r>
            <w:r w:rsidR="004255E0">
              <w:rPr>
                <w:i/>
                <w:sz w:val="16"/>
                <w:lang w:val="fr-FR"/>
              </w:rPr>
              <w:br/>
            </w:r>
            <w:r w:rsidRPr="005E3F9C">
              <w:rPr>
                <w:i/>
                <w:sz w:val="16"/>
                <w:lang w:val="fr-FR"/>
              </w:rPr>
              <w:t>en 2021</w:t>
            </w:r>
            <w:r w:rsidRPr="005E3F9C">
              <w:rPr>
                <w:i/>
                <w:sz w:val="16"/>
                <w:lang w:val="fr-FR"/>
              </w:rPr>
              <w:br/>
              <w:t xml:space="preserve"> (b)</w:t>
            </w:r>
          </w:p>
        </w:tc>
        <w:tc>
          <w:tcPr>
            <w:tcW w:w="851" w:type="dxa"/>
            <w:tcBorders>
              <w:top w:val="single" w:sz="4" w:space="0" w:color="auto"/>
              <w:bottom w:val="single" w:sz="12" w:space="0" w:color="auto"/>
            </w:tcBorders>
            <w:shd w:val="clear" w:color="auto" w:fill="auto"/>
            <w:vAlign w:val="bottom"/>
            <w:hideMark/>
          </w:tcPr>
          <w:p w14:paraId="681E9324" w14:textId="77777777" w:rsidR="007059B1" w:rsidRPr="004255E0" w:rsidRDefault="007059B1" w:rsidP="005E3F9C">
            <w:pPr>
              <w:suppressAutoHyphens w:val="0"/>
              <w:spacing w:before="80" w:after="80" w:line="200" w:lineRule="exact"/>
              <w:jc w:val="right"/>
              <w:rPr>
                <w:bCs/>
                <w:i/>
                <w:spacing w:val="-4"/>
                <w:sz w:val="16"/>
              </w:rPr>
            </w:pPr>
            <w:r w:rsidRPr="004255E0">
              <w:rPr>
                <w:i/>
                <w:spacing w:val="-4"/>
                <w:sz w:val="16"/>
                <w:lang w:val="fr-FR"/>
              </w:rPr>
              <w:t>Avec </w:t>
            </w:r>
            <w:r w:rsidRPr="004255E0">
              <w:rPr>
                <w:i/>
                <w:spacing w:val="-4"/>
                <w:sz w:val="16"/>
                <w:lang w:val="fr-FR"/>
              </w:rPr>
              <w:br/>
              <w:t xml:space="preserve">interprétation </w:t>
            </w:r>
            <w:r w:rsidRPr="004255E0">
              <w:rPr>
                <w:i/>
                <w:spacing w:val="-4"/>
                <w:sz w:val="16"/>
                <w:lang w:val="fr-FR"/>
              </w:rPr>
              <w:br/>
              <w:t>(c)*</w:t>
            </w:r>
          </w:p>
        </w:tc>
        <w:tc>
          <w:tcPr>
            <w:tcW w:w="851" w:type="dxa"/>
            <w:tcBorders>
              <w:top w:val="single" w:sz="4" w:space="0" w:color="auto"/>
              <w:bottom w:val="single" w:sz="12" w:space="0" w:color="auto"/>
            </w:tcBorders>
            <w:shd w:val="clear" w:color="auto" w:fill="auto"/>
            <w:vAlign w:val="bottom"/>
            <w:hideMark/>
          </w:tcPr>
          <w:p w14:paraId="77FFC516" w14:textId="77777777" w:rsidR="007059B1" w:rsidRPr="004255E0" w:rsidRDefault="007059B1" w:rsidP="005E3F9C">
            <w:pPr>
              <w:suppressAutoHyphens w:val="0"/>
              <w:spacing w:before="80" w:after="80" w:line="200" w:lineRule="exact"/>
              <w:jc w:val="right"/>
              <w:rPr>
                <w:bCs/>
                <w:i/>
                <w:spacing w:val="-4"/>
                <w:sz w:val="16"/>
              </w:rPr>
            </w:pPr>
            <w:r w:rsidRPr="004255E0">
              <w:rPr>
                <w:i/>
                <w:spacing w:val="-4"/>
                <w:sz w:val="16"/>
                <w:lang w:val="fr-FR"/>
              </w:rPr>
              <w:t xml:space="preserve">Sans interprétation </w:t>
            </w:r>
            <w:r w:rsidRPr="004255E0">
              <w:rPr>
                <w:i/>
                <w:spacing w:val="-4"/>
                <w:sz w:val="16"/>
                <w:lang w:val="fr-FR"/>
              </w:rPr>
              <w:br/>
              <w:t>(d)*</w:t>
            </w:r>
          </w:p>
        </w:tc>
        <w:tc>
          <w:tcPr>
            <w:tcW w:w="851" w:type="dxa"/>
            <w:tcBorders>
              <w:top w:val="single" w:sz="4" w:space="0" w:color="auto"/>
              <w:bottom w:val="single" w:sz="12" w:space="0" w:color="auto"/>
            </w:tcBorders>
            <w:shd w:val="clear" w:color="auto" w:fill="auto"/>
            <w:vAlign w:val="bottom"/>
            <w:hideMark/>
          </w:tcPr>
          <w:p w14:paraId="2A38C43F" w14:textId="77777777" w:rsidR="007059B1" w:rsidRPr="005E3F9C" w:rsidRDefault="007059B1" w:rsidP="005E3F9C">
            <w:pPr>
              <w:suppressAutoHyphens w:val="0"/>
              <w:spacing w:before="80" w:after="80" w:line="200" w:lineRule="exact"/>
              <w:jc w:val="right"/>
              <w:rPr>
                <w:bCs/>
                <w:i/>
                <w:sz w:val="16"/>
              </w:rPr>
            </w:pPr>
            <w:r w:rsidRPr="005E3F9C">
              <w:rPr>
                <w:i/>
                <w:sz w:val="16"/>
                <w:lang w:val="fr-FR"/>
              </w:rPr>
              <w:t xml:space="preserve">Réunions tenues (e)=(b)/(a) </w:t>
            </w:r>
          </w:p>
        </w:tc>
        <w:tc>
          <w:tcPr>
            <w:tcW w:w="851" w:type="dxa"/>
            <w:tcBorders>
              <w:top w:val="single" w:sz="4" w:space="0" w:color="auto"/>
              <w:bottom w:val="single" w:sz="12" w:space="0" w:color="auto"/>
            </w:tcBorders>
            <w:shd w:val="clear" w:color="auto" w:fill="auto"/>
            <w:vAlign w:val="bottom"/>
            <w:hideMark/>
          </w:tcPr>
          <w:p w14:paraId="5ECD640D" w14:textId="5983BC0F" w:rsidR="007059B1" w:rsidRPr="005E3F9C" w:rsidRDefault="007059B1" w:rsidP="005E3F9C">
            <w:pPr>
              <w:suppressAutoHyphens w:val="0"/>
              <w:spacing w:before="80" w:after="80" w:line="200" w:lineRule="exact"/>
              <w:jc w:val="right"/>
              <w:rPr>
                <w:bCs/>
                <w:i/>
                <w:sz w:val="16"/>
              </w:rPr>
            </w:pPr>
            <w:r w:rsidRPr="004255E0">
              <w:rPr>
                <w:i/>
                <w:spacing w:val="-4"/>
                <w:sz w:val="16"/>
                <w:lang w:val="fr-FR"/>
              </w:rPr>
              <w:t xml:space="preserve">Réunions </w:t>
            </w:r>
            <w:r w:rsidRPr="004255E0">
              <w:rPr>
                <w:i/>
                <w:spacing w:val="-4"/>
                <w:sz w:val="16"/>
                <w:lang w:val="fr-FR"/>
              </w:rPr>
              <w:br/>
              <w:t xml:space="preserve">tenues </w:t>
            </w:r>
            <w:r w:rsidR="0079253C">
              <w:rPr>
                <w:i/>
                <w:spacing w:val="-4"/>
                <w:sz w:val="16"/>
                <w:lang w:val="fr-FR"/>
              </w:rPr>
              <w:br/>
            </w:r>
            <w:r w:rsidRPr="004255E0">
              <w:rPr>
                <w:i/>
                <w:spacing w:val="-4"/>
                <w:sz w:val="16"/>
                <w:lang w:val="fr-FR"/>
              </w:rPr>
              <w:t>avec interprétation</w:t>
            </w:r>
            <w:r w:rsidRPr="005E3F9C">
              <w:rPr>
                <w:i/>
                <w:sz w:val="16"/>
                <w:lang w:val="fr-FR"/>
              </w:rPr>
              <w:t xml:space="preserve"> </w:t>
            </w:r>
            <w:r w:rsidRPr="005E3F9C">
              <w:rPr>
                <w:i/>
                <w:sz w:val="16"/>
                <w:lang w:val="fr-FR"/>
              </w:rPr>
              <w:br/>
              <w:t xml:space="preserve">(f) = (c)/(a) </w:t>
            </w:r>
          </w:p>
        </w:tc>
        <w:tc>
          <w:tcPr>
            <w:tcW w:w="1134" w:type="dxa"/>
            <w:tcBorders>
              <w:top w:val="single" w:sz="4" w:space="0" w:color="auto"/>
              <w:bottom w:val="single" w:sz="12" w:space="0" w:color="auto"/>
            </w:tcBorders>
            <w:shd w:val="clear" w:color="auto" w:fill="auto"/>
            <w:vAlign w:val="bottom"/>
            <w:hideMark/>
          </w:tcPr>
          <w:p w14:paraId="08842549" w14:textId="7C704EF2" w:rsidR="007059B1" w:rsidRPr="005E3F9C" w:rsidRDefault="007059B1" w:rsidP="005E3F9C">
            <w:pPr>
              <w:suppressAutoHyphens w:val="0"/>
              <w:spacing w:before="80" w:after="80" w:line="200" w:lineRule="exact"/>
              <w:jc w:val="right"/>
              <w:rPr>
                <w:bCs/>
                <w:i/>
                <w:sz w:val="16"/>
              </w:rPr>
            </w:pPr>
            <w:r w:rsidRPr="005E3F9C">
              <w:rPr>
                <w:i/>
                <w:sz w:val="16"/>
                <w:lang w:val="fr-FR"/>
              </w:rPr>
              <w:t xml:space="preserve">Réunions avec interprétation dont la gestion technique était assurée par </w:t>
            </w:r>
            <w:r w:rsidR="0079253C">
              <w:rPr>
                <w:i/>
                <w:sz w:val="16"/>
                <w:lang w:val="fr-FR"/>
              </w:rPr>
              <w:br/>
            </w:r>
            <w:r w:rsidRPr="005E3F9C">
              <w:rPr>
                <w:i/>
                <w:sz w:val="16"/>
                <w:lang w:val="fr-FR"/>
              </w:rPr>
              <w:t xml:space="preserve">la Division </w:t>
            </w:r>
            <w:r w:rsidR="0079253C">
              <w:rPr>
                <w:i/>
                <w:sz w:val="16"/>
                <w:lang w:val="fr-FR"/>
              </w:rPr>
              <w:br/>
            </w:r>
            <w:r w:rsidRPr="005E3F9C">
              <w:rPr>
                <w:i/>
                <w:sz w:val="16"/>
                <w:lang w:val="fr-FR"/>
              </w:rPr>
              <w:t xml:space="preserve">des transports durables </w:t>
            </w:r>
            <w:r w:rsidRPr="005E3F9C">
              <w:rPr>
                <w:i/>
                <w:sz w:val="16"/>
                <w:lang w:val="fr-FR"/>
              </w:rPr>
              <w:br/>
              <w:t>(g)</w:t>
            </w:r>
          </w:p>
        </w:tc>
        <w:tc>
          <w:tcPr>
            <w:tcW w:w="1134" w:type="dxa"/>
            <w:tcBorders>
              <w:top w:val="single" w:sz="4" w:space="0" w:color="auto"/>
              <w:bottom w:val="single" w:sz="12" w:space="0" w:color="auto"/>
            </w:tcBorders>
            <w:shd w:val="clear" w:color="auto" w:fill="auto"/>
            <w:vAlign w:val="bottom"/>
            <w:hideMark/>
          </w:tcPr>
          <w:p w14:paraId="50971DD6" w14:textId="0DA1A252" w:rsidR="007059B1" w:rsidRPr="005E3F9C" w:rsidRDefault="007059B1" w:rsidP="005E3F9C">
            <w:pPr>
              <w:suppressAutoHyphens w:val="0"/>
              <w:spacing w:before="80" w:after="80" w:line="200" w:lineRule="exact"/>
              <w:jc w:val="right"/>
              <w:rPr>
                <w:bCs/>
                <w:i/>
                <w:sz w:val="16"/>
              </w:rPr>
            </w:pPr>
            <w:r w:rsidRPr="005E3F9C">
              <w:rPr>
                <w:i/>
                <w:sz w:val="16"/>
                <w:lang w:val="fr-FR"/>
              </w:rPr>
              <w:t xml:space="preserve">Réunions dont </w:t>
            </w:r>
            <w:r w:rsidR="0079253C">
              <w:rPr>
                <w:i/>
                <w:sz w:val="16"/>
                <w:lang w:val="fr-FR"/>
              </w:rPr>
              <w:br/>
            </w:r>
            <w:r w:rsidRPr="005E3F9C">
              <w:rPr>
                <w:i/>
                <w:sz w:val="16"/>
                <w:lang w:val="fr-FR"/>
              </w:rPr>
              <w:t xml:space="preserve">la gestion technique était assurée par </w:t>
            </w:r>
            <w:r w:rsidR="0079253C">
              <w:rPr>
                <w:i/>
                <w:sz w:val="16"/>
                <w:lang w:val="fr-FR"/>
              </w:rPr>
              <w:br/>
            </w:r>
            <w:r w:rsidRPr="005E3F9C">
              <w:rPr>
                <w:i/>
                <w:sz w:val="16"/>
                <w:lang w:val="fr-FR"/>
              </w:rPr>
              <w:t xml:space="preserve">la Division </w:t>
            </w:r>
            <w:r w:rsidR="0079253C">
              <w:rPr>
                <w:i/>
                <w:sz w:val="16"/>
                <w:lang w:val="fr-FR"/>
              </w:rPr>
              <w:br/>
            </w:r>
            <w:r w:rsidRPr="005E3F9C">
              <w:rPr>
                <w:i/>
                <w:sz w:val="16"/>
                <w:lang w:val="fr-FR"/>
              </w:rPr>
              <w:t xml:space="preserve">des transports durables </w:t>
            </w:r>
            <w:r w:rsidRPr="005E3F9C">
              <w:rPr>
                <w:i/>
                <w:sz w:val="16"/>
                <w:lang w:val="fr-FR"/>
              </w:rPr>
              <w:br/>
              <w:t xml:space="preserve">(h)=(g)/(c) </w:t>
            </w:r>
          </w:p>
        </w:tc>
      </w:tr>
      <w:tr w:rsidR="005E3F9C" w:rsidRPr="005E3F9C" w14:paraId="6BFED4A4" w14:textId="77777777" w:rsidTr="005E3F9C">
        <w:tc>
          <w:tcPr>
            <w:tcW w:w="2268" w:type="dxa"/>
            <w:tcBorders>
              <w:top w:val="single" w:sz="12" w:space="0" w:color="auto"/>
            </w:tcBorders>
            <w:shd w:val="clear" w:color="auto" w:fill="auto"/>
            <w:hideMark/>
          </w:tcPr>
          <w:p w14:paraId="20AA1B30" w14:textId="77777777" w:rsidR="007059B1" w:rsidRPr="005E3F9C" w:rsidRDefault="007059B1" w:rsidP="005E3F9C">
            <w:pPr>
              <w:suppressAutoHyphens w:val="0"/>
              <w:spacing w:before="40" w:after="40" w:line="220" w:lineRule="exact"/>
              <w:rPr>
                <w:b/>
                <w:bCs/>
                <w:sz w:val="18"/>
              </w:rPr>
            </w:pPr>
            <w:r w:rsidRPr="005E3F9C">
              <w:rPr>
                <w:b/>
                <w:bCs/>
                <w:sz w:val="18"/>
                <w:lang w:val="fr-FR"/>
              </w:rPr>
              <w:t>Groupe d’experts pour l’uniformisation du droit ferroviaire</w:t>
            </w:r>
            <w:r w:rsidRPr="005E3F9C">
              <w:rPr>
                <w:sz w:val="18"/>
                <w:lang w:val="fr-FR"/>
              </w:rPr>
              <w:t xml:space="preserve"> </w:t>
            </w:r>
          </w:p>
        </w:tc>
        <w:tc>
          <w:tcPr>
            <w:tcW w:w="851" w:type="dxa"/>
            <w:tcBorders>
              <w:top w:val="single" w:sz="12" w:space="0" w:color="auto"/>
            </w:tcBorders>
            <w:shd w:val="clear" w:color="auto" w:fill="auto"/>
            <w:vAlign w:val="bottom"/>
            <w:hideMark/>
          </w:tcPr>
          <w:p w14:paraId="38E1D482"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tcBorders>
              <w:top w:val="single" w:sz="12" w:space="0" w:color="auto"/>
            </w:tcBorders>
            <w:shd w:val="clear" w:color="auto" w:fill="auto"/>
            <w:vAlign w:val="bottom"/>
            <w:hideMark/>
          </w:tcPr>
          <w:p w14:paraId="4AA2516C"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tcBorders>
              <w:top w:val="single" w:sz="12" w:space="0" w:color="auto"/>
            </w:tcBorders>
            <w:shd w:val="clear" w:color="auto" w:fill="auto"/>
            <w:vAlign w:val="bottom"/>
            <w:hideMark/>
          </w:tcPr>
          <w:p w14:paraId="501A800A"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tcBorders>
              <w:top w:val="single" w:sz="12" w:space="0" w:color="auto"/>
            </w:tcBorders>
            <w:shd w:val="clear" w:color="auto" w:fill="auto"/>
            <w:vAlign w:val="bottom"/>
            <w:hideMark/>
          </w:tcPr>
          <w:p w14:paraId="23AED760"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851" w:type="dxa"/>
            <w:tcBorders>
              <w:top w:val="single" w:sz="12" w:space="0" w:color="auto"/>
            </w:tcBorders>
            <w:shd w:val="clear" w:color="auto" w:fill="auto"/>
            <w:vAlign w:val="bottom"/>
            <w:hideMark/>
          </w:tcPr>
          <w:p w14:paraId="05894C41" w14:textId="77777777" w:rsidR="007059B1" w:rsidRPr="005E3F9C" w:rsidRDefault="007059B1" w:rsidP="005E3F9C">
            <w:pPr>
              <w:suppressAutoHyphens w:val="0"/>
              <w:spacing w:before="40" w:after="40" w:line="220" w:lineRule="exact"/>
              <w:jc w:val="right"/>
              <w:rPr>
                <w:sz w:val="18"/>
              </w:rPr>
            </w:pPr>
            <w:r w:rsidRPr="005E3F9C">
              <w:rPr>
                <w:sz w:val="18"/>
                <w:lang w:val="fr-FR"/>
              </w:rPr>
              <w:t>100 %</w:t>
            </w:r>
          </w:p>
        </w:tc>
        <w:tc>
          <w:tcPr>
            <w:tcW w:w="851" w:type="dxa"/>
            <w:tcBorders>
              <w:top w:val="single" w:sz="12" w:space="0" w:color="auto"/>
            </w:tcBorders>
            <w:shd w:val="clear" w:color="auto" w:fill="auto"/>
            <w:vAlign w:val="bottom"/>
            <w:hideMark/>
          </w:tcPr>
          <w:p w14:paraId="7F3F0CF0" w14:textId="77777777" w:rsidR="007059B1" w:rsidRPr="005E3F9C" w:rsidRDefault="007059B1" w:rsidP="005E3F9C">
            <w:pPr>
              <w:suppressAutoHyphens w:val="0"/>
              <w:spacing w:before="40" w:after="40" w:line="220" w:lineRule="exact"/>
              <w:jc w:val="right"/>
              <w:rPr>
                <w:sz w:val="18"/>
              </w:rPr>
            </w:pPr>
            <w:r w:rsidRPr="005E3F9C">
              <w:rPr>
                <w:sz w:val="18"/>
                <w:lang w:val="fr-FR"/>
              </w:rPr>
              <w:t>100 %</w:t>
            </w:r>
          </w:p>
        </w:tc>
        <w:tc>
          <w:tcPr>
            <w:tcW w:w="1134" w:type="dxa"/>
            <w:tcBorders>
              <w:top w:val="single" w:sz="12" w:space="0" w:color="auto"/>
            </w:tcBorders>
            <w:shd w:val="clear" w:color="auto" w:fill="auto"/>
            <w:vAlign w:val="bottom"/>
            <w:hideMark/>
          </w:tcPr>
          <w:p w14:paraId="30E03D4A"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1134" w:type="dxa"/>
            <w:tcBorders>
              <w:top w:val="single" w:sz="12" w:space="0" w:color="auto"/>
            </w:tcBorders>
            <w:shd w:val="clear" w:color="auto" w:fill="auto"/>
            <w:vAlign w:val="bottom"/>
            <w:hideMark/>
          </w:tcPr>
          <w:p w14:paraId="259BFB27" w14:textId="77777777" w:rsidR="007059B1" w:rsidRPr="005E3F9C" w:rsidRDefault="007059B1" w:rsidP="005E3F9C">
            <w:pPr>
              <w:suppressAutoHyphens w:val="0"/>
              <w:spacing w:before="40" w:after="40" w:line="220" w:lineRule="exact"/>
              <w:jc w:val="right"/>
              <w:rPr>
                <w:sz w:val="18"/>
              </w:rPr>
            </w:pPr>
            <w:r w:rsidRPr="005E3F9C">
              <w:rPr>
                <w:sz w:val="18"/>
                <w:lang w:val="fr-FR"/>
              </w:rPr>
              <w:t>0 %</w:t>
            </w:r>
          </w:p>
        </w:tc>
      </w:tr>
      <w:tr w:rsidR="005E3F9C" w:rsidRPr="005E3F9C" w14:paraId="29E3AF3D" w14:textId="77777777" w:rsidTr="005E3F9C">
        <w:tc>
          <w:tcPr>
            <w:tcW w:w="2268" w:type="dxa"/>
            <w:shd w:val="clear" w:color="auto" w:fill="auto"/>
            <w:hideMark/>
          </w:tcPr>
          <w:p w14:paraId="2A3090BD" w14:textId="47237502" w:rsidR="007059B1" w:rsidRPr="005E3F9C" w:rsidRDefault="007059B1" w:rsidP="005E3F9C">
            <w:pPr>
              <w:suppressAutoHyphens w:val="0"/>
              <w:spacing w:before="40" w:after="40" w:line="220" w:lineRule="exact"/>
              <w:rPr>
                <w:b/>
                <w:bCs/>
                <w:sz w:val="18"/>
              </w:rPr>
            </w:pPr>
            <w:r w:rsidRPr="005E3F9C">
              <w:rPr>
                <w:b/>
                <w:bCs/>
                <w:sz w:val="18"/>
                <w:lang w:val="fr-FR"/>
              </w:rPr>
              <w:t>Groupe d’experts de l’identification permanente du matériel roulant ferroviaire</w:t>
            </w:r>
            <w:r w:rsidRPr="005E3F9C">
              <w:rPr>
                <w:sz w:val="18"/>
                <w:lang w:val="fr-FR"/>
              </w:rPr>
              <w:t xml:space="preserve"> </w:t>
            </w:r>
          </w:p>
        </w:tc>
        <w:tc>
          <w:tcPr>
            <w:tcW w:w="851" w:type="dxa"/>
            <w:shd w:val="clear" w:color="auto" w:fill="auto"/>
            <w:vAlign w:val="bottom"/>
            <w:hideMark/>
          </w:tcPr>
          <w:p w14:paraId="242D7190" w14:textId="77777777" w:rsidR="007059B1" w:rsidRPr="005E3F9C" w:rsidRDefault="007059B1" w:rsidP="005E3F9C">
            <w:pPr>
              <w:suppressAutoHyphens w:val="0"/>
              <w:spacing w:before="40" w:after="40" w:line="220" w:lineRule="exact"/>
              <w:jc w:val="right"/>
              <w:rPr>
                <w:sz w:val="18"/>
              </w:rPr>
            </w:pPr>
            <w:r w:rsidRPr="005E3F9C">
              <w:rPr>
                <w:sz w:val="18"/>
                <w:lang w:val="fr-FR"/>
              </w:rPr>
              <w:t>12</w:t>
            </w:r>
          </w:p>
        </w:tc>
        <w:tc>
          <w:tcPr>
            <w:tcW w:w="851" w:type="dxa"/>
            <w:shd w:val="clear" w:color="auto" w:fill="auto"/>
            <w:vAlign w:val="bottom"/>
            <w:hideMark/>
          </w:tcPr>
          <w:p w14:paraId="7E6A5F0D"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shd w:val="clear" w:color="auto" w:fill="auto"/>
            <w:vAlign w:val="bottom"/>
            <w:hideMark/>
          </w:tcPr>
          <w:p w14:paraId="51CD6956" w14:textId="77777777" w:rsidR="007059B1" w:rsidRPr="005E3F9C" w:rsidRDefault="007059B1" w:rsidP="005E3F9C">
            <w:pPr>
              <w:suppressAutoHyphens w:val="0"/>
              <w:spacing w:before="40" w:after="40" w:line="220" w:lineRule="exact"/>
              <w:jc w:val="right"/>
              <w:rPr>
                <w:sz w:val="18"/>
              </w:rPr>
            </w:pPr>
            <w:r w:rsidRPr="005E3F9C">
              <w:rPr>
                <w:sz w:val="18"/>
                <w:lang w:val="fr-FR"/>
              </w:rPr>
              <w:t>4</w:t>
            </w:r>
          </w:p>
        </w:tc>
        <w:tc>
          <w:tcPr>
            <w:tcW w:w="851" w:type="dxa"/>
            <w:shd w:val="clear" w:color="auto" w:fill="auto"/>
            <w:vAlign w:val="bottom"/>
            <w:hideMark/>
          </w:tcPr>
          <w:p w14:paraId="504EEC92"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851" w:type="dxa"/>
            <w:shd w:val="clear" w:color="auto" w:fill="auto"/>
            <w:vAlign w:val="bottom"/>
            <w:hideMark/>
          </w:tcPr>
          <w:p w14:paraId="7ED67F31" w14:textId="77777777" w:rsidR="007059B1" w:rsidRPr="005E3F9C" w:rsidRDefault="007059B1" w:rsidP="005E3F9C">
            <w:pPr>
              <w:suppressAutoHyphens w:val="0"/>
              <w:spacing w:before="40" w:after="40" w:line="220" w:lineRule="exact"/>
              <w:jc w:val="right"/>
              <w:rPr>
                <w:sz w:val="18"/>
              </w:rPr>
            </w:pPr>
            <w:r w:rsidRPr="005E3F9C">
              <w:rPr>
                <w:sz w:val="18"/>
                <w:lang w:val="fr-FR"/>
              </w:rPr>
              <w:t>50 %</w:t>
            </w:r>
          </w:p>
        </w:tc>
        <w:tc>
          <w:tcPr>
            <w:tcW w:w="851" w:type="dxa"/>
            <w:shd w:val="clear" w:color="auto" w:fill="auto"/>
            <w:vAlign w:val="bottom"/>
            <w:hideMark/>
          </w:tcPr>
          <w:p w14:paraId="05DA790F" w14:textId="77777777" w:rsidR="007059B1" w:rsidRPr="005E3F9C" w:rsidRDefault="007059B1" w:rsidP="005E3F9C">
            <w:pPr>
              <w:suppressAutoHyphens w:val="0"/>
              <w:spacing w:before="40" w:after="40" w:line="220" w:lineRule="exact"/>
              <w:jc w:val="right"/>
              <w:rPr>
                <w:sz w:val="18"/>
              </w:rPr>
            </w:pPr>
            <w:r w:rsidRPr="005E3F9C">
              <w:rPr>
                <w:sz w:val="18"/>
                <w:lang w:val="fr-FR"/>
              </w:rPr>
              <w:t>33 %</w:t>
            </w:r>
          </w:p>
        </w:tc>
        <w:tc>
          <w:tcPr>
            <w:tcW w:w="1134" w:type="dxa"/>
            <w:shd w:val="clear" w:color="auto" w:fill="auto"/>
            <w:vAlign w:val="bottom"/>
            <w:hideMark/>
          </w:tcPr>
          <w:p w14:paraId="2962EA79" w14:textId="77777777" w:rsidR="007059B1" w:rsidRPr="005E3F9C" w:rsidRDefault="007059B1" w:rsidP="005E3F9C">
            <w:pPr>
              <w:suppressAutoHyphens w:val="0"/>
              <w:spacing w:before="40" w:after="40" w:line="220" w:lineRule="exact"/>
              <w:jc w:val="right"/>
              <w:rPr>
                <w:sz w:val="18"/>
              </w:rPr>
            </w:pPr>
            <w:r w:rsidRPr="005E3F9C">
              <w:rPr>
                <w:sz w:val="18"/>
                <w:lang w:val="fr-FR"/>
              </w:rPr>
              <w:t>4</w:t>
            </w:r>
          </w:p>
        </w:tc>
        <w:tc>
          <w:tcPr>
            <w:tcW w:w="1134" w:type="dxa"/>
            <w:shd w:val="clear" w:color="auto" w:fill="auto"/>
            <w:vAlign w:val="bottom"/>
            <w:hideMark/>
          </w:tcPr>
          <w:p w14:paraId="52C9FC5F" w14:textId="77777777" w:rsidR="007059B1" w:rsidRPr="005E3F9C" w:rsidRDefault="007059B1" w:rsidP="005E3F9C">
            <w:pPr>
              <w:suppressAutoHyphens w:val="0"/>
              <w:spacing w:before="40" w:after="40" w:line="220" w:lineRule="exact"/>
              <w:jc w:val="right"/>
              <w:rPr>
                <w:sz w:val="18"/>
              </w:rPr>
            </w:pPr>
            <w:r w:rsidRPr="005E3F9C">
              <w:rPr>
                <w:sz w:val="18"/>
                <w:lang w:val="fr-FR"/>
              </w:rPr>
              <w:t>100 %</w:t>
            </w:r>
          </w:p>
        </w:tc>
      </w:tr>
      <w:tr w:rsidR="005E3F9C" w:rsidRPr="005E3F9C" w14:paraId="300C1CCF" w14:textId="77777777" w:rsidTr="005E3F9C">
        <w:tc>
          <w:tcPr>
            <w:tcW w:w="2268" w:type="dxa"/>
            <w:shd w:val="clear" w:color="auto" w:fill="auto"/>
            <w:hideMark/>
          </w:tcPr>
          <w:p w14:paraId="1EC69220" w14:textId="77777777" w:rsidR="007059B1" w:rsidRPr="005E3F9C" w:rsidRDefault="007059B1" w:rsidP="005E3F9C">
            <w:pPr>
              <w:suppressAutoHyphens w:val="0"/>
              <w:spacing w:before="40" w:after="40" w:line="220" w:lineRule="exact"/>
              <w:rPr>
                <w:b/>
                <w:bCs/>
                <w:sz w:val="18"/>
              </w:rPr>
            </w:pPr>
            <w:r w:rsidRPr="005E3F9C">
              <w:rPr>
                <w:b/>
                <w:bCs/>
                <w:sz w:val="18"/>
                <w:lang w:val="fr-FR"/>
              </w:rPr>
              <w:t>Groupe d’experts des nœuds de transport ferroviaire international de voyageurs</w:t>
            </w:r>
            <w:r w:rsidRPr="005E3F9C">
              <w:rPr>
                <w:sz w:val="18"/>
                <w:lang w:val="fr-FR"/>
              </w:rPr>
              <w:t xml:space="preserve"> </w:t>
            </w:r>
          </w:p>
        </w:tc>
        <w:tc>
          <w:tcPr>
            <w:tcW w:w="851" w:type="dxa"/>
            <w:shd w:val="clear" w:color="auto" w:fill="auto"/>
            <w:vAlign w:val="bottom"/>
            <w:hideMark/>
          </w:tcPr>
          <w:p w14:paraId="42E09CBB" w14:textId="77777777" w:rsidR="007059B1" w:rsidRPr="005E3F9C" w:rsidRDefault="007059B1" w:rsidP="005E3F9C">
            <w:pPr>
              <w:suppressAutoHyphens w:val="0"/>
              <w:spacing w:before="40" w:after="40" w:line="220" w:lineRule="exact"/>
              <w:jc w:val="right"/>
              <w:rPr>
                <w:sz w:val="18"/>
              </w:rPr>
            </w:pPr>
            <w:r w:rsidRPr="005E3F9C">
              <w:rPr>
                <w:sz w:val="18"/>
                <w:lang w:val="fr-FR"/>
              </w:rPr>
              <w:t>12</w:t>
            </w:r>
          </w:p>
        </w:tc>
        <w:tc>
          <w:tcPr>
            <w:tcW w:w="851" w:type="dxa"/>
            <w:shd w:val="clear" w:color="auto" w:fill="auto"/>
            <w:vAlign w:val="bottom"/>
            <w:hideMark/>
          </w:tcPr>
          <w:p w14:paraId="3DE99A3C" w14:textId="77777777" w:rsidR="007059B1" w:rsidRPr="005E3F9C" w:rsidRDefault="007059B1" w:rsidP="005E3F9C">
            <w:pPr>
              <w:suppressAutoHyphens w:val="0"/>
              <w:spacing w:before="40" w:after="40" w:line="220" w:lineRule="exact"/>
              <w:jc w:val="right"/>
              <w:rPr>
                <w:sz w:val="18"/>
              </w:rPr>
            </w:pPr>
            <w:r w:rsidRPr="005E3F9C">
              <w:rPr>
                <w:sz w:val="18"/>
                <w:lang w:val="fr-FR"/>
              </w:rPr>
              <w:t>9</w:t>
            </w:r>
          </w:p>
        </w:tc>
        <w:tc>
          <w:tcPr>
            <w:tcW w:w="851" w:type="dxa"/>
            <w:shd w:val="clear" w:color="auto" w:fill="auto"/>
            <w:vAlign w:val="bottom"/>
            <w:hideMark/>
          </w:tcPr>
          <w:p w14:paraId="45CEC3A4" w14:textId="77777777" w:rsidR="007059B1" w:rsidRPr="005E3F9C" w:rsidRDefault="007059B1" w:rsidP="005E3F9C">
            <w:pPr>
              <w:suppressAutoHyphens w:val="0"/>
              <w:spacing w:before="40" w:after="40" w:line="220" w:lineRule="exact"/>
              <w:jc w:val="right"/>
              <w:rPr>
                <w:sz w:val="18"/>
              </w:rPr>
            </w:pPr>
            <w:r w:rsidRPr="005E3F9C">
              <w:rPr>
                <w:sz w:val="18"/>
                <w:lang w:val="fr-FR"/>
              </w:rPr>
              <w:t>9</w:t>
            </w:r>
          </w:p>
        </w:tc>
        <w:tc>
          <w:tcPr>
            <w:tcW w:w="851" w:type="dxa"/>
            <w:shd w:val="clear" w:color="auto" w:fill="auto"/>
            <w:vAlign w:val="bottom"/>
            <w:hideMark/>
          </w:tcPr>
          <w:p w14:paraId="28344E3C"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851" w:type="dxa"/>
            <w:shd w:val="clear" w:color="auto" w:fill="auto"/>
            <w:vAlign w:val="bottom"/>
            <w:hideMark/>
          </w:tcPr>
          <w:p w14:paraId="79AA1D99" w14:textId="77777777" w:rsidR="007059B1" w:rsidRPr="005E3F9C" w:rsidRDefault="007059B1" w:rsidP="005E3F9C">
            <w:pPr>
              <w:suppressAutoHyphens w:val="0"/>
              <w:spacing w:before="40" w:after="40" w:line="220" w:lineRule="exact"/>
              <w:jc w:val="right"/>
              <w:rPr>
                <w:sz w:val="18"/>
              </w:rPr>
            </w:pPr>
            <w:r w:rsidRPr="005E3F9C">
              <w:rPr>
                <w:sz w:val="18"/>
                <w:lang w:val="fr-FR"/>
              </w:rPr>
              <w:t>75 %</w:t>
            </w:r>
          </w:p>
        </w:tc>
        <w:tc>
          <w:tcPr>
            <w:tcW w:w="851" w:type="dxa"/>
            <w:shd w:val="clear" w:color="auto" w:fill="auto"/>
            <w:vAlign w:val="bottom"/>
            <w:hideMark/>
          </w:tcPr>
          <w:p w14:paraId="0E3E7391" w14:textId="77777777" w:rsidR="007059B1" w:rsidRPr="005E3F9C" w:rsidRDefault="007059B1" w:rsidP="005E3F9C">
            <w:pPr>
              <w:suppressAutoHyphens w:val="0"/>
              <w:spacing w:before="40" w:after="40" w:line="220" w:lineRule="exact"/>
              <w:jc w:val="right"/>
              <w:rPr>
                <w:sz w:val="18"/>
              </w:rPr>
            </w:pPr>
            <w:r w:rsidRPr="005E3F9C">
              <w:rPr>
                <w:sz w:val="18"/>
                <w:lang w:val="fr-FR"/>
              </w:rPr>
              <w:t>75 %</w:t>
            </w:r>
          </w:p>
        </w:tc>
        <w:tc>
          <w:tcPr>
            <w:tcW w:w="1134" w:type="dxa"/>
            <w:shd w:val="clear" w:color="auto" w:fill="auto"/>
            <w:vAlign w:val="bottom"/>
            <w:hideMark/>
          </w:tcPr>
          <w:p w14:paraId="0CE43441"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1134" w:type="dxa"/>
            <w:shd w:val="clear" w:color="auto" w:fill="auto"/>
            <w:vAlign w:val="bottom"/>
            <w:hideMark/>
          </w:tcPr>
          <w:p w14:paraId="29B56C65" w14:textId="77777777" w:rsidR="007059B1" w:rsidRPr="005E3F9C" w:rsidRDefault="007059B1" w:rsidP="005E3F9C">
            <w:pPr>
              <w:suppressAutoHyphens w:val="0"/>
              <w:spacing w:before="40" w:after="40" w:line="220" w:lineRule="exact"/>
              <w:jc w:val="right"/>
              <w:rPr>
                <w:sz w:val="18"/>
              </w:rPr>
            </w:pPr>
            <w:r w:rsidRPr="005E3F9C">
              <w:rPr>
                <w:sz w:val="18"/>
                <w:lang w:val="fr-FR"/>
              </w:rPr>
              <w:t>67 %</w:t>
            </w:r>
          </w:p>
        </w:tc>
      </w:tr>
      <w:tr w:rsidR="005E3F9C" w:rsidRPr="005E3F9C" w14:paraId="4BD8EE58" w14:textId="77777777" w:rsidTr="005E3F9C">
        <w:tc>
          <w:tcPr>
            <w:tcW w:w="2268" w:type="dxa"/>
            <w:shd w:val="clear" w:color="auto" w:fill="auto"/>
            <w:hideMark/>
          </w:tcPr>
          <w:p w14:paraId="5BB9FAED" w14:textId="77777777" w:rsidR="007059B1" w:rsidRPr="005E3F9C" w:rsidRDefault="007059B1" w:rsidP="005E3F9C">
            <w:pPr>
              <w:suppressAutoHyphens w:val="0"/>
              <w:spacing w:before="40" w:after="40" w:line="220" w:lineRule="exact"/>
              <w:rPr>
                <w:b/>
                <w:bCs/>
                <w:sz w:val="18"/>
              </w:rPr>
            </w:pPr>
            <w:r w:rsidRPr="005E3F9C">
              <w:rPr>
                <w:b/>
                <w:bCs/>
                <w:sz w:val="18"/>
                <w:lang w:val="fr-FR"/>
              </w:rPr>
              <w:t>Groupe d’experts de l’AETR</w:t>
            </w:r>
          </w:p>
        </w:tc>
        <w:tc>
          <w:tcPr>
            <w:tcW w:w="851" w:type="dxa"/>
            <w:shd w:val="clear" w:color="auto" w:fill="auto"/>
            <w:vAlign w:val="bottom"/>
            <w:hideMark/>
          </w:tcPr>
          <w:p w14:paraId="08DC4C1D"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shd w:val="clear" w:color="auto" w:fill="auto"/>
            <w:vAlign w:val="bottom"/>
            <w:hideMark/>
          </w:tcPr>
          <w:p w14:paraId="0660AB3D"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shd w:val="clear" w:color="auto" w:fill="auto"/>
            <w:vAlign w:val="bottom"/>
            <w:hideMark/>
          </w:tcPr>
          <w:p w14:paraId="4595E733"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shd w:val="clear" w:color="auto" w:fill="auto"/>
            <w:vAlign w:val="bottom"/>
            <w:hideMark/>
          </w:tcPr>
          <w:p w14:paraId="22D37788"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851" w:type="dxa"/>
            <w:shd w:val="clear" w:color="auto" w:fill="auto"/>
            <w:vAlign w:val="bottom"/>
            <w:hideMark/>
          </w:tcPr>
          <w:p w14:paraId="259D5461" w14:textId="77777777" w:rsidR="007059B1" w:rsidRPr="005E3F9C" w:rsidRDefault="007059B1" w:rsidP="005E3F9C">
            <w:pPr>
              <w:suppressAutoHyphens w:val="0"/>
              <w:spacing w:before="40" w:after="40" w:line="220" w:lineRule="exact"/>
              <w:jc w:val="right"/>
              <w:rPr>
                <w:sz w:val="18"/>
              </w:rPr>
            </w:pPr>
            <w:r w:rsidRPr="005E3F9C">
              <w:rPr>
                <w:sz w:val="18"/>
                <w:lang w:val="fr-FR"/>
              </w:rPr>
              <w:t>100 %</w:t>
            </w:r>
          </w:p>
        </w:tc>
        <w:tc>
          <w:tcPr>
            <w:tcW w:w="851" w:type="dxa"/>
            <w:shd w:val="clear" w:color="auto" w:fill="auto"/>
            <w:vAlign w:val="bottom"/>
            <w:hideMark/>
          </w:tcPr>
          <w:p w14:paraId="1FBADB04" w14:textId="77777777" w:rsidR="007059B1" w:rsidRPr="005E3F9C" w:rsidRDefault="007059B1" w:rsidP="005E3F9C">
            <w:pPr>
              <w:suppressAutoHyphens w:val="0"/>
              <w:spacing w:before="40" w:after="40" w:line="220" w:lineRule="exact"/>
              <w:jc w:val="right"/>
              <w:rPr>
                <w:sz w:val="18"/>
              </w:rPr>
            </w:pPr>
            <w:r w:rsidRPr="005E3F9C">
              <w:rPr>
                <w:sz w:val="18"/>
                <w:lang w:val="fr-FR"/>
              </w:rPr>
              <w:t>100 %</w:t>
            </w:r>
          </w:p>
        </w:tc>
        <w:tc>
          <w:tcPr>
            <w:tcW w:w="1134" w:type="dxa"/>
            <w:shd w:val="clear" w:color="auto" w:fill="auto"/>
            <w:vAlign w:val="bottom"/>
            <w:hideMark/>
          </w:tcPr>
          <w:p w14:paraId="5E70F0C2" w14:textId="77777777" w:rsidR="007059B1" w:rsidRPr="005E3F9C" w:rsidRDefault="007059B1" w:rsidP="005E3F9C">
            <w:pPr>
              <w:suppressAutoHyphens w:val="0"/>
              <w:spacing w:before="40" w:after="40" w:line="220" w:lineRule="exact"/>
              <w:jc w:val="right"/>
              <w:rPr>
                <w:sz w:val="18"/>
              </w:rPr>
            </w:pPr>
            <w:r w:rsidRPr="005E3F9C">
              <w:rPr>
                <w:sz w:val="18"/>
                <w:lang w:val="fr-FR"/>
              </w:rPr>
              <w:t>2</w:t>
            </w:r>
          </w:p>
        </w:tc>
        <w:tc>
          <w:tcPr>
            <w:tcW w:w="1134" w:type="dxa"/>
            <w:shd w:val="clear" w:color="auto" w:fill="auto"/>
            <w:vAlign w:val="bottom"/>
            <w:hideMark/>
          </w:tcPr>
          <w:p w14:paraId="2DD1272E" w14:textId="77777777" w:rsidR="007059B1" w:rsidRPr="005E3F9C" w:rsidRDefault="007059B1" w:rsidP="005E3F9C">
            <w:pPr>
              <w:suppressAutoHyphens w:val="0"/>
              <w:spacing w:before="40" w:after="40" w:line="220" w:lineRule="exact"/>
              <w:jc w:val="right"/>
              <w:rPr>
                <w:sz w:val="18"/>
              </w:rPr>
            </w:pPr>
            <w:r w:rsidRPr="005E3F9C">
              <w:rPr>
                <w:sz w:val="18"/>
                <w:lang w:val="fr-FR"/>
              </w:rPr>
              <w:t>33 %</w:t>
            </w:r>
          </w:p>
        </w:tc>
      </w:tr>
      <w:tr w:rsidR="005E3F9C" w:rsidRPr="005E3F9C" w14:paraId="21DA2D11" w14:textId="77777777" w:rsidTr="005E3F9C">
        <w:tc>
          <w:tcPr>
            <w:tcW w:w="2268" w:type="dxa"/>
            <w:shd w:val="clear" w:color="auto" w:fill="auto"/>
            <w:hideMark/>
          </w:tcPr>
          <w:p w14:paraId="5C3C8F9E" w14:textId="77777777" w:rsidR="007059B1" w:rsidRPr="005E3F9C" w:rsidRDefault="007059B1" w:rsidP="005E3F9C">
            <w:pPr>
              <w:suppressAutoHyphens w:val="0"/>
              <w:spacing w:before="40" w:after="40" w:line="220" w:lineRule="exact"/>
              <w:rPr>
                <w:b/>
                <w:bCs/>
                <w:sz w:val="18"/>
              </w:rPr>
            </w:pPr>
            <w:r w:rsidRPr="005E3F9C">
              <w:rPr>
                <w:b/>
                <w:bCs/>
                <w:sz w:val="18"/>
                <w:lang w:val="fr-FR"/>
              </w:rPr>
              <w:t>Groupe d’experts de la signalisation routière</w:t>
            </w:r>
            <w:r w:rsidRPr="005E3F9C">
              <w:rPr>
                <w:sz w:val="18"/>
                <w:lang w:val="fr-FR"/>
              </w:rPr>
              <w:t xml:space="preserve"> </w:t>
            </w:r>
          </w:p>
        </w:tc>
        <w:tc>
          <w:tcPr>
            <w:tcW w:w="851" w:type="dxa"/>
            <w:shd w:val="clear" w:color="auto" w:fill="auto"/>
            <w:vAlign w:val="bottom"/>
            <w:hideMark/>
          </w:tcPr>
          <w:p w14:paraId="1A5E7E96" w14:textId="77777777" w:rsidR="007059B1" w:rsidRPr="005E3F9C" w:rsidRDefault="007059B1" w:rsidP="005E3F9C">
            <w:pPr>
              <w:suppressAutoHyphens w:val="0"/>
              <w:spacing w:before="40" w:after="40" w:line="220" w:lineRule="exact"/>
              <w:jc w:val="right"/>
              <w:rPr>
                <w:sz w:val="18"/>
              </w:rPr>
            </w:pPr>
            <w:r w:rsidRPr="005E3F9C">
              <w:rPr>
                <w:sz w:val="18"/>
                <w:lang w:val="fr-FR"/>
              </w:rPr>
              <w:t>3</w:t>
            </w:r>
          </w:p>
        </w:tc>
        <w:tc>
          <w:tcPr>
            <w:tcW w:w="851" w:type="dxa"/>
            <w:shd w:val="clear" w:color="auto" w:fill="auto"/>
            <w:vAlign w:val="bottom"/>
            <w:hideMark/>
          </w:tcPr>
          <w:p w14:paraId="362B0055" w14:textId="77777777" w:rsidR="007059B1" w:rsidRPr="005E3F9C" w:rsidRDefault="007059B1" w:rsidP="005E3F9C">
            <w:pPr>
              <w:suppressAutoHyphens w:val="0"/>
              <w:spacing w:before="40" w:after="40" w:line="220" w:lineRule="exact"/>
              <w:jc w:val="right"/>
              <w:rPr>
                <w:sz w:val="18"/>
              </w:rPr>
            </w:pPr>
            <w:r w:rsidRPr="005E3F9C">
              <w:rPr>
                <w:sz w:val="18"/>
                <w:lang w:val="fr-FR"/>
              </w:rPr>
              <w:t>3</w:t>
            </w:r>
          </w:p>
        </w:tc>
        <w:tc>
          <w:tcPr>
            <w:tcW w:w="851" w:type="dxa"/>
            <w:shd w:val="clear" w:color="auto" w:fill="auto"/>
            <w:vAlign w:val="bottom"/>
            <w:hideMark/>
          </w:tcPr>
          <w:p w14:paraId="2AB88D6E" w14:textId="77777777" w:rsidR="007059B1" w:rsidRPr="005E3F9C" w:rsidRDefault="007059B1" w:rsidP="005E3F9C">
            <w:pPr>
              <w:suppressAutoHyphens w:val="0"/>
              <w:spacing w:before="40" w:after="40" w:line="220" w:lineRule="exact"/>
              <w:jc w:val="right"/>
              <w:rPr>
                <w:sz w:val="18"/>
              </w:rPr>
            </w:pPr>
            <w:r w:rsidRPr="005E3F9C">
              <w:rPr>
                <w:sz w:val="18"/>
                <w:lang w:val="fr-FR"/>
              </w:rPr>
              <w:t>3</w:t>
            </w:r>
          </w:p>
        </w:tc>
        <w:tc>
          <w:tcPr>
            <w:tcW w:w="851" w:type="dxa"/>
            <w:shd w:val="clear" w:color="auto" w:fill="auto"/>
            <w:vAlign w:val="bottom"/>
            <w:hideMark/>
          </w:tcPr>
          <w:p w14:paraId="0516728E"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851" w:type="dxa"/>
            <w:shd w:val="clear" w:color="auto" w:fill="auto"/>
            <w:vAlign w:val="bottom"/>
            <w:hideMark/>
          </w:tcPr>
          <w:p w14:paraId="493570E6" w14:textId="77777777" w:rsidR="007059B1" w:rsidRPr="005E3F9C" w:rsidRDefault="007059B1" w:rsidP="005E3F9C">
            <w:pPr>
              <w:suppressAutoHyphens w:val="0"/>
              <w:spacing w:before="40" w:after="40" w:line="220" w:lineRule="exact"/>
              <w:jc w:val="right"/>
              <w:rPr>
                <w:sz w:val="18"/>
              </w:rPr>
            </w:pPr>
            <w:r w:rsidRPr="005E3F9C">
              <w:rPr>
                <w:sz w:val="18"/>
                <w:lang w:val="fr-FR"/>
              </w:rPr>
              <w:t>100 %</w:t>
            </w:r>
          </w:p>
        </w:tc>
        <w:tc>
          <w:tcPr>
            <w:tcW w:w="851" w:type="dxa"/>
            <w:shd w:val="clear" w:color="auto" w:fill="auto"/>
            <w:vAlign w:val="bottom"/>
            <w:hideMark/>
          </w:tcPr>
          <w:p w14:paraId="2239140E" w14:textId="77777777" w:rsidR="007059B1" w:rsidRPr="005E3F9C" w:rsidRDefault="007059B1" w:rsidP="005E3F9C">
            <w:pPr>
              <w:suppressAutoHyphens w:val="0"/>
              <w:spacing w:before="40" w:after="40" w:line="220" w:lineRule="exact"/>
              <w:jc w:val="right"/>
              <w:rPr>
                <w:sz w:val="18"/>
              </w:rPr>
            </w:pPr>
            <w:r w:rsidRPr="005E3F9C">
              <w:rPr>
                <w:sz w:val="18"/>
                <w:lang w:val="fr-FR"/>
              </w:rPr>
              <w:t>100 %</w:t>
            </w:r>
          </w:p>
        </w:tc>
        <w:tc>
          <w:tcPr>
            <w:tcW w:w="1134" w:type="dxa"/>
            <w:shd w:val="clear" w:color="auto" w:fill="auto"/>
            <w:vAlign w:val="bottom"/>
            <w:hideMark/>
          </w:tcPr>
          <w:p w14:paraId="02C3112A"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1134" w:type="dxa"/>
            <w:shd w:val="clear" w:color="auto" w:fill="auto"/>
            <w:vAlign w:val="bottom"/>
            <w:hideMark/>
          </w:tcPr>
          <w:p w14:paraId="107634F4" w14:textId="77777777" w:rsidR="007059B1" w:rsidRPr="005E3F9C" w:rsidRDefault="007059B1" w:rsidP="005E3F9C">
            <w:pPr>
              <w:suppressAutoHyphens w:val="0"/>
              <w:spacing w:before="40" w:after="40" w:line="220" w:lineRule="exact"/>
              <w:jc w:val="right"/>
              <w:rPr>
                <w:sz w:val="18"/>
              </w:rPr>
            </w:pPr>
            <w:r w:rsidRPr="005E3F9C">
              <w:rPr>
                <w:sz w:val="18"/>
                <w:lang w:val="fr-FR"/>
              </w:rPr>
              <w:t>0 %</w:t>
            </w:r>
          </w:p>
        </w:tc>
      </w:tr>
      <w:tr w:rsidR="005E3F9C" w:rsidRPr="005E3F9C" w14:paraId="6496CE72" w14:textId="77777777" w:rsidTr="005E3F9C">
        <w:tc>
          <w:tcPr>
            <w:tcW w:w="2268" w:type="dxa"/>
            <w:shd w:val="clear" w:color="auto" w:fill="auto"/>
            <w:hideMark/>
          </w:tcPr>
          <w:p w14:paraId="49FFA70A" w14:textId="1D66DDBF" w:rsidR="007059B1" w:rsidRPr="005E3F9C" w:rsidRDefault="007059B1" w:rsidP="005E3F9C">
            <w:pPr>
              <w:suppressAutoHyphens w:val="0"/>
              <w:spacing w:before="40" w:after="40" w:line="220" w:lineRule="exact"/>
              <w:rPr>
                <w:b/>
                <w:bCs/>
                <w:sz w:val="18"/>
              </w:rPr>
            </w:pPr>
            <w:r w:rsidRPr="005E3F9C">
              <w:rPr>
                <w:b/>
                <w:bCs/>
                <w:sz w:val="18"/>
                <w:lang w:val="fr-FR"/>
              </w:rPr>
              <w:t xml:space="preserve">Groupe d’experts chargé de l’élaboration d’un nouvel instrument juridique sur </w:t>
            </w:r>
            <w:r w:rsidR="0079253C">
              <w:rPr>
                <w:b/>
                <w:bCs/>
                <w:sz w:val="18"/>
                <w:lang w:val="fr-FR"/>
              </w:rPr>
              <w:br/>
            </w:r>
            <w:r w:rsidRPr="005E3F9C">
              <w:rPr>
                <w:b/>
                <w:bCs/>
                <w:sz w:val="18"/>
                <w:lang w:val="fr-FR"/>
              </w:rPr>
              <w:t>les véhicules automatisés dans la circulation</w:t>
            </w:r>
            <w:r w:rsidRPr="005E3F9C">
              <w:rPr>
                <w:sz w:val="18"/>
                <w:lang w:val="fr-FR"/>
              </w:rPr>
              <w:t xml:space="preserve"> </w:t>
            </w:r>
          </w:p>
        </w:tc>
        <w:tc>
          <w:tcPr>
            <w:tcW w:w="851" w:type="dxa"/>
            <w:shd w:val="clear" w:color="auto" w:fill="auto"/>
            <w:vAlign w:val="bottom"/>
            <w:hideMark/>
          </w:tcPr>
          <w:p w14:paraId="6FB7F782"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shd w:val="clear" w:color="auto" w:fill="auto"/>
            <w:vAlign w:val="bottom"/>
            <w:hideMark/>
          </w:tcPr>
          <w:p w14:paraId="7F9F1E00" w14:textId="77777777" w:rsidR="007059B1" w:rsidRPr="005E3F9C" w:rsidRDefault="007059B1" w:rsidP="005E3F9C">
            <w:pPr>
              <w:suppressAutoHyphens w:val="0"/>
              <w:spacing w:before="40" w:after="40" w:line="220" w:lineRule="exact"/>
              <w:jc w:val="right"/>
              <w:rPr>
                <w:sz w:val="18"/>
              </w:rPr>
            </w:pPr>
            <w:r w:rsidRPr="005E3F9C">
              <w:rPr>
                <w:sz w:val="18"/>
                <w:lang w:val="fr-FR"/>
              </w:rPr>
              <w:t>4</w:t>
            </w:r>
          </w:p>
        </w:tc>
        <w:tc>
          <w:tcPr>
            <w:tcW w:w="851" w:type="dxa"/>
            <w:shd w:val="clear" w:color="auto" w:fill="auto"/>
            <w:vAlign w:val="bottom"/>
            <w:hideMark/>
          </w:tcPr>
          <w:p w14:paraId="164ED5DF" w14:textId="77777777" w:rsidR="007059B1" w:rsidRPr="005E3F9C" w:rsidRDefault="007059B1" w:rsidP="005E3F9C">
            <w:pPr>
              <w:suppressAutoHyphens w:val="0"/>
              <w:spacing w:before="40" w:after="40" w:line="220" w:lineRule="exact"/>
              <w:jc w:val="right"/>
              <w:rPr>
                <w:sz w:val="18"/>
              </w:rPr>
            </w:pPr>
            <w:r w:rsidRPr="005E3F9C">
              <w:rPr>
                <w:sz w:val="18"/>
                <w:lang w:val="fr-FR"/>
              </w:rPr>
              <w:t>4</w:t>
            </w:r>
          </w:p>
        </w:tc>
        <w:tc>
          <w:tcPr>
            <w:tcW w:w="851" w:type="dxa"/>
            <w:shd w:val="clear" w:color="auto" w:fill="auto"/>
            <w:vAlign w:val="bottom"/>
            <w:hideMark/>
          </w:tcPr>
          <w:p w14:paraId="696F86D4"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851" w:type="dxa"/>
            <w:shd w:val="clear" w:color="auto" w:fill="auto"/>
            <w:vAlign w:val="bottom"/>
            <w:hideMark/>
          </w:tcPr>
          <w:p w14:paraId="76946368" w14:textId="77777777" w:rsidR="007059B1" w:rsidRPr="005E3F9C" w:rsidRDefault="007059B1" w:rsidP="005E3F9C">
            <w:pPr>
              <w:suppressAutoHyphens w:val="0"/>
              <w:spacing w:before="40" w:after="40" w:line="220" w:lineRule="exact"/>
              <w:jc w:val="right"/>
              <w:rPr>
                <w:sz w:val="18"/>
              </w:rPr>
            </w:pPr>
            <w:r w:rsidRPr="005E3F9C">
              <w:rPr>
                <w:sz w:val="18"/>
                <w:lang w:val="fr-FR"/>
              </w:rPr>
              <w:t>67 %</w:t>
            </w:r>
          </w:p>
        </w:tc>
        <w:tc>
          <w:tcPr>
            <w:tcW w:w="851" w:type="dxa"/>
            <w:shd w:val="clear" w:color="auto" w:fill="auto"/>
            <w:vAlign w:val="bottom"/>
            <w:hideMark/>
          </w:tcPr>
          <w:p w14:paraId="35B6784E" w14:textId="77777777" w:rsidR="007059B1" w:rsidRPr="005E3F9C" w:rsidRDefault="007059B1" w:rsidP="005E3F9C">
            <w:pPr>
              <w:suppressAutoHyphens w:val="0"/>
              <w:spacing w:before="40" w:after="40" w:line="220" w:lineRule="exact"/>
              <w:jc w:val="right"/>
              <w:rPr>
                <w:sz w:val="18"/>
              </w:rPr>
            </w:pPr>
            <w:r w:rsidRPr="005E3F9C">
              <w:rPr>
                <w:sz w:val="18"/>
                <w:lang w:val="fr-FR"/>
              </w:rPr>
              <w:t>67 %</w:t>
            </w:r>
          </w:p>
        </w:tc>
        <w:tc>
          <w:tcPr>
            <w:tcW w:w="1134" w:type="dxa"/>
            <w:shd w:val="clear" w:color="auto" w:fill="auto"/>
            <w:vAlign w:val="bottom"/>
            <w:hideMark/>
          </w:tcPr>
          <w:p w14:paraId="343214FD" w14:textId="77777777" w:rsidR="007059B1" w:rsidRPr="005E3F9C" w:rsidRDefault="007059B1" w:rsidP="005E3F9C">
            <w:pPr>
              <w:suppressAutoHyphens w:val="0"/>
              <w:spacing w:before="40" w:after="40" w:line="220" w:lineRule="exact"/>
              <w:jc w:val="right"/>
              <w:rPr>
                <w:sz w:val="18"/>
              </w:rPr>
            </w:pPr>
            <w:r w:rsidRPr="005E3F9C">
              <w:rPr>
                <w:sz w:val="18"/>
                <w:lang w:val="fr-FR"/>
              </w:rPr>
              <w:t>2</w:t>
            </w:r>
          </w:p>
        </w:tc>
        <w:tc>
          <w:tcPr>
            <w:tcW w:w="1134" w:type="dxa"/>
            <w:shd w:val="clear" w:color="auto" w:fill="auto"/>
            <w:vAlign w:val="bottom"/>
            <w:hideMark/>
          </w:tcPr>
          <w:p w14:paraId="005C00C9" w14:textId="77777777" w:rsidR="007059B1" w:rsidRPr="005E3F9C" w:rsidRDefault="007059B1" w:rsidP="005E3F9C">
            <w:pPr>
              <w:suppressAutoHyphens w:val="0"/>
              <w:spacing w:before="40" w:after="40" w:line="220" w:lineRule="exact"/>
              <w:jc w:val="right"/>
              <w:rPr>
                <w:sz w:val="18"/>
              </w:rPr>
            </w:pPr>
            <w:r w:rsidRPr="005E3F9C">
              <w:rPr>
                <w:sz w:val="18"/>
                <w:lang w:val="fr-FR"/>
              </w:rPr>
              <w:t>50 %</w:t>
            </w:r>
          </w:p>
        </w:tc>
      </w:tr>
      <w:tr w:rsidR="005E3F9C" w:rsidRPr="005E3F9C" w14:paraId="03B74117" w14:textId="77777777" w:rsidTr="005E3F9C">
        <w:tc>
          <w:tcPr>
            <w:tcW w:w="2268" w:type="dxa"/>
            <w:shd w:val="clear" w:color="auto" w:fill="auto"/>
            <w:hideMark/>
          </w:tcPr>
          <w:p w14:paraId="087AEACC" w14:textId="0E559DAA" w:rsidR="007059B1" w:rsidRPr="005E3F9C" w:rsidRDefault="007059B1" w:rsidP="005E3F9C">
            <w:pPr>
              <w:suppressAutoHyphens w:val="0"/>
              <w:spacing w:before="40" w:after="40" w:line="220" w:lineRule="exact"/>
              <w:rPr>
                <w:b/>
                <w:bCs/>
                <w:sz w:val="18"/>
              </w:rPr>
            </w:pPr>
            <w:r w:rsidRPr="005E3F9C">
              <w:rPr>
                <w:b/>
                <w:bCs/>
                <w:sz w:val="18"/>
                <w:lang w:val="fr-FR"/>
              </w:rPr>
              <w:t xml:space="preserve">Groupe d’experts de l’évaluation comparative </w:t>
            </w:r>
            <w:r w:rsidR="0079253C">
              <w:rPr>
                <w:b/>
                <w:bCs/>
                <w:sz w:val="18"/>
                <w:lang w:val="fr-FR"/>
              </w:rPr>
              <w:br/>
            </w:r>
            <w:r w:rsidRPr="005E3F9C">
              <w:rPr>
                <w:b/>
                <w:bCs/>
                <w:sz w:val="18"/>
                <w:lang w:val="fr-FR"/>
              </w:rPr>
              <w:t>des coûts de construction des infrastructures de transport</w:t>
            </w:r>
          </w:p>
        </w:tc>
        <w:tc>
          <w:tcPr>
            <w:tcW w:w="851" w:type="dxa"/>
            <w:shd w:val="clear" w:color="auto" w:fill="auto"/>
            <w:vAlign w:val="bottom"/>
            <w:hideMark/>
          </w:tcPr>
          <w:p w14:paraId="6E8E4DE0" w14:textId="77777777" w:rsidR="007059B1" w:rsidRPr="005E3F9C" w:rsidRDefault="007059B1" w:rsidP="005E3F9C">
            <w:pPr>
              <w:suppressAutoHyphens w:val="0"/>
              <w:spacing w:before="40" w:after="40" w:line="220" w:lineRule="exact"/>
              <w:jc w:val="right"/>
              <w:rPr>
                <w:sz w:val="18"/>
              </w:rPr>
            </w:pPr>
            <w:r w:rsidRPr="005E3F9C">
              <w:rPr>
                <w:sz w:val="18"/>
                <w:lang w:val="fr-FR"/>
              </w:rPr>
              <w:t>8</w:t>
            </w:r>
          </w:p>
        </w:tc>
        <w:tc>
          <w:tcPr>
            <w:tcW w:w="851" w:type="dxa"/>
            <w:shd w:val="clear" w:color="auto" w:fill="auto"/>
            <w:vAlign w:val="bottom"/>
            <w:hideMark/>
          </w:tcPr>
          <w:p w14:paraId="644E8C4C"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shd w:val="clear" w:color="auto" w:fill="auto"/>
            <w:vAlign w:val="bottom"/>
            <w:hideMark/>
          </w:tcPr>
          <w:p w14:paraId="34693E9D"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shd w:val="clear" w:color="auto" w:fill="auto"/>
            <w:vAlign w:val="bottom"/>
            <w:hideMark/>
          </w:tcPr>
          <w:p w14:paraId="4493E24E"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851" w:type="dxa"/>
            <w:shd w:val="clear" w:color="auto" w:fill="auto"/>
            <w:vAlign w:val="bottom"/>
            <w:hideMark/>
          </w:tcPr>
          <w:p w14:paraId="785D98EF" w14:textId="77777777" w:rsidR="007059B1" w:rsidRPr="005E3F9C" w:rsidRDefault="007059B1" w:rsidP="005E3F9C">
            <w:pPr>
              <w:suppressAutoHyphens w:val="0"/>
              <w:spacing w:before="40" w:after="40" w:line="220" w:lineRule="exact"/>
              <w:jc w:val="right"/>
              <w:rPr>
                <w:sz w:val="18"/>
              </w:rPr>
            </w:pPr>
            <w:r w:rsidRPr="005E3F9C">
              <w:rPr>
                <w:sz w:val="18"/>
                <w:lang w:val="fr-FR"/>
              </w:rPr>
              <w:t>75 %</w:t>
            </w:r>
          </w:p>
        </w:tc>
        <w:tc>
          <w:tcPr>
            <w:tcW w:w="851" w:type="dxa"/>
            <w:shd w:val="clear" w:color="auto" w:fill="auto"/>
            <w:vAlign w:val="bottom"/>
            <w:hideMark/>
          </w:tcPr>
          <w:p w14:paraId="39C0F76B" w14:textId="77777777" w:rsidR="007059B1" w:rsidRPr="005E3F9C" w:rsidRDefault="007059B1" w:rsidP="005E3F9C">
            <w:pPr>
              <w:suppressAutoHyphens w:val="0"/>
              <w:spacing w:before="40" w:after="40" w:line="220" w:lineRule="exact"/>
              <w:jc w:val="right"/>
              <w:rPr>
                <w:sz w:val="18"/>
              </w:rPr>
            </w:pPr>
            <w:r w:rsidRPr="005E3F9C">
              <w:rPr>
                <w:sz w:val="18"/>
                <w:lang w:val="fr-FR"/>
              </w:rPr>
              <w:t>75 %</w:t>
            </w:r>
          </w:p>
        </w:tc>
        <w:tc>
          <w:tcPr>
            <w:tcW w:w="1134" w:type="dxa"/>
            <w:shd w:val="clear" w:color="auto" w:fill="auto"/>
            <w:vAlign w:val="bottom"/>
            <w:hideMark/>
          </w:tcPr>
          <w:p w14:paraId="3AE0A19B" w14:textId="77777777" w:rsidR="007059B1" w:rsidRPr="005E3F9C" w:rsidRDefault="007059B1" w:rsidP="005E3F9C">
            <w:pPr>
              <w:suppressAutoHyphens w:val="0"/>
              <w:spacing w:before="40" w:after="40" w:line="220" w:lineRule="exact"/>
              <w:jc w:val="right"/>
              <w:rPr>
                <w:sz w:val="18"/>
              </w:rPr>
            </w:pPr>
            <w:r w:rsidRPr="005E3F9C">
              <w:rPr>
                <w:sz w:val="18"/>
                <w:lang w:val="fr-FR"/>
              </w:rPr>
              <w:t>3</w:t>
            </w:r>
          </w:p>
        </w:tc>
        <w:tc>
          <w:tcPr>
            <w:tcW w:w="1134" w:type="dxa"/>
            <w:shd w:val="clear" w:color="auto" w:fill="auto"/>
            <w:vAlign w:val="bottom"/>
            <w:hideMark/>
          </w:tcPr>
          <w:p w14:paraId="56A49A10" w14:textId="77777777" w:rsidR="007059B1" w:rsidRPr="005E3F9C" w:rsidRDefault="007059B1" w:rsidP="005E3F9C">
            <w:pPr>
              <w:suppressAutoHyphens w:val="0"/>
              <w:spacing w:before="40" w:after="40" w:line="220" w:lineRule="exact"/>
              <w:jc w:val="right"/>
              <w:rPr>
                <w:sz w:val="18"/>
              </w:rPr>
            </w:pPr>
            <w:r w:rsidRPr="005E3F9C">
              <w:rPr>
                <w:sz w:val="18"/>
                <w:lang w:val="fr-FR"/>
              </w:rPr>
              <w:t>50 %</w:t>
            </w:r>
          </w:p>
        </w:tc>
      </w:tr>
      <w:tr w:rsidR="005E3F9C" w:rsidRPr="005E3F9C" w14:paraId="76C80F93" w14:textId="77777777" w:rsidTr="005E3F9C">
        <w:tc>
          <w:tcPr>
            <w:tcW w:w="2268" w:type="dxa"/>
            <w:shd w:val="clear" w:color="auto" w:fill="auto"/>
            <w:hideMark/>
          </w:tcPr>
          <w:p w14:paraId="2848CAB3" w14:textId="4F075FB0" w:rsidR="007059B1" w:rsidRPr="005E3F9C" w:rsidRDefault="007059B1" w:rsidP="005E3F9C">
            <w:pPr>
              <w:suppressAutoHyphens w:val="0"/>
              <w:spacing w:before="40" w:after="40" w:line="220" w:lineRule="exact"/>
              <w:rPr>
                <w:b/>
                <w:bCs/>
                <w:sz w:val="18"/>
              </w:rPr>
            </w:pPr>
            <w:r w:rsidRPr="005E3F9C">
              <w:rPr>
                <w:b/>
                <w:bCs/>
                <w:sz w:val="18"/>
                <w:lang w:val="fr-FR"/>
              </w:rPr>
              <w:t xml:space="preserve">Groupe d’experts de l’évaluation des effets des changements climatiques </w:t>
            </w:r>
            <w:r w:rsidR="0079253C">
              <w:rPr>
                <w:b/>
                <w:bCs/>
                <w:sz w:val="18"/>
                <w:lang w:val="fr-FR"/>
              </w:rPr>
              <w:br/>
            </w:r>
            <w:r w:rsidRPr="005E3F9C">
              <w:rPr>
                <w:b/>
                <w:bCs/>
                <w:sz w:val="18"/>
                <w:lang w:val="fr-FR"/>
              </w:rPr>
              <w:t xml:space="preserve">sur les transports intérieurs et de l’adaptation à </w:t>
            </w:r>
            <w:r w:rsidR="0079253C">
              <w:rPr>
                <w:b/>
                <w:bCs/>
                <w:sz w:val="18"/>
                <w:lang w:val="fr-FR"/>
              </w:rPr>
              <w:br/>
            </w:r>
            <w:r w:rsidRPr="005E3F9C">
              <w:rPr>
                <w:b/>
                <w:bCs/>
                <w:sz w:val="18"/>
                <w:lang w:val="fr-FR"/>
              </w:rPr>
              <w:t>ces changements</w:t>
            </w:r>
            <w:r w:rsidRPr="005E3F9C">
              <w:rPr>
                <w:sz w:val="18"/>
                <w:lang w:val="fr-FR"/>
              </w:rPr>
              <w:t xml:space="preserve"> </w:t>
            </w:r>
          </w:p>
        </w:tc>
        <w:tc>
          <w:tcPr>
            <w:tcW w:w="851" w:type="dxa"/>
            <w:shd w:val="clear" w:color="auto" w:fill="auto"/>
            <w:vAlign w:val="bottom"/>
            <w:hideMark/>
          </w:tcPr>
          <w:p w14:paraId="0B95097A" w14:textId="77777777" w:rsidR="007059B1" w:rsidRPr="005E3F9C" w:rsidRDefault="007059B1" w:rsidP="005E3F9C">
            <w:pPr>
              <w:suppressAutoHyphens w:val="0"/>
              <w:spacing w:before="40" w:after="40" w:line="220" w:lineRule="exact"/>
              <w:jc w:val="right"/>
              <w:rPr>
                <w:sz w:val="18"/>
              </w:rPr>
            </w:pPr>
            <w:r w:rsidRPr="005E3F9C">
              <w:rPr>
                <w:sz w:val="18"/>
                <w:lang w:val="fr-FR"/>
              </w:rPr>
              <w:t>8</w:t>
            </w:r>
          </w:p>
        </w:tc>
        <w:tc>
          <w:tcPr>
            <w:tcW w:w="851" w:type="dxa"/>
            <w:shd w:val="clear" w:color="auto" w:fill="auto"/>
            <w:vAlign w:val="bottom"/>
            <w:hideMark/>
          </w:tcPr>
          <w:p w14:paraId="6F9935A1" w14:textId="77777777" w:rsidR="007059B1" w:rsidRPr="005E3F9C" w:rsidRDefault="007059B1" w:rsidP="005E3F9C">
            <w:pPr>
              <w:suppressAutoHyphens w:val="0"/>
              <w:spacing w:before="40" w:after="40" w:line="220" w:lineRule="exact"/>
              <w:jc w:val="right"/>
              <w:rPr>
                <w:sz w:val="18"/>
              </w:rPr>
            </w:pPr>
            <w:r w:rsidRPr="005E3F9C">
              <w:rPr>
                <w:sz w:val="18"/>
                <w:lang w:val="fr-FR"/>
              </w:rPr>
              <w:t>8</w:t>
            </w:r>
          </w:p>
        </w:tc>
        <w:tc>
          <w:tcPr>
            <w:tcW w:w="851" w:type="dxa"/>
            <w:shd w:val="clear" w:color="auto" w:fill="auto"/>
            <w:vAlign w:val="bottom"/>
            <w:hideMark/>
          </w:tcPr>
          <w:p w14:paraId="63AB570D" w14:textId="77777777" w:rsidR="007059B1" w:rsidRPr="005E3F9C" w:rsidRDefault="007059B1" w:rsidP="005E3F9C">
            <w:pPr>
              <w:suppressAutoHyphens w:val="0"/>
              <w:spacing w:before="40" w:after="40" w:line="220" w:lineRule="exact"/>
              <w:jc w:val="right"/>
              <w:rPr>
                <w:sz w:val="18"/>
              </w:rPr>
            </w:pPr>
            <w:r w:rsidRPr="005E3F9C">
              <w:rPr>
                <w:sz w:val="18"/>
                <w:lang w:val="fr-FR"/>
              </w:rPr>
              <w:t>2</w:t>
            </w:r>
          </w:p>
        </w:tc>
        <w:tc>
          <w:tcPr>
            <w:tcW w:w="851" w:type="dxa"/>
            <w:shd w:val="clear" w:color="auto" w:fill="auto"/>
            <w:vAlign w:val="bottom"/>
            <w:hideMark/>
          </w:tcPr>
          <w:p w14:paraId="3F37676A"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shd w:val="clear" w:color="auto" w:fill="auto"/>
            <w:vAlign w:val="bottom"/>
            <w:hideMark/>
          </w:tcPr>
          <w:p w14:paraId="4B87113E" w14:textId="77777777" w:rsidR="007059B1" w:rsidRPr="005E3F9C" w:rsidRDefault="007059B1" w:rsidP="005E3F9C">
            <w:pPr>
              <w:suppressAutoHyphens w:val="0"/>
              <w:spacing w:before="40" w:after="40" w:line="220" w:lineRule="exact"/>
              <w:jc w:val="right"/>
              <w:rPr>
                <w:sz w:val="18"/>
              </w:rPr>
            </w:pPr>
            <w:r w:rsidRPr="005E3F9C">
              <w:rPr>
                <w:sz w:val="18"/>
                <w:lang w:val="fr-FR"/>
              </w:rPr>
              <w:t>100 %</w:t>
            </w:r>
          </w:p>
        </w:tc>
        <w:tc>
          <w:tcPr>
            <w:tcW w:w="851" w:type="dxa"/>
            <w:shd w:val="clear" w:color="auto" w:fill="auto"/>
            <w:vAlign w:val="bottom"/>
            <w:hideMark/>
          </w:tcPr>
          <w:p w14:paraId="17AD5928" w14:textId="77777777" w:rsidR="007059B1" w:rsidRPr="005E3F9C" w:rsidRDefault="007059B1" w:rsidP="005E3F9C">
            <w:pPr>
              <w:suppressAutoHyphens w:val="0"/>
              <w:spacing w:before="40" w:after="40" w:line="220" w:lineRule="exact"/>
              <w:jc w:val="right"/>
              <w:rPr>
                <w:sz w:val="18"/>
              </w:rPr>
            </w:pPr>
            <w:r w:rsidRPr="005E3F9C">
              <w:rPr>
                <w:sz w:val="18"/>
                <w:lang w:val="fr-FR"/>
              </w:rPr>
              <w:t>25 %</w:t>
            </w:r>
          </w:p>
        </w:tc>
        <w:tc>
          <w:tcPr>
            <w:tcW w:w="1134" w:type="dxa"/>
            <w:shd w:val="clear" w:color="auto" w:fill="auto"/>
            <w:vAlign w:val="bottom"/>
            <w:hideMark/>
          </w:tcPr>
          <w:p w14:paraId="70422101"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1134" w:type="dxa"/>
            <w:shd w:val="clear" w:color="auto" w:fill="auto"/>
            <w:vAlign w:val="bottom"/>
            <w:hideMark/>
          </w:tcPr>
          <w:p w14:paraId="33F91C86" w14:textId="77777777" w:rsidR="007059B1" w:rsidRPr="005E3F9C" w:rsidRDefault="007059B1" w:rsidP="005E3F9C">
            <w:pPr>
              <w:suppressAutoHyphens w:val="0"/>
              <w:spacing w:before="40" w:after="40" w:line="220" w:lineRule="exact"/>
              <w:jc w:val="right"/>
              <w:rPr>
                <w:sz w:val="18"/>
              </w:rPr>
            </w:pPr>
            <w:r w:rsidRPr="005E3F9C">
              <w:rPr>
                <w:sz w:val="18"/>
                <w:lang w:val="fr-FR"/>
              </w:rPr>
              <w:t>0 %</w:t>
            </w:r>
          </w:p>
        </w:tc>
      </w:tr>
      <w:tr w:rsidR="005E3F9C" w:rsidRPr="005E3F9C" w14:paraId="35E7BE4E" w14:textId="77777777" w:rsidTr="004255E0">
        <w:tc>
          <w:tcPr>
            <w:tcW w:w="2268" w:type="dxa"/>
            <w:tcBorders>
              <w:bottom w:val="single" w:sz="4" w:space="0" w:color="auto"/>
            </w:tcBorders>
            <w:shd w:val="clear" w:color="auto" w:fill="auto"/>
            <w:hideMark/>
          </w:tcPr>
          <w:p w14:paraId="740A84DE" w14:textId="2C50D2FF" w:rsidR="007059B1" w:rsidRPr="005E3F9C" w:rsidRDefault="007059B1" w:rsidP="005E3F9C">
            <w:pPr>
              <w:suppressAutoHyphens w:val="0"/>
              <w:spacing w:before="40" w:after="40" w:line="220" w:lineRule="exact"/>
              <w:rPr>
                <w:b/>
                <w:bCs/>
                <w:sz w:val="18"/>
              </w:rPr>
            </w:pPr>
            <w:r w:rsidRPr="005E3F9C">
              <w:rPr>
                <w:b/>
                <w:bCs/>
                <w:sz w:val="18"/>
                <w:lang w:val="fr-FR"/>
              </w:rPr>
              <w:t xml:space="preserve">Groupe d’experts des aspects théoriques et techniques </w:t>
            </w:r>
            <w:r w:rsidR="0079253C">
              <w:rPr>
                <w:b/>
                <w:bCs/>
                <w:sz w:val="18"/>
                <w:lang w:val="fr-FR"/>
              </w:rPr>
              <w:br/>
            </w:r>
            <w:r w:rsidRPr="005E3F9C">
              <w:rPr>
                <w:b/>
                <w:bCs/>
                <w:sz w:val="18"/>
                <w:lang w:val="fr-FR"/>
              </w:rPr>
              <w:t xml:space="preserve">de l’informatisation </w:t>
            </w:r>
            <w:r w:rsidR="0079253C">
              <w:rPr>
                <w:b/>
                <w:bCs/>
                <w:sz w:val="18"/>
                <w:lang w:val="fr-FR"/>
              </w:rPr>
              <w:br/>
            </w:r>
            <w:r w:rsidRPr="005E3F9C">
              <w:rPr>
                <w:b/>
                <w:bCs/>
                <w:sz w:val="18"/>
                <w:lang w:val="fr-FR"/>
              </w:rPr>
              <w:t>du régime TIR</w:t>
            </w:r>
          </w:p>
        </w:tc>
        <w:tc>
          <w:tcPr>
            <w:tcW w:w="851" w:type="dxa"/>
            <w:tcBorders>
              <w:bottom w:val="single" w:sz="4" w:space="0" w:color="auto"/>
            </w:tcBorders>
            <w:shd w:val="clear" w:color="auto" w:fill="auto"/>
            <w:vAlign w:val="bottom"/>
            <w:hideMark/>
          </w:tcPr>
          <w:p w14:paraId="52982C43" w14:textId="77777777" w:rsidR="007059B1" w:rsidRPr="005E3F9C" w:rsidRDefault="007059B1" w:rsidP="005E3F9C">
            <w:pPr>
              <w:suppressAutoHyphens w:val="0"/>
              <w:spacing w:before="40" w:after="40" w:line="220" w:lineRule="exact"/>
              <w:jc w:val="right"/>
              <w:rPr>
                <w:sz w:val="18"/>
              </w:rPr>
            </w:pPr>
            <w:r w:rsidRPr="005E3F9C">
              <w:rPr>
                <w:sz w:val="18"/>
                <w:lang w:val="fr-FR"/>
              </w:rPr>
              <w:t>6</w:t>
            </w:r>
          </w:p>
        </w:tc>
        <w:tc>
          <w:tcPr>
            <w:tcW w:w="851" w:type="dxa"/>
            <w:tcBorders>
              <w:bottom w:val="single" w:sz="4" w:space="0" w:color="auto"/>
            </w:tcBorders>
            <w:shd w:val="clear" w:color="auto" w:fill="auto"/>
            <w:vAlign w:val="bottom"/>
            <w:hideMark/>
          </w:tcPr>
          <w:p w14:paraId="32E6EAAC" w14:textId="77777777" w:rsidR="007059B1" w:rsidRPr="005E3F9C" w:rsidRDefault="007059B1" w:rsidP="005E3F9C">
            <w:pPr>
              <w:suppressAutoHyphens w:val="0"/>
              <w:spacing w:before="40" w:after="40" w:line="220" w:lineRule="exact"/>
              <w:jc w:val="right"/>
              <w:rPr>
                <w:sz w:val="18"/>
              </w:rPr>
            </w:pPr>
            <w:r w:rsidRPr="005E3F9C">
              <w:rPr>
                <w:sz w:val="18"/>
                <w:lang w:val="fr-FR"/>
              </w:rPr>
              <w:t>22</w:t>
            </w:r>
          </w:p>
        </w:tc>
        <w:tc>
          <w:tcPr>
            <w:tcW w:w="851" w:type="dxa"/>
            <w:tcBorders>
              <w:bottom w:val="single" w:sz="4" w:space="0" w:color="auto"/>
            </w:tcBorders>
            <w:shd w:val="clear" w:color="auto" w:fill="auto"/>
            <w:vAlign w:val="bottom"/>
            <w:hideMark/>
          </w:tcPr>
          <w:p w14:paraId="5FC58447" w14:textId="77777777" w:rsidR="007059B1" w:rsidRPr="005E3F9C" w:rsidRDefault="007059B1" w:rsidP="005E3F9C">
            <w:pPr>
              <w:suppressAutoHyphens w:val="0"/>
              <w:spacing w:before="40" w:after="40" w:line="220" w:lineRule="exact"/>
              <w:jc w:val="right"/>
              <w:rPr>
                <w:sz w:val="18"/>
              </w:rPr>
            </w:pPr>
            <w:r w:rsidRPr="005E3F9C">
              <w:rPr>
                <w:sz w:val="18"/>
                <w:lang w:val="fr-FR"/>
              </w:rPr>
              <w:t>17</w:t>
            </w:r>
          </w:p>
        </w:tc>
        <w:tc>
          <w:tcPr>
            <w:tcW w:w="851" w:type="dxa"/>
            <w:tcBorders>
              <w:bottom w:val="single" w:sz="4" w:space="0" w:color="auto"/>
            </w:tcBorders>
            <w:shd w:val="clear" w:color="auto" w:fill="auto"/>
            <w:vAlign w:val="bottom"/>
            <w:hideMark/>
          </w:tcPr>
          <w:p w14:paraId="37706FAF" w14:textId="77777777" w:rsidR="007059B1" w:rsidRPr="005E3F9C" w:rsidRDefault="007059B1" w:rsidP="005E3F9C">
            <w:pPr>
              <w:suppressAutoHyphens w:val="0"/>
              <w:spacing w:before="40" w:after="40" w:line="220" w:lineRule="exact"/>
              <w:jc w:val="right"/>
              <w:rPr>
                <w:sz w:val="18"/>
              </w:rPr>
            </w:pPr>
            <w:r w:rsidRPr="005E3F9C">
              <w:rPr>
                <w:sz w:val="18"/>
                <w:lang w:val="fr-FR"/>
              </w:rPr>
              <w:t>5</w:t>
            </w:r>
          </w:p>
        </w:tc>
        <w:tc>
          <w:tcPr>
            <w:tcW w:w="851" w:type="dxa"/>
            <w:tcBorders>
              <w:bottom w:val="single" w:sz="4" w:space="0" w:color="auto"/>
            </w:tcBorders>
            <w:shd w:val="clear" w:color="auto" w:fill="auto"/>
            <w:vAlign w:val="bottom"/>
            <w:hideMark/>
          </w:tcPr>
          <w:p w14:paraId="6F7968E2" w14:textId="77777777" w:rsidR="007059B1" w:rsidRPr="005E3F9C" w:rsidRDefault="007059B1" w:rsidP="005E3F9C">
            <w:pPr>
              <w:suppressAutoHyphens w:val="0"/>
              <w:spacing w:before="40" w:after="40" w:line="220" w:lineRule="exact"/>
              <w:jc w:val="right"/>
              <w:rPr>
                <w:sz w:val="18"/>
              </w:rPr>
            </w:pPr>
            <w:r w:rsidRPr="005E3F9C">
              <w:rPr>
                <w:sz w:val="18"/>
                <w:lang w:val="fr-FR"/>
              </w:rPr>
              <w:t>367 %</w:t>
            </w:r>
          </w:p>
        </w:tc>
        <w:tc>
          <w:tcPr>
            <w:tcW w:w="851" w:type="dxa"/>
            <w:tcBorders>
              <w:bottom w:val="single" w:sz="4" w:space="0" w:color="auto"/>
            </w:tcBorders>
            <w:shd w:val="clear" w:color="auto" w:fill="auto"/>
            <w:vAlign w:val="bottom"/>
            <w:hideMark/>
          </w:tcPr>
          <w:p w14:paraId="1FB99DEA" w14:textId="77777777" w:rsidR="007059B1" w:rsidRPr="005E3F9C" w:rsidRDefault="007059B1" w:rsidP="005E3F9C">
            <w:pPr>
              <w:suppressAutoHyphens w:val="0"/>
              <w:spacing w:before="40" w:after="40" w:line="220" w:lineRule="exact"/>
              <w:jc w:val="right"/>
              <w:rPr>
                <w:sz w:val="18"/>
              </w:rPr>
            </w:pPr>
            <w:r w:rsidRPr="005E3F9C">
              <w:rPr>
                <w:sz w:val="18"/>
                <w:lang w:val="fr-FR"/>
              </w:rPr>
              <w:t>283 %</w:t>
            </w:r>
          </w:p>
        </w:tc>
        <w:tc>
          <w:tcPr>
            <w:tcW w:w="1134" w:type="dxa"/>
            <w:tcBorders>
              <w:bottom w:val="single" w:sz="4" w:space="0" w:color="auto"/>
            </w:tcBorders>
            <w:shd w:val="clear" w:color="auto" w:fill="auto"/>
            <w:vAlign w:val="bottom"/>
            <w:hideMark/>
          </w:tcPr>
          <w:p w14:paraId="2EEBDE92" w14:textId="77777777" w:rsidR="007059B1" w:rsidRPr="005E3F9C" w:rsidRDefault="007059B1" w:rsidP="005E3F9C">
            <w:pPr>
              <w:suppressAutoHyphens w:val="0"/>
              <w:spacing w:before="40" w:after="40" w:line="220" w:lineRule="exact"/>
              <w:jc w:val="right"/>
              <w:rPr>
                <w:sz w:val="18"/>
              </w:rPr>
            </w:pPr>
            <w:r w:rsidRPr="005E3F9C">
              <w:rPr>
                <w:sz w:val="18"/>
                <w:lang w:val="fr-FR"/>
              </w:rPr>
              <w:t>0</w:t>
            </w:r>
          </w:p>
        </w:tc>
        <w:tc>
          <w:tcPr>
            <w:tcW w:w="1134" w:type="dxa"/>
            <w:tcBorders>
              <w:bottom w:val="single" w:sz="4" w:space="0" w:color="auto"/>
            </w:tcBorders>
            <w:shd w:val="clear" w:color="auto" w:fill="auto"/>
            <w:vAlign w:val="bottom"/>
            <w:hideMark/>
          </w:tcPr>
          <w:p w14:paraId="29C6423C" w14:textId="77777777" w:rsidR="007059B1" w:rsidRPr="005E3F9C" w:rsidRDefault="007059B1" w:rsidP="005E3F9C">
            <w:pPr>
              <w:suppressAutoHyphens w:val="0"/>
              <w:spacing w:before="40" w:after="40" w:line="220" w:lineRule="exact"/>
              <w:jc w:val="right"/>
              <w:rPr>
                <w:sz w:val="18"/>
              </w:rPr>
            </w:pPr>
            <w:r w:rsidRPr="005E3F9C">
              <w:rPr>
                <w:sz w:val="18"/>
                <w:lang w:val="fr-FR"/>
              </w:rPr>
              <w:t>0 %</w:t>
            </w:r>
          </w:p>
        </w:tc>
      </w:tr>
      <w:tr w:rsidR="005E3F9C" w:rsidRPr="005E3F9C" w14:paraId="040A9C64" w14:textId="77777777" w:rsidTr="004255E0">
        <w:tc>
          <w:tcPr>
            <w:tcW w:w="2268" w:type="dxa"/>
            <w:tcBorders>
              <w:top w:val="single" w:sz="4" w:space="0" w:color="auto"/>
              <w:bottom w:val="single" w:sz="12" w:space="0" w:color="auto"/>
            </w:tcBorders>
            <w:shd w:val="clear" w:color="auto" w:fill="auto"/>
            <w:hideMark/>
          </w:tcPr>
          <w:p w14:paraId="167C8D41" w14:textId="77777777" w:rsidR="007059B1" w:rsidRPr="005E3F9C" w:rsidRDefault="007059B1" w:rsidP="004255E0">
            <w:pPr>
              <w:suppressAutoHyphens w:val="0"/>
              <w:spacing w:before="80" w:after="80" w:line="220" w:lineRule="exact"/>
              <w:ind w:firstLine="227"/>
              <w:rPr>
                <w:b/>
                <w:bCs/>
                <w:sz w:val="18"/>
              </w:rPr>
            </w:pPr>
            <w:r w:rsidRPr="005E3F9C">
              <w:rPr>
                <w:b/>
                <w:bCs/>
                <w:sz w:val="18"/>
                <w:lang w:val="fr-FR"/>
              </w:rPr>
              <w:t>Total</w:t>
            </w:r>
          </w:p>
        </w:tc>
        <w:tc>
          <w:tcPr>
            <w:tcW w:w="851" w:type="dxa"/>
            <w:tcBorders>
              <w:top w:val="single" w:sz="4" w:space="0" w:color="auto"/>
              <w:bottom w:val="single" w:sz="12" w:space="0" w:color="auto"/>
            </w:tcBorders>
            <w:shd w:val="clear" w:color="auto" w:fill="auto"/>
            <w:noWrap/>
            <w:vAlign w:val="bottom"/>
            <w:hideMark/>
          </w:tcPr>
          <w:p w14:paraId="4343C510" w14:textId="77777777" w:rsidR="007059B1" w:rsidRPr="005E3F9C" w:rsidRDefault="007059B1" w:rsidP="004255E0">
            <w:pPr>
              <w:suppressAutoHyphens w:val="0"/>
              <w:spacing w:before="80" w:after="80" w:line="220" w:lineRule="exact"/>
              <w:jc w:val="right"/>
              <w:rPr>
                <w:b/>
                <w:bCs/>
                <w:sz w:val="18"/>
              </w:rPr>
            </w:pPr>
            <w:r w:rsidRPr="005E3F9C">
              <w:rPr>
                <w:b/>
                <w:bCs/>
                <w:sz w:val="18"/>
                <w:lang w:val="fr-FR"/>
              </w:rPr>
              <w:t>67</w:t>
            </w:r>
          </w:p>
        </w:tc>
        <w:tc>
          <w:tcPr>
            <w:tcW w:w="851" w:type="dxa"/>
            <w:tcBorders>
              <w:top w:val="single" w:sz="4" w:space="0" w:color="auto"/>
              <w:bottom w:val="single" w:sz="12" w:space="0" w:color="auto"/>
            </w:tcBorders>
            <w:shd w:val="clear" w:color="auto" w:fill="auto"/>
            <w:noWrap/>
            <w:vAlign w:val="bottom"/>
            <w:hideMark/>
          </w:tcPr>
          <w:p w14:paraId="19EBD779" w14:textId="77777777" w:rsidR="007059B1" w:rsidRPr="005E3F9C" w:rsidRDefault="007059B1" w:rsidP="004255E0">
            <w:pPr>
              <w:suppressAutoHyphens w:val="0"/>
              <w:spacing w:before="80" w:after="80" w:line="220" w:lineRule="exact"/>
              <w:jc w:val="right"/>
              <w:rPr>
                <w:b/>
                <w:bCs/>
                <w:sz w:val="18"/>
              </w:rPr>
            </w:pPr>
            <w:r w:rsidRPr="005E3F9C">
              <w:rPr>
                <w:b/>
                <w:bCs/>
                <w:sz w:val="18"/>
                <w:lang w:val="fr-FR"/>
              </w:rPr>
              <w:t>70</w:t>
            </w:r>
          </w:p>
        </w:tc>
        <w:tc>
          <w:tcPr>
            <w:tcW w:w="851" w:type="dxa"/>
            <w:tcBorders>
              <w:top w:val="single" w:sz="4" w:space="0" w:color="auto"/>
              <w:bottom w:val="single" w:sz="12" w:space="0" w:color="auto"/>
            </w:tcBorders>
            <w:shd w:val="clear" w:color="auto" w:fill="auto"/>
            <w:noWrap/>
            <w:vAlign w:val="bottom"/>
            <w:hideMark/>
          </w:tcPr>
          <w:p w14:paraId="07B5FC93" w14:textId="77777777" w:rsidR="007059B1" w:rsidRPr="005E3F9C" w:rsidRDefault="007059B1" w:rsidP="004255E0">
            <w:pPr>
              <w:suppressAutoHyphens w:val="0"/>
              <w:spacing w:before="80" w:after="80" w:line="220" w:lineRule="exact"/>
              <w:jc w:val="right"/>
              <w:rPr>
                <w:b/>
                <w:bCs/>
                <w:sz w:val="18"/>
              </w:rPr>
            </w:pPr>
            <w:r w:rsidRPr="005E3F9C">
              <w:rPr>
                <w:b/>
                <w:bCs/>
                <w:sz w:val="18"/>
                <w:lang w:val="fr-FR"/>
              </w:rPr>
              <w:t>57</w:t>
            </w:r>
          </w:p>
        </w:tc>
        <w:tc>
          <w:tcPr>
            <w:tcW w:w="851" w:type="dxa"/>
            <w:tcBorders>
              <w:top w:val="single" w:sz="4" w:space="0" w:color="auto"/>
              <w:bottom w:val="single" w:sz="12" w:space="0" w:color="auto"/>
            </w:tcBorders>
            <w:shd w:val="clear" w:color="auto" w:fill="auto"/>
            <w:noWrap/>
            <w:vAlign w:val="bottom"/>
            <w:hideMark/>
          </w:tcPr>
          <w:p w14:paraId="6BA74F0B" w14:textId="77777777" w:rsidR="007059B1" w:rsidRPr="005E3F9C" w:rsidRDefault="007059B1" w:rsidP="004255E0">
            <w:pPr>
              <w:suppressAutoHyphens w:val="0"/>
              <w:spacing w:before="80" w:after="80" w:line="220" w:lineRule="exact"/>
              <w:jc w:val="right"/>
              <w:rPr>
                <w:b/>
                <w:bCs/>
                <w:sz w:val="18"/>
              </w:rPr>
            </w:pPr>
            <w:r w:rsidRPr="005E3F9C">
              <w:rPr>
                <w:b/>
                <w:bCs/>
                <w:sz w:val="18"/>
                <w:lang w:val="fr-FR"/>
              </w:rPr>
              <w:t>11</w:t>
            </w:r>
          </w:p>
        </w:tc>
        <w:tc>
          <w:tcPr>
            <w:tcW w:w="851" w:type="dxa"/>
            <w:tcBorders>
              <w:top w:val="single" w:sz="4" w:space="0" w:color="auto"/>
              <w:bottom w:val="single" w:sz="12" w:space="0" w:color="auto"/>
            </w:tcBorders>
            <w:shd w:val="clear" w:color="auto" w:fill="auto"/>
            <w:vAlign w:val="bottom"/>
            <w:hideMark/>
          </w:tcPr>
          <w:p w14:paraId="0C904951" w14:textId="77777777" w:rsidR="007059B1" w:rsidRPr="005E3F9C" w:rsidRDefault="007059B1" w:rsidP="004255E0">
            <w:pPr>
              <w:suppressAutoHyphens w:val="0"/>
              <w:spacing w:before="80" w:after="80" w:line="220" w:lineRule="exact"/>
              <w:jc w:val="right"/>
              <w:rPr>
                <w:b/>
                <w:bCs/>
                <w:sz w:val="18"/>
              </w:rPr>
            </w:pPr>
            <w:r w:rsidRPr="005E3F9C">
              <w:rPr>
                <w:b/>
                <w:bCs/>
                <w:sz w:val="18"/>
                <w:lang w:val="fr-FR"/>
              </w:rPr>
              <w:t>104 %</w:t>
            </w:r>
          </w:p>
        </w:tc>
        <w:tc>
          <w:tcPr>
            <w:tcW w:w="851" w:type="dxa"/>
            <w:tcBorders>
              <w:top w:val="single" w:sz="4" w:space="0" w:color="auto"/>
              <w:bottom w:val="single" w:sz="12" w:space="0" w:color="auto"/>
            </w:tcBorders>
            <w:shd w:val="clear" w:color="auto" w:fill="auto"/>
            <w:vAlign w:val="bottom"/>
            <w:hideMark/>
          </w:tcPr>
          <w:p w14:paraId="165966B2" w14:textId="77777777" w:rsidR="007059B1" w:rsidRPr="005E3F9C" w:rsidRDefault="007059B1" w:rsidP="004255E0">
            <w:pPr>
              <w:suppressAutoHyphens w:val="0"/>
              <w:spacing w:before="80" w:after="80" w:line="220" w:lineRule="exact"/>
              <w:jc w:val="right"/>
              <w:rPr>
                <w:b/>
                <w:bCs/>
                <w:sz w:val="18"/>
              </w:rPr>
            </w:pPr>
            <w:r w:rsidRPr="005E3F9C">
              <w:rPr>
                <w:b/>
                <w:bCs/>
                <w:sz w:val="18"/>
                <w:lang w:val="fr-FR"/>
              </w:rPr>
              <w:t>85 %</w:t>
            </w:r>
          </w:p>
        </w:tc>
        <w:tc>
          <w:tcPr>
            <w:tcW w:w="1134" w:type="dxa"/>
            <w:tcBorders>
              <w:top w:val="single" w:sz="4" w:space="0" w:color="auto"/>
              <w:bottom w:val="single" w:sz="12" w:space="0" w:color="auto"/>
            </w:tcBorders>
            <w:shd w:val="clear" w:color="auto" w:fill="auto"/>
            <w:noWrap/>
            <w:vAlign w:val="bottom"/>
            <w:hideMark/>
          </w:tcPr>
          <w:p w14:paraId="7EC56BF7" w14:textId="77777777" w:rsidR="007059B1" w:rsidRPr="005E3F9C" w:rsidRDefault="007059B1" w:rsidP="004255E0">
            <w:pPr>
              <w:suppressAutoHyphens w:val="0"/>
              <w:spacing w:before="80" w:after="80" w:line="220" w:lineRule="exact"/>
              <w:jc w:val="right"/>
              <w:rPr>
                <w:b/>
                <w:bCs/>
                <w:sz w:val="18"/>
              </w:rPr>
            </w:pPr>
            <w:r w:rsidRPr="005E3F9C">
              <w:rPr>
                <w:b/>
                <w:bCs/>
                <w:sz w:val="18"/>
                <w:lang w:val="fr-FR"/>
              </w:rPr>
              <w:t>17</w:t>
            </w:r>
          </w:p>
        </w:tc>
        <w:tc>
          <w:tcPr>
            <w:tcW w:w="1134" w:type="dxa"/>
            <w:tcBorders>
              <w:top w:val="single" w:sz="4" w:space="0" w:color="auto"/>
              <w:bottom w:val="single" w:sz="12" w:space="0" w:color="auto"/>
            </w:tcBorders>
            <w:shd w:val="clear" w:color="auto" w:fill="auto"/>
            <w:vAlign w:val="bottom"/>
            <w:hideMark/>
          </w:tcPr>
          <w:p w14:paraId="76CBD07F" w14:textId="77777777" w:rsidR="007059B1" w:rsidRPr="005E3F9C" w:rsidRDefault="007059B1" w:rsidP="004255E0">
            <w:pPr>
              <w:suppressAutoHyphens w:val="0"/>
              <w:spacing w:before="80" w:after="80" w:line="220" w:lineRule="exact"/>
              <w:jc w:val="right"/>
              <w:rPr>
                <w:b/>
                <w:bCs/>
                <w:sz w:val="18"/>
              </w:rPr>
            </w:pPr>
            <w:r w:rsidRPr="005E3F9C">
              <w:rPr>
                <w:b/>
                <w:bCs/>
                <w:sz w:val="18"/>
                <w:lang w:val="fr-FR"/>
              </w:rPr>
              <w:t>30 %</w:t>
            </w:r>
          </w:p>
        </w:tc>
      </w:tr>
    </w:tbl>
    <w:p w14:paraId="261E4C5F" w14:textId="33BB57A1" w:rsidR="007059B1" w:rsidRPr="007059B1" w:rsidRDefault="004255E0" w:rsidP="004255E0">
      <w:pPr>
        <w:pStyle w:val="H1G"/>
      </w:pPr>
      <w:r>
        <w:rPr>
          <w:lang w:val="fr-FR"/>
        </w:rPr>
        <w:tab/>
      </w:r>
      <w:r w:rsidR="007059B1" w:rsidRPr="007059B1">
        <w:rPr>
          <w:lang w:val="fr-FR"/>
        </w:rPr>
        <w:t>B.</w:t>
      </w:r>
      <w:r w:rsidR="007059B1" w:rsidRPr="007059B1">
        <w:rPr>
          <w:lang w:val="fr-FR"/>
        </w:rPr>
        <w:tab/>
        <w:t>Conséquences sur les documents</w:t>
      </w:r>
    </w:p>
    <w:p w14:paraId="73649A25" w14:textId="0BE69457" w:rsidR="007059B1" w:rsidRPr="007059B1" w:rsidRDefault="007059B1" w:rsidP="00E925E7">
      <w:pPr>
        <w:pStyle w:val="SingleTxtG"/>
      </w:pPr>
      <w:r w:rsidRPr="007059B1">
        <w:rPr>
          <w:lang w:val="fr-FR"/>
        </w:rPr>
        <w:t>21.</w:t>
      </w:r>
      <w:r w:rsidRPr="007059B1">
        <w:rPr>
          <w:lang w:val="fr-FR"/>
        </w:rPr>
        <w:tab/>
        <w:t>Au moment de la rédaction de la présente note, on estime que les effets conjugués de la COVID-19 et de la crise de liquidités sur la production de documents seront nettement moins importants qu’en 2020. Selon les prévisions, 93</w:t>
      </w:r>
      <w:r w:rsidR="0079253C">
        <w:rPr>
          <w:lang w:val="fr-FR"/>
        </w:rPr>
        <w:t> </w:t>
      </w:r>
      <w:r w:rsidRPr="007059B1">
        <w:rPr>
          <w:lang w:val="fr-FR"/>
        </w:rPr>
        <w:t>% des documents prévus devraient être produits en 2021 (voir tableau</w:t>
      </w:r>
      <w:r w:rsidR="0079253C">
        <w:rPr>
          <w:lang w:val="fr-FR"/>
        </w:rPr>
        <w:t> </w:t>
      </w:r>
      <w:r w:rsidRPr="007059B1">
        <w:rPr>
          <w:lang w:val="fr-FR"/>
        </w:rPr>
        <w:t>3). À titre de comparaison, en 2020, le taux de production était inférieur à 70</w:t>
      </w:r>
      <w:r w:rsidR="0079253C">
        <w:rPr>
          <w:lang w:val="fr-FR"/>
        </w:rPr>
        <w:t> </w:t>
      </w:r>
      <w:r w:rsidRPr="007059B1">
        <w:rPr>
          <w:lang w:val="fr-FR"/>
        </w:rPr>
        <w:t>%.</w:t>
      </w:r>
    </w:p>
    <w:p w14:paraId="77DF6CED" w14:textId="4A0C626B" w:rsidR="007059B1" w:rsidRPr="007059B1" w:rsidRDefault="007059B1" w:rsidP="004255E0">
      <w:pPr>
        <w:pStyle w:val="Titre1"/>
        <w:spacing w:after="120"/>
        <w:ind w:left="113"/>
      </w:pPr>
      <w:r w:rsidRPr="007059B1">
        <w:rPr>
          <w:lang w:val="fr-FR"/>
        </w:rPr>
        <w:t xml:space="preserve">Tableau 3 </w:t>
      </w:r>
      <w:r w:rsidR="004255E0">
        <w:rPr>
          <w:lang w:val="fr-FR"/>
        </w:rPr>
        <w:br/>
      </w:r>
      <w:r w:rsidRPr="007059B1">
        <w:rPr>
          <w:b/>
          <w:bCs/>
          <w:lang w:val="fr-FR"/>
        </w:rPr>
        <w:t>Conséquences de la COVID-19 et de la crise de liquidités sur les documents du sous-programme Transports</w:t>
      </w:r>
    </w:p>
    <w:tbl>
      <w:tblPr>
        <w:tblW w:w="9639" w:type="dxa"/>
        <w:tblLayout w:type="fixed"/>
        <w:tblCellMar>
          <w:left w:w="0" w:type="dxa"/>
          <w:right w:w="0" w:type="dxa"/>
        </w:tblCellMar>
        <w:tblLook w:val="04A0" w:firstRow="1" w:lastRow="0" w:firstColumn="1" w:lastColumn="0" w:noHBand="0" w:noVBand="1"/>
      </w:tblPr>
      <w:tblGrid>
        <w:gridCol w:w="6211"/>
        <w:gridCol w:w="939"/>
        <w:gridCol w:w="909"/>
        <w:gridCol w:w="1580"/>
      </w:tblGrid>
      <w:tr w:rsidR="007059B1" w:rsidRPr="004255E0" w14:paraId="18C8D11B" w14:textId="77777777" w:rsidTr="004255E0">
        <w:trPr>
          <w:tblHeader/>
        </w:trPr>
        <w:tc>
          <w:tcPr>
            <w:tcW w:w="6209" w:type="dxa"/>
            <w:tcBorders>
              <w:top w:val="single" w:sz="4" w:space="0" w:color="auto"/>
              <w:bottom w:val="single" w:sz="12" w:space="0" w:color="auto"/>
            </w:tcBorders>
            <w:shd w:val="clear" w:color="auto" w:fill="auto"/>
            <w:vAlign w:val="bottom"/>
            <w:hideMark/>
          </w:tcPr>
          <w:p w14:paraId="5162B5CF" w14:textId="77777777" w:rsidR="007059B1" w:rsidRPr="004255E0" w:rsidRDefault="007059B1" w:rsidP="004255E0">
            <w:pPr>
              <w:suppressAutoHyphens w:val="0"/>
              <w:spacing w:before="80" w:after="80" w:line="200" w:lineRule="exact"/>
              <w:rPr>
                <w:i/>
                <w:sz w:val="16"/>
                <w:lang w:eastAsia="zh-CN"/>
              </w:rPr>
            </w:pPr>
            <w:r w:rsidRPr="004255E0">
              <w:rPr>
                <w:i/>
                <w:sz w:val="16"/>
                <w:lang w:eastAsia="zh-CN"/>
              </w:rPr>
              <w:t> </w:t>
            </w:r>
          </w:p>
        </w:tc>
        <w:tc>
          <w:tcPr>
            <w:tcW w:w="939" w:type="dxa"/>
            <w:tcBorders>
              <w:top w:val="single" w:sz="4" w:space="0" w:color="auto"/>
              <w:bottom w:val="single" w:sz="12" w:space="0" w:color="auto"/>
            </w:tcBorders>
            <w:shd w:val="clear" w:color="auto" w:fill="auto"/>
            <w:vAlign w:val="bottom"/>
            <w:hideMark/>
          </w:tcPr>
          <w:p w14:paraId="52E5ADD3" w14:textId="04C27E82" w:rsidR="007059B1" w:rsidRPr="004255E0" w:rsidRDefault="007059B1" w:rsidP="004255E0">
            <w:pPr>
              <w:suppressAutoHyphens w:val="0"/>
              <w:spacing w:before="80" w:after="80" w:line="200" w:lineRule="exact"/>
              <w:jc w:val="right"/>
              <w:rPr>
                <w:bCs/>
                <w:i/>
                <w:sz w:val="16"/>
              </w:rPr>
            </w:pPr>
            <w:r w:rsidRPr="004255E0">
              <w:rPr>
                <w:i/>
                <w:sz w:val="16"/>
                <w:lang w:val="fr-FR"/>
              </w:rPr>
              <w:t xml:space="preserve">Documents prévus </w:t>
            </w:r>
            <w:r w:rsidR="005561AE">
              <w:rPr>
                <w:i/>
                <w:sz w:val="16"/>
                <w:lang w:val="fr-FR"/>
              </w:rPr>
              <w:br/>
            </w:r>
            <w:r w:rsidRPr="004255E0">
              <w:rPr>
                <w:i/>
                <w:sz w:val="16"/>
                <w:lang w:val="fr-FR"/>
              </w:rPr>
              <w:t>en 2021</w:t>
            </w:r>
            <w:r w:rsidRPr="004255E0">
              <w:rPr>
                <w:i/>
                <w:sz w:val="16"/>
                <w:lang w:val="fr-FR"/>
              </w:rPr>
              <w:br/>
              <w:t>(a)</w:t>
            </w:r>
          </w:p>
        </w:tc>
        <w:tc>
          <w:tcPr>
            <w:tcW w:w="909" w:type="dxa"/>
            <w:tcBorders>
              <w:top w:val="single" w:sz="4" w:space="0" w:color="auto"/>
              <w:bottom w:val="single" w:sz="12" w:space="0" w:color="auto"/>
            </w:tcBorders>
            <w:shd w:val="clear" w:color="auto" w:fill="auto"/>
            <w:vAlign w:val="bottom"/>
            <w:hideMark/>
          </w:tcPr>
          <w:p w14:paraId="504A5982" w14:textId="347C051D" w:rsidR="007059B1" w:rsidRPr="004255E0" w:rsidRDefault="007059B1" w:rsidP="004255E0">
            <w:pPr>
              <w:suppressAutoHyphens w:val="0"/>
              <w:spacing w:before="80" w:after="80" w:line="200" w:lineRule="exact"/>
              <w:jc w:val="right"/>
              <w:rPr>
                <w:bCs/>
                <w:i/>
                <w:sz w:val="16"/>
              </w:rPr>
            </w:pPr>
            <w:r w:rsidRPr="004255E0">
              <w:rPr>
                <w:i/>
                <w:sz w:val="16"/>
                <w:lang w:val="fr-FR"/>
              </w:rPr>
              <w:t xml:space="preserve">Documents produits </w:t>
            </w:r>
            <w:r w:rsidR="005561AE">
              <w:rPr>
                <w:i/>
                <w:sz w:val="16"/>
                <w:lang w:val="fr-FR"/>
              </w:rPr>
              <w:br/>
            </w:r>
            <w:r w:rsidRPr="004255E0">
              <w:rPr>
                <w:i/>
                <w:sz w:val="16"/>
                <w:lang w:val="fr-FR"/>
              </w:rPr>
              <w:t xml:space="preserve">en 2021 (estimation) </w:t>
            </w:r>
            <w:r w:rsidRPr="004255E0">
              <w:rPr>
                <w:i/>
                <w:sz w:val="16"/>
                <w:lang w:val="fr-FR"/>
              </w:rPr>
              <w:br/>
              <w:t>(b)</w:t>
            </w:r>
          </w:p>
        </w:tc>
        <w:tc>
          <w:tcPr>
            <w:tcW w:w="1580" w:type="dxa"/>
            <w:tcBorders>
              <w:top w:val="single" w:sz="4" w:space="0" w:color="auto"/>
              <w:bottom w:val="single" w:sz="12" w:space="0" w:color="auto"/>
            </w:tcBorders>
            <w:shd w:val="clear" w:color="auto" w:fill="auto"/>
            <w:vAlign w:val="bottom"/>
            <w:hideMark/>
          </w:tcPr>
          <w:p w14:paraId="4F58B29B" w14:textId="5F240AE3" w:rsidR="007059B1" w:rsidRPr="005561AE" w:rsidRDefault="007059B1" w:rsidP="004255E0">
            <w:pPr>
              <w:suppressAutoHyphens w:val="0"/>
              <w:spacing w:before="80" w:after="80" w:line="200" w:lineRule="exact"/>
              <w:jc w:val="right"/>
              <w:rPr>
                <w:i/>
                <w:sz w:val="16"/>
                <w:lang w:val="fr-FR"/>
              </w:rPr>
            </w:pPr>
            <w:r w:rsidRPr="004255E0">
              <w:rPr>
                <w:i/>
                <w:sz w:val="16"/>
                <w:lang w:val="fr-FR"/>
              </w:rPr>
              <w:t xml:space="preserve">Production </w:t>
            </w:r>
            <w:r w:rsidR="005561AE">
              <w:rPr>
                <w:i/>
                <w:sz w:val="16"/>
                <w:lang w:val="fr-FR"/>
              </w:rPr>
              <w:br/>
            </w:r>
            <w:r w:rsidRPr="004255E0">
              <w:rPr>
                <w:i/>
                <w:sz w:val="16"/>
                <w:lang w:val="fr-FR"/>
              </w:rPr>
              <w:t xml:space="preserve">de documents </w:t>
            </w:r>
            <w:r w:rsidRPr="004255E0">
              <w:rPr>
                <w:i/>
                <w:sz w:val="16"/>
                <w:lang w:val="fr-FR"/>
              </w:rPr>
              <w:br/>
              <w:t xml:space="preserve">(b)/(a) </w:t>
            </w:r>
          </w:p>
        </w:tc>
      </w:tr>
      <w:tr w:rsidR="007059B1" w:rsidRPr="004255E0" w14:paraId="0848D94D" w14:textId="77777777" w:rsidTr="004255E0">
        <w:tc>
          <w:tcPr>
            <w:tcW w:w="6209" w:type="dxa"/>
            <w:tcBorders>
              <w:top w:val="single" w:sz="12" w:space="0" w:color="auto"/>
            </w:tcBorders>
            <w:shd w:val="clear" w:color="auto" w:fill="auto"/>
            <w:noWrap/>
            <w:hideMark/>
          </w:tcPr>
          <w:p w14:paraId="6B0AC8C1" w14:textId="446F982E" w:rsidR="007059B1" w:rsidRPr="004255E0" w:rsidRDefault="007059B1" w:rsidP="004255E0">
            <w:pPr>
              <w:suppressAutoHyphens w:val="0"/>
              <w:spacing w:before="40" w:after="40" w:line="220" w:lineRule="exact"/>
              <w:ind w:left="227" w:hanging="227"/>
              <w:rPr>
                <w:b/>
                <w:bCs/>
                <w:sz w:val="18"/>
                <w:szCs w:val="18"/>
              </w:rPr>
            </w:pPr>
            <w:r w:rsidRPr="004255E0">
              <w:rPr>
                <w:b/>
                <w:bCs/>
                <w:sz w:val="18"/>
                <w:lang w:val="fr-FR"/>
              </w:rPr>
              <w:t>A.</w:t>
            </w:r>
            <w:r w:rsidR="004255E0">
              <w:rPr>
                <w:b/>
                <w:bCs/>
                <w:sz w:val="18"/>
                <w:lang w:val="fr-FR"/>
              </w:rPr>
              <w:tab/>
            </w:r>
            <w:r w:rsidRPr="004255E0">
              <w:rPr>
                <w:b/>
                <w:bCs/>
                <w:sz w:val="18"/>
                <w:lang w:val="fr-FR"/>
              </w:rPr>
              <w:t xml:space="preserve">Facilitation des travaux des organes </w:t>
            </w:r>
            <w:proofErr w:type="spellStart"/>
            <w:r w:rsidRPr="004255E0">
              <w:rPr>
                <w:b/>
                <w:bCs/>
                <w:sz w:val="18"/>
                <w:lang w:val="fr-FR"/>
              </w:rPr>
              <w:t>intergouvernementaux</w:t>
            </w:r>
            <w:proofErr w:type="spellEnd"/>
            <w:r w:rsidRPr="004255E0">
              <w:rPr>
                <w:b/>
                <w:bCs/>
                <w:sz w:val="18"/>
                <w:lang w:val="fr-FR"/>
              </w:rPr>
              <w:t xml:space="preserve"> et des organes d’experts</w:t>
            </w:r>
          </w:p>
        </w:tc>
        <w:tc>
          <w:tcPr>
            <w:tcW w:w="939" w:type="dxa"/>
            <w:tcBorders>
              <w:top w:val="single" w:sz="12" w:space="0" w:color="auto"/>
            </w:tcBorders>
            <w:shd w:val="clear" w:color="auto" w:fill="auto"/>
            <w:vAlign w:val="bottom"/>
            <w:hideMark/>
          </w:tcPr>
          <w:p w14:paraId="17C48D0D" w14:textId="77777777" w:rsidR="007059B1" w:rsidRPr="004255E0" w:rsidRDefault="007059B1" w:rsidP="004255E0">
            <w:pPr>
              <w:suppressAutoHyphens w:val="0"/>
              <w:spacing w:before="40" w:after="40" w:line="220" w:lineRule="exact"/>
              <w:jc w:val="right"/>
              <w:rPr>
                <w:b/>
                <w:bCs/>
                <w:sz w:val="18"/>
                <w:szCs w:val="18"/>
                <w:lang w:eastAsia="zh-CN"/>
              </w:rPr>
            </w:pPr>
          </w:p>
        </w:tc>
        <w:tc>
          <w:tcPr>
            <w:tcW w:w="909" w:type="dxa"/>
            <w:tcBorders>
              <w:top w:val="single" w:sz="12" w:space="0" w:color="auto"/>
            </w:tcBorders>
            <w:shd w:val="clear" w:color="auto" w:fill="auto"/>
            <w:vAlign w:val="bottom"/>
            <w:hideMark/>
          </w:tcPr>
          <w:p w14:paraId="6A63E5CA" w14:textId="77777777" w:rsidR="007059B1" w:rsidRPr="004255E0" w:rsidRDefault="007059B1" w:rsidP="004255E0">
            <w:pPr>
              <w:suppressAutoHyphens w:val="0"/>
              <w:spacing w:before="40" w:after="40" w:line="220" w:lineRule="exact"/>
              <w:jc w:val="right"/>
              <w:rPr>
                <w:sz w:val="18"/>
                <w:lang w:eastAsia="zh-CN"/>
              </w:rPr>
            </w:pPr>
          </w:p>
        </w:tc>
        <w:tc>
          <w:tcPr>
            <w:tcW w:w="1580" w:type="dxa"/>
            <w:tcBorders>
              <w:top w:val="single" w:sz="12" w:space="0" w:color="auto"/>
            </w:tcBorders>
            <w:shd w:val="clear" w:color="auto" w:fill="auto"/>
            <w:vAlign w:val="bottom"/>
            <w:hideMark/>
          </w:tcPr>
          <w:p w14:paraId="15736DD2" w14:textId="77777777" w:rsidR="007059B1" w:rsidRPr="004255E0" w:rsidRDefault="007059B1" w:rsidP="004255E0">
            <w:pPr>
              <w:suppressAutoHyphens w:val="0"/>
              <w:spacing w:before="40" w:after="40" w:line="220" w:lineRule="exact"/>
              <w:jc w:val="right"/>
              <w:rPr>
                <w:sz w:val="18"/>
                <w:lang w:eastAsia="zh-CN"/>
              </w:rPr>
            </w:pPr>
          </w:p>
        </w:tc>
      </w:tr>
      <w:tr w:rsidR="007059B1" w:rsidRPr="004255E0" w14:paraId="662C14B6" w14:textId="77777777" w:rsidTr="004255E0">
        <w:tc>
          <w:tcPr>
            <w:tcW w:w="6209" w:type="dxa"/>
            <w:shd w:val="clear" w:color="auto" w:fill="auto"/>
            <w:hideMark/>
          </w:tcPr>
          <w:p w14:paraId="6DC50170" w14:textId="77777777" w:rsidR="007059B1" w:rsidRPr="00565417" w:rsidRDefault="007059B1" w:rsidP="00D145CD">
            <w:pPr>
              <w:suppressAutoHyphens w:val="0"/>
              <w:spacing w:before="40" w:after="40" w:line="220" w:lineRule="exact"/>
              <w:rPr>
                <w:b/>
                <w:bCs/>
                <w:sz w:val="18"/>
                <w:szCs w:val="18"/>
              </w:rPr>
            </w:pPr>
            <w:r w:rsidRPr="00565417">
              <w:rPr>
                <w:b/>
                <w:bCs/>
                <w:sz w:val="18"/>
                <w:lang w:val="fr-FR"/>
              </w:rPr>
              <w:t>Documents destinés aux organes délibérants (nombre, par entité/thème)</w:t>
            </w:r>
          </w:p>
        </w:tc>
        <w:tc>
          <w:tcPr>
            <w:tcW w:w="939" w:type="dxa"/>
            <w:shd w:val="clear" w:color="auto" w:fill="auto"/>
            <w:vAlign w:val="bottom"/>
            <w:hideMark/>
          </w:tcPr>
          <w:p w14:paraId="39D514CF"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1264</w:t>
            </w:r>
          </w:p>
        </w:tc>
        <w:tc>
          <w:tcPr>
            <w:tcW w:w="909" w:type="dxa"/>
            <w:shd w:val="clear" w:color="auto" w:fill="auto"/>
            <w:vAlign w:val="bottom"/>
            <w:hideMark/>
          </w:tcPr>
          <w:p w14:paraId="3E8C0B10"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1173</w:t>
            </w:r>
          </w:p>
        </w:tc>
        <w:tc>
          <w:tcPr>
            <w:tcW w:w="1580" w:type="dxa"/>
            <w:shd w:val="clear" w:color="auto" w:fill="auto"/>
            <w:vAlign w:val="bottom"/>
            <w:hideMark/>
          </w:tcPr>
          <w:p w14:paraId="1D9131B1"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93 %</w:t>
            </w:r>
          </w:p>
        </w:tc>
      </w:tr>
      <w:tr w:rsidR="007059B1" w:rsidRPr="004255E0" w14:paraId="05A6FBD6" w14:textId="77777777" w:rsidTr="004255E0">
        <w:tc>
          <w:tcPr>
            <w:tcW w:w="6209" w:type="dxa"/>
            <w:shd w:val="clear" w:color="auto" w:fill="auto"/>
            <w:hideMark/>
          </w:tcPr>
          <w:p w14:paraId="442379E9" w14:textId="52D91DB3" w:rsidR="007059B1" w:rsidRPr="00D145CD" w:rsidRDefault="007059B1" w:rsidP="004255E0">
            <w:pPr>
              <w:suppressAutoHyphens w:val="0"/>
              <w:spacing w:before="40" w:after="40" w:line="220" w:lineRule="exact"/>
              <w:ind w:left="170" w:hanging="170"/>
              <w:rPr>
                <w:b/>
                <w:bCs/>
                <w:sz w:val="18"/>
                <w:szCs w:val="18"/>
              </w:rPr>
            </w:pPr>
            <w:r w:rsidRPr="00D145CD">
              <w:rPr>
                <w:b/>
                <w:bCs/>
                <w:sz w:val="18"/>
                <w:lang w:val="fr-FR"/>
              </w:rPr>
              <w:t>1.</w:t>
            </w:r>
            <w:r w:rsidR="004255E0" w:rsidRPr="00D145CD">
              <w:rPr>
                <w:b/>
                <w:bCs/>
                <w:sz w:val="18"/>
                <w:lang w:val="fr-FR"/>
              </w:rPr>
              <w:tab/>
            </w:r>
            <w:r w:rsidRPr="00D145CD">
              <w:rPr>
                <w:b/>
                <w:bCs/>
                <w:sz w:val="18"/>
                <w:lang w:val="fr-FR"/>
              </w:rPr>
              <w:t>Comité des transports intérieurs</w:t>
            </w:r>
          </w:p>
        </w:tc>
        <w:tc>
          <w:tcPr>
            <w:tcW w:w="939" w:type="dxa"/>
            <w:shd w:val="clear" w:color="auto" w:fill="auto"/>
            <w:vAlign w:val="bottom"/>
            <w:hideMark/>
          </w:tcPr>
          <w:p w14:paraId="2008B9C9" w14:textId="77777777" w:rsidR="007059B1" w:rsidRPr="00D145CD" w:rsidRDefault="007059B1" w:rsidP="004255E0">
            <w:pPr>
              <w:suppressAutoHyphens w:val="0"/>
              <w:spacing w:before="40" w:after="40" w:line="220" w:lineRule="exact"/>
              <w:jc w:val="right"/>
              <w:rPr>
                <w:b/>
                <w:bCs/>
                <w:sz w:val="18"/>
                <w:szCs w:val="18"/>
              </w:rPr>
            </w:pPr>
            <w:r w:rsidRPr="00D145CD">
              <w:rPr>
                <w:b/>
                <w:bCs/>
                <w:sz w:val="18"/>
                <w:lang w:val="fr-FR"/>
              </w:rPr>
              <w:t>1071</w:t>
            </w:r>
          </w:p>
        </w:tc>
        <w:tc>
          <w:tcPr>
            <w:tcW w:w="909" w:type="dxa"/>
            <w:shd w:val="clear" w:color="auto" w:fill="auto"/>
            <w:vAlign w:val="bottom"/>
            <w:hideMark/>
          </w:tcPr>
          <w:p w14:paraId="09CC1B34" w14:textId="77777777" w:rsidR="007059B1" w:rsidRPr="00D145CD" w:rsidRDefault="007059B1" w:rsidP="004255E0">
            <w:pPr>
              <w:suppressAutoHyphens w:val="0"/>
              <w:spacing w:before="40" w:after="40" w:line="220" w:lineRule="exact"/>
              <w:jc w:val="right"/>
              <w:rPr>
                <w:b/>
                <w:bCs/>
                <w:sz w:val="18"/>
                <w:szCs w:val="18"/>
              </w:rPr>
            </w:pPr>
            <w:r w:rsidRPr="00D145CD">
              <w:rPr>
                <w:b/>
                <w:bCs/>
                <w:sz w:val="18"/>
                <w:lang w:val="fr-FR"/>
              </w:rPr>
              <w:t>1069</w:t>
            </w:r>
          </w:p>
        </w:tc>
        <w:tc>
          <w:tcPr>
            <w:tcW w:w="1580" w:type="dxa"/>
            <w:shd w:val="clear" w:color="auto" w:fill="auto"/>
            <w:vAlign w:val="bottom"/>
            <w:hideMark/>
          </w:tcPr>
          <w:p w14:paraId="763C62CB"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100 %</w:t>
            </w:r>
          </w:p>
        </w:tc>
      </w:tr>
      <w:tr w:rsidR="007059B1" w:rsidRPr="004255E0" w14:paraId="2E247688" w14:textId="77777777" w:rsidTr="004255E0">
        <w:tc>
          <w:tcPr>
            <w:tcW w:w="6209" w:type="dxa"/>
            <w:shd w:val="clear" w:color="auto" w:fill="auto"/>
            <w:hideMark/>
          </w:tcPr>
          <w:p w14:paraId="7217FE68" w14:textId="61CFDC3E" w:rsidR="007059B1" w:rsidRPr="004255E0" w:rsidRDefault="00D145CD" w:rsidP="004255E0">
            <w:pPr>
              <w:suppressAutoHyphens w:val="0"/>
              <w:spacing w:before="40" w:after="40" w:line="220" w:lineRule="exact"/>
              <w:ind w:left="170" w:hanging="170"/>
              <w:rPr>
                <w:sz w:val="18"/>
                <w:szCs w:val="18"/>
              </w:rPr>
            </w:pPr>
            <w:r>
              <w:rPr>
                <w:sz w:val="18"/>
                <w:lang w:val="fr-FR"/>
              </w:rPr>
              <w:t>a.</w:t>
            </w:r>
            <w:r w:rsidR="004255E0">
              <w:rPr>
                <w:sz w:val="18"/>
                <w:lang w:val="fr-FR"/>
              </w:rPr>
              <w:tab/>
            </w:r>
            <w:r w:rsidR="007059B1" w:rsidRPr="004255E0">
              <w:rPr>
                <w:sz w:val="18"/>
                <w:lang w:val="fr-FR"/>
              </w:rPr>
              <w:t>Comité des transports intérieurs et bureau</w:t>
            </w:r>
          </w:p>
        </w:tc>
        <w:tc>
          <w:tcPr>
            <w:tcW w:w="939" w:type="dxa"/>
            <w:shd w:val="clear" w:color="auto" w:fill="auto"/>
            <w:vAlign w:val="bottom"/>
            <w:hideMark/>
          </w:tcPr>
          <w:p w14:paraId="1D87C86E"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31</w:t>
            </w:r>
          </w:p>
        </w:tc>
        <w:tc>
          <w:tcPr>
            <w:tcW w:w="909" w:type="dxa"/>
            <w:shd w:val="clear" w:color="auto" w:fill="auto"/>
            <w:vAlign w:val="bottom"/>
            <w:hideMark/>
          </w:tcPr>
          <w:p w14:paraId="7D20E61F"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31</w:t>
            </w:r>
          </w:p>
        </w:tc>
        <w:tc>
          <w:tcPr>
            <w:tcW w:w="1580" w:type="dxa"/>
            <w:shd w:val="clear" w:color="auto" w:fill="auto"/>
            <w:vAlign w:val="bottom"/>
            <w:hideMark/>
          </w:tcPr>
          <w:p w14:paraId="72291C02"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100 %</w:t>
            </w:r>
          </w:p>
        </w:tc>
      </w:tr>
      <w:tr w:rsidR="007059B1" w:rsidRPr="004255E0" w14:paraId="778B2BB3" w14:textId="77777777" w:rsidTr="004255E0">
        <w:tc>
          <w:tcPr>
            <w:tcW w:w="6209" w:type="dxa"/>
            <w:shd w:val="clear" w:color="auto" w:fill="auto"/>
            <w:hideMark/>
          </w:tcPr>
          <w:p w14:paraId="47E41859" w14:textId="4AA3EE54" w:rsidR="007059B1" w:rsidRPr="004255E0" w:rsidRDefault="007059B1" w:rsidP="004255E0">
            <w:pPr>
              <w:suppressAutoHyphens w:val="0"/>
              <w:spacing w:before="40" w:after="40" w:line="220" w:lineRule="exact"/>
              <w:ind w:left="170" w:hanging="170"/>
              <w:rPr>
                <w:sz w:val="18"/>
                <w:szCs w:val="18"/>
              </w:rPr>
            </w:pPr>
            <w:r w:rsidRPr="004255E0">
              <w:rPr>
                <w:sz w:val="18"/>
                <w:lang w:val="fr-FR"/>
              </w:rPr>
              <w:t>b.</w:t>
            </w:r>
            <w:r w:rsidR="004255E0">
              <w:rPr>
                <w:sz w:val="18"/>
                <w:lang w:val="fr-FR"/>
              </w:rPr>
              <w:tab/>
            </w:r>
            <w:r w:rsidRPr="004255E0">
              <w:rPr>
                <w:sz w:val="18"/>
                <w:lang w:val="fr-FR"/>
              </w:rPr>
              <w:t>Forum mondial de l’harmonisation des Règlements concernant les véhicules</w:t>
            </w:r>
          </w:p>
        </w:tc>
        <w:tc>
          <w:tcPr>
            <w:tcW w:w="939" w:type="dxa"/>
            <w:shd w:val="clear" w:color="auto" w:fill="auto"/>
            <w:vAlign w:val="bottom"/>
            <w:hideMark/>
          </w:tcPr>
          <w:p w14:paraId="1486D91D"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580</w:t>
            </w:r>
          </w:p>
        </w:tc>
        <w:tc>
          <w:tcPr>
            <w:tcW w:w="909" w:type="dxa"/>
            <w:shd w:val="clear" w:color="auto" w:fill="auto"/>
            <w:vAlign w:val="bottom"/>
            <w:hideMark/>
          </w:tcPr>
          <w:p w14:paraId="1443EBA7"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566</w:t>
            </w:r>
          </w:p>
        </w:tc>
        <w:tc>
          <w:tcPr>
            <w:tcW w:w="1580" w:type="dxa"/>
            <w:shd w:val="clear" w:color="auto" w:fill="auto"/>
            <w:vAlign w:val="bottom"/>
            <w:hideMark/>
          </w:tcPr>
          <w:p w14:paraId="0CB42F67"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98 %</w:t>
            </w:r>
          </w:p>
        </w:tc>
      </w:tr>
      <w:tr w:rsidR="007059B1" w:rsidRPr="004255E0" w14:paraId="1BBC1B24" w14:textId="77777777" w:rsidTr="004255E0">
        <w:tc>
          <w:tcPr>
            <w:tcW w:w="6209" w:type="dxa"/>
            <w:shd w:val="clear" w:color="auto" w:fill="auto"/>
            <w:hideMark/>
          </w:tcPr>
          <w:p w14:paraId="31187574" w14:textId="5A864BA8" w:rsidR="007059B1" w:rsidRPr="004255E0" w:rsidRDefault="007059B1" w:rsidP="004255E0">
            <w:pPr>
              <w:suppressAutoHyphens w:val="0"/>
              <w:spacing w:before="40" w:after="40" w:line="220" w:lineRule="exact"/>
              <w:ind w:left="170" w:hanging="170"/>
              <w:rPr>
                <w:sz w:val="18"/>
                <w:szCs w:val="18"/>
              </w:rPr>
            </w:pPr>
            <w:r w:rsidRPr="004255E0">
              <w:rPr>
                <w:sz w:val="18"/>
                <w:lang w:val="fr-FR"/>
              </w:rPr>
              <w:t>c.</w:t>
            </w:r>
            <w:r w:rsidR="004255E0">
              <w:rPr>
                <w:sz w:val="18"/>
                <w:lang w:val="fr-FR"/>
              </w:rPr>
              <w:tab/>
            </w:r>
            <w:r w:rsidRPr="004255E0">
              <w:rPr>
                <w:sz w:val="18"/>
                <w:lang w:val="fr-FR"/>
              </w:rPr>
              <w:t>Groupe de travail du transport des denrées périssables</w:t>
            </w:r>
          </w:p>
        </w:tc>
        <w:tc>
          <w:tcPr>
            <w:tcW w:w="939" w:type="dxa"/>
            <w:shd w:val="clear" w:color="auto" w:fill="auto"/>
            <w:vAlign w:val="bottom"/>
            <w:hideMark/>
          </w:tcPr>
          <w:p w14:paraId="125EADB3"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33</w:t>
            </w:r>
          </w:p>
        </w:tc>
        <w:tc>
          <w:tcPr>
            <w:tcW w:w="909" w:type="dxa"/>
            <w:shd w:val="clear" w:color="auto" w:fill="auto"/>
            <w:vAlign w:val="bottom"/>
            <w:hideMark/>
          </w:tcPr>
          <w:p w14:paraId="553A553D"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30</w:t>
            </w:r>
          </w:p>
        </w:tc>
        <w:tc>
          <w:tcPr>
            <w:tcW w:w="1580" w:type="dxa"/>
            <w:shd w:val="clear" w:color="auto" w:fill="auto"/>
            <w:vAlign w:val="bottom"/>
            <w:hideMark/>
          </w:tcPr>
          <w:p w14:paraId="39E4DB41"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91 %</w:t>
            </w:r>
          </w:p>
        </w:tc>
      </w:tr>
      <w:tr w:rsidR="007059B1" w:rsidRPr="004255E0" w14:paraId="19522765" w14:textId="77777777" w:rsidTr="004255E0">
        <w:tc>
          <w:tcPr>
            <w:tcW w:w="6209" w:type="dxa"/>
            <w:shd w:val="clear" w:color="auto" w:fill="auto"/>
            <w:hideMark/>
          </w:tcPr>
          <w:p w14:paraId="1A69F558" w14:textId="36886FCF" w:rsidR="007059B1" w:rsidRPr="004255E0" w:rsidRDefault="007059B1" w:rsidP="004255E0">
            <w:pPr>
              <w:suppressAutoHyphens w:val="0"/>
              <w:spacing w:before="40" w:after="40" w:line="220" w:lineRule="exact"/>
              <w:ind w:left="170" w:hanging="170"/>
              <w:rPr>
                <w:sz w:val="18"/>
                <w:szCs w:val="18"/>
              </w:rPr>
            </w:pPr>
            <w:r w:rsidRPr="004255E0">
              <w:rPr>
                <w:sz w:val="18"/>
                <w:lang w:val="fr-FR"/>
              </w:rPr>
              <w:t>d.</w:t>
            </w:r>
            <w:r w:rsidR="004255E0">
              <w:rPr>
                <w:sz w:val="18"/>
                <w:lang w:val="fr-FR"/>
              </w:rPr>
              <w:tab/>
            </w:r>
            <w:r w:rsidRPr="004255E0">
              <w:rPr>
                <w:sz w:val="18"/>
                <w:lang w:val="fr-FR"/>
              </w:rPr>
              <w:t>Groupe de travail des transports de marchandises dangereuses</w:t>
            </w:r>
          </w:p>
        </w:tc>
        <w:tc>
          <w:tcPr>
            <w:tcW w:w="939" w:type="dxa"/>
            <w:shd w:val="clear" w:color="auto" w:fill="auto"/>
            <w:vAlign w:val="bottom"/>
            <w:hideMark/>
          </w:tcPr>
          <w:p w14:paraId="6DF5EC76"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214</w:t>
            </w:r>
          </w:p>
        </w:tc>
        <w:tc>
          <w:tcPr>
            <w:tcW w:w="909" w:type="dxa"/>
            <w:shd w:val="clear" w:color="auto" w:fill="auto"/>
            <w:vAlign w:val="bottom"/>
            <w:hideMark/>
          </w:tcPr>
          <w:p w14:paraId="0E7D4D40"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179</w:t>
            </w:r>
          </w:p>
        </w:tc>
        <w:tc>
          <w:tcPr>
            <w:tcW w:w="1580" w:type="dxa"/>
            <w:shd w:val="clear" w:color="auto" w:fill="auto"/>
            <w:vAlign w:val="bottom"/>
            <w:hideMark/>
          </w:tcPr>
          <w:p w14:paraId="780956C1"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84 %</w:t>
            </w:r>
          </w:p>
        </w:tc>
      </w:tr>
      <w:tr w:rsidR="007059B1" w:rsidRPr="004255E0" w14:paraId="4E87406C" w14:textId="77777777" w:rsidTr="004255E0">
        <w:tc>
          <w:tcPr>
            <w:tcW w:w="6209" w:type="dxa"/>
            <w:shd w:val="clear" w:color="auto" w:fill="auto"/>
            <w:hideMark/>
          </w:tcPr>
          <w:p w14:paraId="7FBE1C23" w14:textId="75821F18" w:rsidR="007059B1" w:rsidRPr="004255E0" w:rsidRDefault="007059B1" w:rsidP="004255E0">
            <w:pPr>
              <w:suppressAutoHyphens w:val="0"/>
              <w:spacing w:before="40" w:after="40" w:line="220" w:lineRule="exact"/>
              <w:ind w:left="170" w:hanging="170"/>
              <w:rPr>
                <w:sz w:val="18"/>
                <w:szCs w:val="18"/>
              </w:rPr>
            </w:pPr>
            <w:r w:rsidRPr="004255E0">
              <w:rPr>
                <w:sz w:val="18"/>
                <w:lang w:val="fr-FR"/>
              </w:rPr>
              <w:t>e.</w:t>
            </w:r>
            <w:r w:rsidR="004255E0">
              <w:rPr>
                <w:sz w:val="18"/>
                <w:lang w:val="fr-FR"/>
              </w:rPr>
              <w:tab/>
            </w:r>
            <w:r w:rsidRPr="004255E0">
              <w:rPr>
                <w:sz w:val="18"/>
                <w:lang w:val="fr-FR"/>
              </w:rPr>
              <w:t xml:space="preserve">Groupe de travail chargé d’examiner les tendances et l’économie des transports </w:t>
            </w:r>
            <w:r w:rsidR="00565417">
              <w:rPr>
                <w:sz w:val="18"/>
                <w:lang w:val="fr-FR"/>
              </w:rPr>
              <w:br/>
            </w:r>
            <w:r w:rsidRPr="004255E0">
              <w:rPr>
                <w:sz w:val="18"/>
                <w:lang w:val="fr-FR"/>
              </w:rPr>
              <w:t>et groupes d’experts subsidiaires</w:t>
            </w:r>
          </w:p>
        </w:tc>
        <w:tc>
          <w:tcPr>
            <w:tcW w:w="939" w:type="dxa"/>
            <w:shd w:val="clear" w:color="auto" w:fill="auto"/>
            <w:vAlign w:val="bottom"/>
            <w:hideMark/>
          </w:tcPr>
          <w:p w14:paraId="3B4A71BC"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20</w:t>
            </w:r>
          </w:p>
        </w:tc>
        <w:tc>
          <w:tcPr>
            <w:tcW w:w="909" w:type="dxa"/>
            <w:shd w:val="clear" w:color="auto" w:fill="auto"/>
            <w:vAlign w:val="bottom"/>
            <w:hideMark/>
          </w:tcPr>
          <w:p w14:paraId="31FA1F6D"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25</w:t>
            </w:r>
          </w:p>
        </w:tc>
        <w:tc>
          <w:tcPr>
            <w:tcW w:w="1580" w:type="dxa"/>
            <w:shd w:val="clear" w:color="auto" w:fill="auto"/>
            <w:vAlign w:val="bottom"/>
            <w:hideMark/>
          </w:tcPr>
          <w:p w14:paraId="6394622D"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125 %</w:t>
            </w:r>
          </w:p>
        </w:tc>
      </w:tr>
      <w:tr w:rsidR="007059B1" w:rsidRPr="004255E0" w14:paraId="61E653AA" w14:textId="77777777" w:rsidTr="004255E0">
        <w:tc>
          <w:tcPr>
            <w:tcW w:w="6209" w:type="dxa"/>
            <w:shd w:val="clear" w:color="auto" w:fill="auto"/>
            <w:hideMark/>
          </w:tcPr>
          <w:p w14:paraId="35BF548A" w14:textId="7CCA8414" w:rsidR="007059B1" w:rsidRPr="004255E0" w:rsidRDefault="007059B1" w:rsidP="004255E0">
            <w:pPr>
              <w:suppressAutoHyphens w:val="0"/>
              <w:spacing w:before="40" w:after="40" w:line="220" w:lineRule="exact"/>
              <w:ind w:left="170" w:hanging="170"/>
              <w:rPr>
                <w:sz w:val="18"/>
                <w:szCs w:val="18"/>
              </w:rPr>
            </w:pPr>
            <w:r w:rsidRPr="004255E0">
              <w:rPr>
                <w:sz w:val="18"/>
                <w:lang w:val="fr-FR"/>
              </w:rPr>
              <w:t>f.</w:t>
            </w:r>
            <w:r w:rsidR="004255E0">
              <w:rPr>
                <w:sz w:val="18"/>
                <w:lang w:val="fr-FR"/>
              </w:rPr>
              <w:tab/>
            </w:r>
            <w:r w:rsidRPr="004255E0">
              <w:rPr>
                <w:sz w:val="18"/>
                <w:lang w:val="fr-FR"/>
              </w:rPr>
              <w:t>Groupe de travail des statistiques des transports</w:t>
            </w:r>
          </w:p>
        </w:tc>
        <w:tc>
          <w:tcPr>
            <w:tcW w:w="939" w:type="dxa"/>
            <w:shd w:val="clear" w:color="auto" w:fill="auto"/>
            <w:vAlign w:val="bottom"/>
            <w:hideMark/>
          </w:tcPr>
          <w:p w14:paraId="081AFBCB"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14</w:t>
            </w:r>
          </w:p>
        </w:tc>
        <w:tc>
          <w:tcPr>
            <w:tcW w:w="909" w:type="dxa"/>
            <w:shd w:val="clear" w:color="auto" w:fill="auto"/>
            <w:vAlign w:val="bottom"/>
            <w:hideMark/>
          </w:tcPr>
          <w:p w14:paraId="0E3A3D11"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14</w:t>
            </w:r>
          </w:p>
        </w:tc>
        <w:tc>
          <w:tcPr>
            <w:tcW w:w="1580" w:type="dxa"/>
            <w:shd w:val="clear" w:color="auto" w:fill="auto"/>
            <w:vAlign w:val="bottom"/>
            <w:hideMark/>
          </w:tcPr>
          <w:p w14:paraId="6B456FFE"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100 %</w:t>
            </w:r>
          </w:p>
        </w:tc>
      </w:tr>
      <w:tr w:rsidR="007059B1" w:rsidRPr="004255E0" w14:paraId="1B568B28" w14:textId="77777777" w:rsidTr="004255E0">
        <w:tc>
          <w:tcPr>
            <w:tcW w:w="6209" w:type="dxa"/>
            <w:shd w:val="clear" w:color="auto" w:fill="auto"/>
            <w:hideMark/>
          </w:tcPr>
          <w:p w14:paraId="5C248C47" w14:textId="5C162A49" w:rsidR="007059B1" w:rsidRPr="004255E0" w:rsidRDefault="007059B1" w:rsidP="004255E0">
            <w:pPr>
              <w:suppressAutoHyphens w:val="0"/>
              <w:spacing w:before="40" w:after="40" w:line="220" w:lineRule="exact"/>
              <w:ind w:left="170" w:hanging="170"/>
              <w:rPr>
                <w:sz w:val="18"/>
                <w:szCs w:val="18"/>
              </w:rPr>
            </w:pPr>
            <w:r w:rsidRPr="004255E0">
              <w:rPr>
                <w:sz w:val="18"/>
                <w:lang w:val="fr-FR"/>
              </w:rPr>
              <w:t>g.</w:t>
            </w:r>
            <w:r w:rsidR="004255E0">
              <w:rPr>
                <w:sz w:val="18"/>
                <w:lang w:val="fr-FR"/>
              </w:rPr>
              <w:tab/>
            </w:r>
            <w:r w:rsidRPr="004255E0">
              <w:rPr>
                <w:sz w:val="18"/>
                <w:lang w:val="fr-FR"/>
              </w:rPr>
              <w:t>Groupe de travail des transports routiers et groupes d’experts subsidiaires</w:t>
            </w:r>
          </w:p>
        </w:tc>
        <w:tc>
          <w:tcPr>
            <w:tcW w:w="939" w:type="dxa"/>
            <w:shd w:val="clear" w:color="auto" w:fill="auto"/>
            <w:vAlign w:val="bottom"/>
            <w:hideMark/>
          </w:tcPr>
          <w:p w14:paraId="012672BD"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10</w:t>
            </w:r>
          </w:p>
        </w:tc>
        <w:tc>
          <w:tcPr>
            <w:tcW w:w="909" w:type="dxa"/>
            <w:shd w:val="clear" w:color="auto" w:fill="auto"/>
            <w:vAlign w:val="bottom"/>
            <w:hideMark/>
          </w:tcPr>
          <w:p w14:paraId="3B0C6233"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16</w:t>
            </w:r>
          </w:p>
        </w:tc>
        <w:tc>
          <w:tcPr>
            <w:tcW w:w="1580" w:type="dxa"/>
            <w:shd w:val="clear" w:color="auto" w:fill="auto"/>
            <w:vAlign w:val="bottom"/>
            <w:hideMark/>
          </w:tcPr>
          <w:p w14:paraId="65201871"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160 %</w:t>
            </w:r>
          </w:p>
        </w:tc>
      </w:tr>
      <w:tr w:rsidR="007059B1" w:rsidRPr="004255E0" w14:paraId="70CA8643" w14:textId="77777777" w:rsidTr="004255E0">
        <w:tc>
          <w:tcPr>
            <w:tcW w:w="6209" w:type="dxa"/>
            <w:shd w:val="clear" w:color="auto" w:fill="auto"/>
            <w:hideMark/>
          </w:tcPr>
          <w:p w14:paraId="62254AC8" w14:textId="533B141C" w:rsidR="007059B1" w:rsidRPr="004255E0" w:rsidRDefault="007059B1" w:rsidP="004255E0">
            <w:pPr>
              <w:suppressAutoHyphens w:val="0"/>
              <w:spacing w:before="40" w:after="40" w:line="220" w:lineRule="exact"/>
              <w:ind w:left="170" w:hanging="170"/>
              <w:rPr>
                <w:sz w:val="18"/>
                <w:szCs w:val="18"/>
              </w:rPr>
            </w:pPr>
            <w:r w:rsidRPr="004255E0">
              <w:rPr>
                <w:sz w:val="18"/>
                <w:lang w:val="fr-FR"/>
              </w:rPr>
              <w:t>h.</w:t>
            </w:r>
            <w:r w:rsidR="004255E0">
              <w:rPr>
                <w:sz w:val="18"/>
                <w:lang w:val="fr-FR"/>
              </w:rPr>
              <w:tab/>
            </w:r>
            <w:r w:rsidRPr="004255E0">
              <w:rPr>
                <w:sz w:val="18"/>
                <w:lang w:val="fr-FR"/>
              </w:rPr>
              <w:t>Forum mondial de la sécurité routière et groupes d’experts subsidiaires</w:t>
            </w:r>
          </w:p>
        </w:tc>
        <w:tc>
          <w:tcPr>
            <w:tcW w:w="939" w:type="dxa"/>
            <w:shd w:val="clear" w:color="auto" w:fill="auto"/>
            <w:vAlign w:val="bottom"/>
            <w:hideMark/>
          </w:tcPr>
          <w:p w14:paraId="4BB2BEE9"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16</w:t>
            </w:r>
          </w:p>
        </w:tc>
        <w:tc>
          <w:tcPr>
            <w:tcW w:w="909" w:type="dxa"/>
            <w:shd w:val="clear" w:color="auto" w:fill="auto"/>
            <w:vAlign w:val="bottom"/>
            <w:hideMark/>
          </w:tcPr>
          <w:p w14:paraId="2352CBD6"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12</w:t>
            </w:r>
          </w:p>
        </w:tc>
        <w:tc>
          <w:tcPr>
            <w:tcW w:w="1580" w:type="dxa"/>
            <w:shd w:val="clear" w:color="auto" w:fill="auto"/>
            <w:vAlign w:val="bottom"/>
            <w:hideMark/>
          </w:tcPr>
          <w:p w14:paraId="3A628664"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75 %</w:t>
            </w:r>
          </w:p>
        </w:tc>
      </w:tr>
      <w:tr w:rsidR="007059B1" w:rsidRPr="004255E0" w14:paraId="33EF9657" w14:textId="77777777" w:rsidTr="004255E0">
        <w:tc>
          <w:tcPr>
            <w:tcW w:w="6209" w:type="dxa"/>
            <w:shd w:val="clear" w:color="auto" w:fill="auto"/>
            <w:hideMark/>
          </w:tcPr>
          <w:p w14:paraId="248DB3AC" w14:textId="7AB3B5C4" w:rsidR="007059B1" w:rsidRPr="004255E0" w:rsidRDefault="007059B1" w:rsidP="004255E0">
            <w:pPr>
              <w:suppressAutoHyphens w:val="0"/>
              <w:spacing w:before="40" w:after="40" w:line="220" w:lineRule="exact"/>
              <w:ind w:left="170" w:hanging="170"/>
              <w:rPr>
                <w:sz w:val="18"/>
                <w:szCs w:val="18"/>
              </w:rPr>
            </w:pPr>
            <w:r w:rsidRPr="004255E0">
              <w:rPr>
                <w:sz w:val="18"/>
                <w:lang w:val="fr-FR"/>
              </w:rPr>
              <w:t>i.</w:t>
            </w:r>
            <w:r w:rsidR="004255E0">
              <w:rPr>
                <w:sz w:val="18"/>
                <w:lang w:val="fr-FR"/>
              </w:rPr>
              <w:tab/>
            </w:r>
            <w:r w:rsidRPr="004255E0">
              <w:rPr>
                <w:sz w:val="18"/>
                <w:lang w:val="fr-FR"/>
              </w:rPr>
              <w:t>Groupe de travail des transports par chemin de fer et groupes d’experts subsidiaires</w:t>
            </w:r>
          </w:p>
        </w:tc>
        <w:tc>
          <w:tcPr>
            <w:tcW w:w="939" w:type="dxa"/>
            <w:shd w:val="clear" w:color="auto" w:fill="auto"/>
            <w:vAlign w:val="bottom"/>
            <w:hideMark/>
          </w:tcPr>
          <w:p w14:paraId="6B32A6B9"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26</w:t>
            </w:r>
          </w:p>
        </w:tc>
        <w:tc>
          <w:tcPr>
            <w:tcW w:w="909" w:type="dxa"/>
            <w:shd w:val="clear" w:color="auto" w:fill="auto"/>
            <w:vAlign w:val="bottom"/>
            <w:hideMark/>
          </w:tcPr>
          <w:p w14:paraId="1132EDDD"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30</w:t>
            </w:r>
          </w:p>
        </w:tc>
        <w:tc>
          <w:tcPr>
            <w:tcW w:w="1580" w:type="dxa"/>
            <w:shd w:val="clear" w:color="auto" w:fill="auto"/>
            <w:vAlign w:val="bottom"/>
            <w:hideMark/>
          </w:tcPr>
          <w:p w14:paraId="69DBE510"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115 %</w:t>
            </w:r>
          </w:p>
        </w:tc>
      </w:tr>
      <w:tr w:rsidR="007059B1" w:rsidRPr="004255E0" w14:paraId="0231598E" w14:textId="77777777" w:rsidTr="004255E0">
        <w:tc>
          <w:tcPr>
            <w:tcW w:w="6209" w:type="dxa"/>
            <w:shd w:val="clear" w:color="auto" w:fill="auto"/>
            <w:hideMark/>
          </w:tcPr>
          <w:p w14:paraId="0967674B" w14:textId="34D24BC7" w:rsidR="007059B1" w:rsidRPr="004255E0" w:rsidRDefault="007059B1" w:rsidP="004255E0">
            <w:pPr>
              <w:suppressAutoHyphens w:val="0"/>
              <w:spacing w:before="40" w:after="40" w:line="220" w:lineRule="exact"/>
              <w:ind w:left="170" w:hanging="170"/>
              <w:rPr>
                <w:sz w:val="18"/>
                <w:szCs w:val="18"/>
              </w:rPr>
            </w:pPr>
            <w:r w:rsidRPr="004255E0">
              <w:rPr>
                <w:sz w:val="18"/>
                <w:lang w:val="fr-FR"/>
              </w:rPr>
              <w:t>j.</w:t>
            </w:r>
            <w:r w:rsidR="004255E0">
              <w:rPr>
                <w:sz w:val="18"/>
                <w:lang w:val="fr-FR"/>
              </w:rPr>
              <w:tab/>
            </w:r>
            <w:r w:rsidRPr="004255E0">
              <w:rPr>
                <w:sz w:val="18"/>
                <w:lang w:val="fr-FR"/>
              </w:rPr>
              <w:t>Groupe de travail du transport intermodal et de la logistique</w:t>
            </w:r>
          </w:p>
        </w:tc>
        <w:tc>
          <w:tcPr>
            <w:tcW w:w="939" w:type="dxa"/>
            <w:shd w:val="clear" w:color="auto" w:fill="auto"/>
            <w:vAlign w:val="bottom"/>
            <w:hideMark/>
          </w:tcPr>
          <w:p w14:paraId="5EF259FF"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15</w:t>
            </w:r>
          </w:p>
        </w:tc>
        <w:tc>
          <w:tcPr>
            <w:tcW w:w="909" w:type="dxa"/>
            <w:shd w:val="clear" w:color="auto" w:fill="auto"/>
            <w:vAlign w:val="bottom"/>
            <w:hideMark/>
          </w:tcPr>
          <w:p w14:paraId="12737CDB"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15</w:t>
            </w:r>
          </w:p>
        </w:tc>
        <w:tc>
          <w:tcPr>
            <w:tcW w:w="1580" w:type="dxa"/>
            <w:shd w:val="clear" w:color="auto" w:fill="auto"/>
            <w:vAlign w:val="bottom"/>
            <w:hideMark/>
          </w:tcPr>
          <w:p w14:paraId="7389A2A4"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100 %</w:t>
            </w:r>
          </w:p>
        </w:tc>
      </w:tr>
      <w:tr w:rsidR="007059B1" w:rsidRPr="004255E0" w14:paraId="00E4BA3B" w14:textId="77777777" w:rsidTr="004255E0">
        <w:tc>
          <w:tcPr>
            <w:tcW w:w="6209" w:type="dxa"/>
            <w:shd w:val="clear" w:color="auto" w:fill="auto"/>
            <w:hideMark/>
          </w:tcPr>
          <w:p w14:paraId="3A454652" w14:textId="141BA3F8" w:rsidR="007059B1" w:rsidRPr="004255E0" w:rsidRDefault="007059B1" w:rsidP="004255E0">
            <w:pPr>
              <w:suppressAutoHyphens w:val="0"/>
              <w:spacing w:before="40" w:after="40" w:line="220" w:lineRule="exact"/>
              <w:ind w:left="170" w:hanging="170"/>
              <w:rPr>
                <w:sz w:val="18"/>
                <w:szCs w:val="18"/>
              </w:rPr>
            </w:pPr>
            <w:r w:rsidRPr="004255E0">
              <w:rPr>
                <w:sz w:val="18"/>
                <w:lang w:val="fr-FR"/>
              </w:rPr>
              <w:t>k.</w:t>
            </w:r>
            <w:r w:rsidR="004255E0">
              <w:rPr>
                <w:sz w:val="18"/>
                <w:lang w:val="fr-FR"/>
              </w:rPr>
              <w:tab/>
            </w:r>
            <w:r w:rsidRPr="004255E0">
              <w:rPr>
                <w:sz w:val="18"/>
                <w:lang w:val="fr-FR"/>
              </w:rPr>
              <w:t>Groupe de travail des transports par voie navigable</w:t>
            </w:r>
          </w:p>
        </w:tc>
        <w:tc>
          <w:tcPr>
            <w:tcW w:w="939" w:type="dxa"/>
            <w:shd w:val="clear" w:color="auto" w:fill="auto"/>
            <w:vAlign w:val="bottom"/>
            <w:hideMark/>
          </w:tcPr>
          <w:p w14:paraId="0EA7984D"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41</w:t>
            </w:r>
          </w:p>
        </w:tc>
        <w:tc>
          <w:tcPr>
            <w:tcW w:w="909" w:type="dxa"/>
            <w:shd w:val="clear" w:color="auto" w:fill="auto"/>
            <w:vAlign w:val="bottom"/>
            <w:hideMark/>
          </w:tcPr>
          <w:p w14:paraId="4E8A8AA7"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50</w:t>
            </w:r>
          </w:p>
        </w:tc>
        <w:tc>
          <w:tcPr>
            <w:tcW w:w="1580" w:type="dxa"/>
            <w:shd w:val="clear" w:color="auto" w:fill="auto"/>
            <w:vAlign w:val="bottom"/>
            <w:hideMark/>
          </w:tcPr>
          <w:p w14:paraId="33F609DA"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122 %</w:t>
            </w:r>
          </w:p>
        </w:tc>
      </w:tr>
      <w:tr w:rsidR="007059B1" w:rsidRPr="004255E0" w14:paraId="0C797F18" w14:textId="77777777" w:rsidTr="004255E0">
        <w:tc>
          <w:tcPr>
            <w:tcW w:w="6209" w:type="dxa"/>
            <w:shd w:val="clear" w:color="auto" w:fill="auto"/>
            <w:hideMark/>
          </w:tcPr>
          <w:p w14:paraId="61C9083A" w14:textId="179B39CD" w:rsidR="007059B1" w:rsidRPr="004255E0" w:rsidRDefault="007059B1" w:rsidP="004255E0">
            <w:pPr>
              <w:suppressAutoHyphens w:val="0"/>
              <w:spacing w:before="40" w:after="40" w:line="220" w:lineRule="exact"/>
              <w:ind w:left="170" w:hanging="170"/>
              <w:rPr>
                <w:sz w:val="18"/>
                <w:szCs w:val="18"/>
              </w:rPr>
            </w:pPr>
            <w:r w:rsidRPr="004255E0">
              <w:rPr>
                <w:sz w:val="18"/>
                <w:lang w:val="fr-FR"/>
              </w:rPr>
              <w:t>l.</w:t>
            </w:r>
            <w:r w:rsidR="004255E0">
              <w:rPr>
                <w:sz w:val="18"/>
                <w:lang w:val="fr-FR"/>
              </w:rPr>
              <w:tab/>
            </w:r>
            <w:r w:rsidRPr="004255E0">
              <w:rPr>
                <w:sz w:val="18"/>
                <w:lang w:val="fr-FR"/>
              </w:rPr>
              <w:t>Groupe de travail des problèmes douaniers intéressant les transports et groupes d’experts subsidiaires</w:t>
            </w:r>
          </w:p>
        </w:tc>
        <w:tc>
          <w:tcPr>
            <w:tcW w:w="939" w:type="dxa"/>
            <w:shd w:val="clear" w:color="auto" w:fill="auto"/>
            <w:vAlign w:val="bottom"/>
            <w:hideMark/>
          </w:tcPr>
          <w:p w14:paraId="784D8C02"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71</w:t>
            </w:r>
          </w:p>
        </w:tc>
        <w:tc>
          <w:tcPr>
            <w:tcW w:w="909" w:type="dxa"/>
            <w:shd w:val="clear" w:color="auto" w:fill="auto"/>
            <w:vAlign w:val="bottom"/>
            <w:hideMark/>
          </w:tcPr>
          <w:p w14:paraId="52012675"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104</w:t>
            </w:r>
          </w:p>
        </w:tc>
        <w:tc>
          <w:tcPr>
            <w:tcW w:w="1580" w:type="dxa"/>
            <w:shd w:val="clear" w:color="auto" w:fill="auto"/>
            <w:vAlign w:val="bottom"/>
            <w:hideMark/>
          </w:tcPr>
          <w:p w14:paraId="112D288E"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146 %</w:t>
            </w:r>
          </w:p>
        </w:tc>
      </w:tr>
      <w:tr w:rsidR="007059B1" w:rsidRPr="004255E0" w14:paraId="4DCE30C6" w14:textId="77777777" w:rsidTr="004255E0">
        <w:tc>
          <w:tcPr>
            <w:tcW w:w="6209" w:type="dxa"/>
            <w:shd w:val="clear" w:color="auto" w:fill="auto"/>
            <w:hideMark/>
          </w:tcPr>
          <w:p w14:paraId="2C0D7557" w14:textId="230BDC26" w:rsidR="007059B1" w:rsidRPr="004255E0" w:rsidRDefault="007059B1" w:rsidP="004255E0">
            <w:pPr>
              <w:suppressAutoHyphens w:val="0"/>
              <w:spacing w:before="40" w:after="40" w:line="220" w:lineRule="exact"/>
              <w:ind w:left="170" w:hanging="170"/>
              <w:rPr>
                <w:b/>
                <w:bCs/>
                <w:sz w:val="18"/>
                <w:szCs w:val="18"/>
              </w:rPr>
            </w:pPr>
            <w:r w:rsidRPr="004255E0">
              <w:rPr>
                <w:b/>
                <w:bCs/>
                <w:sz w:val="18"/>
                <w:lang w:val="fr-FR"/>
              </w:rPr>
              <w:t>2.</w:t>
            </w:r>
            <w:r w:rsidR="004255E0">
              <w:rPr>
                <w:sz w:val="18"/>
                <w:lang w:val="fr-FR"/>
              </w:rPr>
              <w:tab/>
            </w:r>
            <w:r w:rsidRPr="004255E0">
              <w:rPr>
                <w:b/>
                <w:bCs/>
                <w:sz w:val="18"/>
                <w:lang w:val="fr-FR"/>
              </w:rPr>
              <w:t>Conseil économique et social</w:t>
            </w:r>
          </w:p>
        </w:tc>
        <w:tc>
          <w:tcPr>
            <w:tcW w:w="939" w:type="dxa"/>
            <w:shd w:val="clear" w:color="auto" w:fill="auto"/>
            <w:vAlign w:val="bottom"/>
            <w:hideMark/>
          </w:tcPr>
          <w:p w14:paraId="1B5B583C"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190</w:t>
            </w:r>
          </w:p>
        </w:tc>
        <w:tc>
          <w:tcPr>
            <w:tcW w:w="909" w:type="dxa"/>
            <w:shd w:val="clear" w:color="auto" w:fill="auto"/>
            <w:vAlign w:val="bottom"/>
            <w:hideMark/>
          </w:tcPr>
          <w:p w14:paraId="1A54B02B"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101</w:t>
            </w:r>
          </w:p>
        </w:tc>
        <w:tc>
          <w:tcPr>
            <w:tcW w:w="1580" w:type="dxa"/>
            <w:shd w:val="clear" w:color="auto" w:fill="auto"/>
            <w:vAlign w:val="bottom"/>
            <w:hideMark/>
          </w:tcPr>
          <w:p w14:paraId="3DF72834"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53 %</w:t>
            </w:r>
          </w:p>
        </w:tc>
      </w:tr>
      <w:tr w:rsidR="007059B1" w:rsidRPr="004255E0" w14:paraId="640A18D5" w14:textId="77777777" w:rsidTr="004255E0">
        <w:tc>
          <w:tcPr>
            <w:tcW w:w="6209" w:type="dxa"/>
            <w:shd w:val="clear" w:color="auto" w:fill="auto"/>
            <w:hideMark/>
          </w:tcPr>
          <w:p w14:paraId="7A320C9E" w14:textId="4BEB673C" w:rsidR="007059B1" w:rsidRPr="004255E0" w:rsidRDefault="007059B1" w:rsidP="004255E0">
            <w:pPr>
              <w:suppressAutoHyphens w:val="0"/>
              <w:spacing w:before="40" w:after="40" w:line="220" w:lineRule="exact"/>
              <w:ind w:left="170" w:hanging="170"/>
              <w:rPr>
                <w:sz w:val="18"/>
                <w:szCs w:val="18"/>
              </w:rPr>
            </w:pPr>
            <w:r w:rsidRPr="004255E0">
              <w:rPr>
                <w:sz w:val="18"/>
                <w:lang w:val="fr-FR"/>
              </w:rPr>
              <w:t>a.</w:t>
            </w:r>
            <w:r w:rsidR="004255E0">
              <w:rPr>
                <w:sz w:val="18"/>
                <w:lang w:val="fr-FR"/>
              </w:rPr>
              <w:tab/>
            </w:r>
            <w:r w:rsidRPr="004255E0">
              <w:rPr>
                <w:sz w:val="18"/>
                <w:lang w:val="fr-FR"/>
              </w:rPr>
              <w:t>Comité d’experts du transport des marchandises dangereuses et du Système général harmonisé de classification et d’étiquetage des produits chimiques</w:t>
            </w:r>
          </w:p>
        </w:tc>
        <w:tc>
          <w:tcPr>
            <w:tcW w:w="939" w:type="dxa"/>
            <w:shd w:val="clear" w:color="auto" w:fill="auto"/>
            <w:vAlign w:val="bottom"/>
            <w:hideMark/>
          </w:tcPr>
          <w:p w14:paraId="6D1B10CB"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w:t>
            </w:r>
          </w:p>
        </w:tc>
        <w:tc>
          <w:tcPr>
            <w:tcW w:w="909" w:type="dxa"/>
            <w:shd w:val="clear" w:color="auto" w:fill="auto"/>
            <w:vAlign w:val="bottom"/>
            <w:hideMark/>
          </w:tcPr>
          <w:p w14:paraId="42601E47"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w:t>
            </w:r>
          </w:p>
        </w:tc>
        <w:tc>
          <w:tcPr>
            <w:tcW w:w="1580" w:type="dxa"/>
            <w:shd w:val="clear" w:color="auto" w:fill="auto"/>
            <w:vAlign w:val="bottom"/>
            <w:hideMark/>
          </w:tcPr>
          <w:p w14:paraId="7C765E3C"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100 %</w:t>
            </w:r>
          </w:p>
        </w:tc>
      </w:tr>
      <w:tr w:rsidR="007059B1" w:rsidRPr="004255E0" w14:paraId="2B78DA77" w14:textId="77777777" w:rsidTr="004255E0">
        <w:tc>
          <w:tcPr>
            <w:tcW w:w="6209" w:type="dxa"/>
            <w:shd w:val="clear" w:color="auto" w:fill="auto"/>
            <w:hideMark/>
          </w:tcPr>
          <w:p w14:paraId="72679917" w14:textId="2BD592F2" w:rsidR="007059B1" w:rsidRPr="004255E0" w:rsidRDefault="007059B1" w:rsidP="004255E0">
            <w:pPr>
              <w:suppressAutoHyphens w:val="0"/>
              <w:spacing w:before="40" w:after="40" w:line="220" w:lineRule="exact"/>
              <w:ind w:left="170" w:hanging="170"/>
              <w:rPr>
                <w:sz w:val="18"/>
                <w:szCs w:val="18"/>
              </w:rPr>
            </w:pPr>
            <w:r w:rsidRPr="004255E0">
              <w:rPr>
                <w:sz w:val="18"/>
                <w:lang w:val="fr-FR"/>
              </w:rPr>
              <w:t>b.</w:t>
            </w:r>
            <w:r w:rsidR="004255E0">
              <w:rPr>
                <w:sz w:val="18"/>
                <w:lang w:val="fr-FR"/>
              </w:rPr>
              <w:tab/>
            </w:r>
            <w:r w:rsidRPr="004255E0">
              <w:rPr>
                <w:sz w:val="18"/>
                <w:lang w:val="fr-FR"/>
              </w:rPr>
              <w:t>Sous-Comité d’experts du transport des marchandises dangereuses</w:t>
            </w:r>
          </w:p>
        </w:tc>
        <w:tc>
          <w:tcPr>
            <w:tcW w:w="939" w:type="dxa"/>
            <w:shd w:val="clear" w:color="auto" w:fill="auto"/>
            <w:vAlign w:val="bottom"/>
            <w:hideMark/>
          </w:tcPr>
          <w:p w14:paraId="0B68EEE9"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157</w:t>
            </w:r>
          </w:p>
        </w:tc>
        <w:tc>
          <w:tcPr>
            <w:tcW w:w="909" w:type="dxa"/>
            <w:shd w:val="clear" w:color="auto" w:fill="auto"/>
            <w:vAlign w:val="bottom"/>
            <w:hideMark/>
          </w:tcPr>
          <w:p w14:paraId="53A21551"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78</w:t>
            </w:r>
          </w:p>
        </w:tc>
        <w:tc>
          <w:tcPr>
            <w:tcW w:w="1580" w:type="dxa"/>
            <w:shd w:val="clear" w:color="auto" w:fill="auto"/>
            <w:vAlign w:val="bottom"/>
            <w:hideMark/>
          </w:tcPr>
          <w:p w14:paraId="0C18B8DE"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50 %</w:t>
            </w:r>
          </w:p>
        </w:tc>
      </w:tr>
      <w:tr w:rsidR="007059B1" w:rsidRPr="004255E0" w14:paraId="71EC4AB8" w14:textId="77777777" w:rsidTr="004255E0">
        <w:tc>
          <w:tcPr>
            <w:tcW w:w="6209" w:type="dxa"/>
            <w:shd w:val="clear" w:color="auto" w:fill="auto"/>
            <w:hideMark/>
          </w:tcPr>
          <w:p w14:paraId="5661DB73" w14:textId="2A4A2204" w:rsidR="007059B1" w:rsidRPr="004255E0" w:rsidRDefault="007059B1" w:rsidP="004255E0">
            <w:pPr>
              <w:suppressAutoHyphens w:val="0"/>
              <w:spacing w:before="40" w:after="40" w:line="220" w:lineRule="exact"/>
              <w:ind w:left="170" w:hanging="170"/>
              <w:rPr>
                <w:sz w:val="18"/>
                <w:szCs w:val="18"/>
              </w:rPr>
            </w:pPr>
            <w:r w:rsidRPr="004255E0">
              <w:rPr>
                <w:sz w:val="18"/>
                <w:lang w:val="fr-FR"/>
              </w:rPr>
              <w:t>c.</w:t>
            </w:r>
            <w:r w:rsidR="004255E0">
              <w:rPr>
                <w:sz w:val="18"/>
                <w:lang w:val="fr-FR"/>
              </w:rPr>
              <w:tab/>
            </w:r>
            <w:r w:rsidRPr="004255E0">
              <w:rPr>
                <w:sz w:val="18"/>
                <w:lang w:val="fr-FR"/>
              </w:rPr>
              <w:t xml:space="preserve">Sous-Comité d’experts du Système général harmonisé de classification </w:t>
            </w:r>
            <w:r w:rsidR="0079253C">
              <w:rPr>
                <w:sz w:val="18"/>
                <w:lang w:val="fr-FR"/>
              </w:rPr>
              <w:br/>
            </w:r>
            <w:r w:rsidRPr="004255E0">
              <w:rPr>
                <w:sz w:val="18"/>
                <w:lang w:val="fr-FR"/>
              </w:rPr>
              <w:t>et d’étiquetage des produits chimiques</w:t>
            </w:r>
          </w:p>
        </w:tc>
        <w:tc>
          <w:tcPr>
            <w:tcW w:w="939" w:type="dxa"/>
            <w:shd w:val="clear" w:color="auto" w:fill="auto"/>
            <w:vAlign w:val="bottom"/>
            <w:hideMark/>
          </w:tcPr>
          <w:p w14:paraId="032CAAEA"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32</w:t>
            </w:r>
          </w:p>
        </w:tc>
        <w:tc>
          <w:tcPr>
            <w:tcW w:w="909" w:type="dxa"/>
            <w:shd w:val="clear" w:color="auto" w:fill="auto"/>
            <w:vAlign w:val="bottom"/>
            <w:hideMark/>
          </w:tcPr>
          <w:p w14:paraId="63A58834" w14:textId="77777777" w:rsidR="007059B1" w:rsidRPr="004255E0" w:rsidRDefault="007059B1" w:rsidP="004255E0">
            <w:pPr>
              <w:suppressAutoHyphens w:val="0"/>
              <w:spacing w:before="40" w:after="40" w:line="220" w:lineRule="exact"/>
              <w:jc w:val="right"/>
              <w:rPr>
                <w:sz w:val="18"/>
                <w:szCs w:val="18"/>
              </w:rPr>
            </w:pPr>
            <w:r w:rsidRPr="004255E0">
              <w:rPr>
                <w:sz w:val="18"/>
                <w:lang w:val="fr-FR"/>
              </w:rPr>
              <w:t>22</w:t>
            </w:r>
          </w:p>
        </w:tc>
        <w:tc>
          <w:tcPr>
            <w:tcW w:w="1580" w:type="dxa"/>
            <w:shd w:val="clear" w:color="auto" w:fill="auto"/>
            <w:vAlign w:val="bottom"/>
            <w:hideMark/>
          </w:tcPr>
          <w:p w14:paraId="606731BF"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69 %</w:t>
            </w:r>
          </w:p>
        </w:tc>
      </w:tr>
      <w:tr w:rsidR="007059B1" w:rsidRPr="004255E0" w14:paraId="4CA7DF7E" w14:textId="77777777" w:rsidTr="004255E0">
        <w:tc>
          <w:tcPr>
            <w:tcW w:w="6209" w:type="dxa"/>
            <w:tcBorders>
              <w:bottom w:val="single" w:sz="12" w:space="0" w:color="auto"/>
            </w:tcBorders>
            <w:shd w:val="clear" w:color="auto" w:fill="auto"/>
            <w:hideMark/>
          </w:tcPr>
          <w:p w14:paraId="10FB68FC" w14:textId="68EEC00A" w:rsidR="007059B1" w:rsidRPr="004255E0" w:rsidRDefault="007059B1" w:rsidP="004255E0">
            <w:pPr>
              <w:suppressAutoHyphens w:val="0"/>
              <w:spacing w:before="40" w:after="40" w:line="220" w:lineRule="exact"/>
              <w:ind w:left="170" w:hanging="170"/>
              <w:rPr>
                <w:b/>
                <w:bCs/>
                <w:sz w:val="18"/>
                <w:szCs w:val="18"/>
              </w:rPr>
            </w:pPr>
            <w:r w:rsidRPr="004255E0">
              <w:rPr>
                <w:b/>
                <w:bCs/>
                <w:sz w:val="18"/>
                <w:lang w:val="fr-FR"/>
              </w:rPr>
              <w:t>3.</w:t>
            </w:r>
            <w:r w:rsidR="0079253C">
              <w:rPr>
                <w:b/>
                <w:bCs/>
                <w:sz w:val="18"/>
                <w:lang w:val="fr-FR"/>
              </w:rPr>
              <w:tab/>
            </w:r>
            <w:r w:rsidRPr="004255E0">
              <w:rPr>
                <w:b/>
                <w:bCs/>
                <w:sz w:val="18"/>
                <w:lang w:val="fr-FR"/>
              </w:rPr>
              <w:t>Réunion de haut niveau sur les transports, la santé et l’environnement</w:t>
            </w:r>
          </w:p>
        </w:tc>
        <w:tc>
          <w:tcPr>
            <w:tcW w:w="939" w:type="dxa"/>
            <w:tcBorders>
              <w:bottom w:val="single" w:sz="12" w:space="0" w:color="auto"/>
            </w:tcBorders>
            <w:shd w:val="clear" w:color="auto" w:fill="auto"/>
            <w:vAlign w:val="bottom"/>
            <w:hideMark/>
          </w:tcPr>
          <w:p w14:paraId="17F75401"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3</w:t>
            </w:r>
          </w:p>
        </w:tc>
        <w:tc>
          <w:tcPr>
            <w:tcW w:w="909" w:type="dxa"/>
            <w:tcBorders>
              <w:bottom w:val="single" w:sz="12" w:space="0" w:color="auto"/>
            </w:tcBorders>
            <w:shd w:val="clear" w:color="auto" w:fill="auto"/>
            <w:vAlign w:val="bottom"/>
            <w:hideMark/>
          </w:tcPr>
          <w:p w14:paraId="065E76A5"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3</w:t>
            </w:r>
          </w:p>
        </w:tc>
        <w:tc>
          <w:tcPr>
            <w:tcW w:w="1580" w:type="dxa"/>
            <w:tcBorders>
              <w:bottom w:val="single" w:sz="12" w:space="0" w:color="auto"/>
            </w:tcBorders>
            <w:shd w:val="clear" w:color="auto" w:fill="auto"/>
            <w:vAlign w:val="bottom"/>
            <w:hideMark/>
          </w:tcPr>
          <w:p w14:paraId="70FA47F8" w14:textId="77777777" w:rsidR="007059B1" w:rsidRPr="004255E0" w:rsidRDefault="007059B1" w:rsidP="004255E0">
            <w:pPr>
              <w:suppressAutoHyphens w:val="0"/>
              <w:spacing w:before="40" w:after="40" w:line="220" w:lineRule="exact"/>
              <w:jc w:val="right"/>
              <w:rPr>
                <w:b/>
                <w:bCs/>
                <w:sz w:val="18"/>
                <w:szCs w:val="18"/>
              </w:rPr>
            </w:pPr>
            <w:r w:rsidRPr="004255E0">
              <w:rPr>
                <w:b/>
                <w:bCs/>
                <w:sz w:val="18"/>
                <w:lang w:val="fr-FR"/>
              </w:rPr>
              <w:t>100 %</w:t>
            </w:r>
          </w:p>
        </w:tc>
      </w:tr>
    </w:tbl>
    <w:p w14:paraId="39B9DCB5" w14:textId="31C02C51" w:rsidR="00F9573C" w:rsidRPr="007059B1" w:rsidRDefault="007059B1" w:rsidP="007059B1">
      <w:pPr>
        <w:pStyle w:val="SingleTxtG"/>
        <w:spacing w:before="240" w:after="0"/>
        <w:jc w:val="center"/>
        <w:rPr>
          <w:u w:val="single"/>
        </w:rPr>
      </w:pPr>
      <w:r>
        <w:rPr>
          <w:u w:val="single"/>
        </w:rPr>
        <w:tab/>
      </w:r>
      <w:r>
        <w:rPr>
          <w:u w:val="single"/>
        </w:rPr>
        <w:tab/>
      </w:r>
      <w:r>
        <w:rPr>
          <w:u w:val="single"/>
        </w:rPr>
        <w:tab/>
      </w:r>
      <w:r>
        <w:rPr>
          <w:u w:val="single"/>
        </w:rPr>
        <w:tab/>
      </w:r>
    </w:p>
    <w:sectPr w:rsidR="00F9573C" w:rsidRPr="007059B1" w:rsidSect="007059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723A1" w14:textId="77777777" w:rsidR="005178D2" w:rsidRDefault="005178D2" w:rsidP="00F95C08">
      <w:pPr>
        <w:spacing w:line="240" w:lineRule="auto"/>
      </w:pPr>
    </w:p>
  </w:endnote>
  <w:endnote w:type="continuationSeparator" w:id="0">
    <w:p w14:paraId="062D93DC" w14:textId="77777777" w:rsidR="005178D2" w:rsidRPr="00AC3823" w:rsidRDefault="005178D2" w:rsidP="00AC3823">
      <w:pPr>
        <w:pStyle w:val="Pieddepage"/>
      </w:pPr>
    </w:p>
  </w:endnote>
  <w:endnote w:type="continuationNotice" w:id="1">
    <w:p w14:paraId="6C36FDD0" w14:textId="77777777" w:rsidR="005178D2" w:rsidRDefault="005178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F698" w14:textId="6C63579D" w:rsidR="005178D2" w:rsidRPr="007059B1" w:rsidRDefault="005178D2" w:rsidP="007059B1">
    <w:pPr>
      <w:pStyle w:val="Pieddepage"/>
      <w:tabs>
        <w:tab w:val="right" w:pos="9638"/>
      </w:tabs>
    </w:pPr>
    <w:r w:rsidRPr="007059B1">
      <w:rPr>
        <w:b/>
        <w:sz w:val="18"/>
      </w:rPr>
      <w:fldChar w:fldCharType="begin"/>
    </w:r>
    <w:r w:rsidRPr="007059B1">
      <w:rPr>
        <w:b/>
        <w:sz w:val="18"/>
      </w:rPr>
      <w:instrText xml:space="preserve"> PAGE  \* MERGEFORMAT </w:instrText>
    </w:r>
    <w:r w:rsidRPr="007059B1">
      <w:rPr>
        <w:b/>
        <w:sz w:val="18"/>
      </w:rPr>
      <w:fldChar w:fldCharType="separate"/>
    </w:r>
    <w:r w:rsidRPr="007059B1">
      <w:rPr>
        <w:b/>
        <w:noProof/>
        <w:sz w:val="18"/>
      </w:rPr>
      <w:t>2</w:t>
    </w:r>
    <w:r w:rsidRPr="007059B1">
      <w:rPr>
        <w:b/>
        <w:sz w:val="18"/>
      </w:rPr>
      <w:fldChar w:fldCharType="end"/>
    </w:r>
    <w:r>
      <w:rPr>
        <w:b/>
        <w:sz w:val="18"/>
      </w:rPr>
      <w:tab/>
    </w:r>
    <w:r>
      <w:t>GE.21-18484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E6A5" w14:textId="30B0D88E" w:rsidR="005178D2" w:rsidRPr="007059B1" w:rsidRDefault="005178D2" w:rsidP="007059B1">
    <w:pPr>
      <w:pStyle w:val="Pieddepage"/>
      <w:tabs>
        <w:tab w:val="right" w:pos="9638"/>
      </w:tabs>
      <w:rPr>
        <w:b/>
        <w:sz w:val="18"/>
      </w:rPr>
    </w:pPr>
    <w:r>
      <w:t>GE.21-18484</w:t>
    </w:r>
    <w:r>
      <w:tab/>
    </w:r>
    <w:r w:rsidRPr="007059B1">
      <w:rPr>
        <w:b/>
        <w:sz w:val="18"/>
      </w:rPr>
      <w:fldChar w:fldCharType="begin"/>
    </w:r>
    <w:r w:rsidRPr="007059B1">
      <w:rPr>
        <w:b/>
        <w:sz w:val="18"/>
      </w:rPr>
      <w:instrText xml:space="preserve"> PAGE  \* MERGEFORMAT </w:instrText>
    </w:r>
    <w:r w:rsidRPr="007059B1">
      <w:rPr>
        <w:b/>
        <w:sz w:val="18"/>
      </w:rPr>
      <w:fldChar w:fldCharType="separate"/>
    </w:r>
    <w:r w:rsidRPr="007059B1">
      <w:rPr>
        <w:b/>
        <w:noProof/>
        <w:sz w:val="18"/>
      </w:rPr>
      <w:t>3</w:t>
    </w:r>
    <w:r w:rsidRPr="007059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8054" w14:textId="4B408465" w:rsidR="005178D2" w:rsidRPr="007059B1" w:rsidRDefault="005178D2" w:rsidP="007059B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2366686" wp14:editId="32BFE46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21-18484  (F)</w:t>
    </w:r>
    <w:r>
      <w:rPr>
        <w:noProof/>
        <w:sz w:val="20"/>
      </w:rPr>
      <w:drawing>
        <wp:anchor distT="0" distB="0" distL="114300" distR="114300" simplePos="0" relativeHeight="251660288" behindDoc="0" locked="0" layoutInCell="1" allowOverlap="1" wp14:anchorId="76DE3FC6" wp14:editId="4306379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53C">
      <w:rPr>
        <w:sz w:val="20"/>
      </w:rPr>
      <w:t xml:space="preserve">    070122    1</w:t>
    </w:r>
    <w:r w:rsidR="00D145CD">
      <w:rPr>
        <w:sz w:val="20"/>
      </w:rPr>
      <w:t>8</w:t>
    </w:r>
    <w:r w:rsidR="0079253C">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ABBF" w14:textId="77777777" w:rsidR="005178D2" w:rsidRPr="00AC3823" w:rsidRDefault="005178D2" w:rsidP="00AC3823">
      <w:pPr>
        <w:pStyle w:val="Pieddepage"/>
        <w:tabs>
          <w:tab w:val="right" w:pos="2155"/>
        </w:tabs>
        <w:spacing w:after="80" w:line="240" w:lineRule="atLeast"/>
        <w:ind w:left="680"/>
        <w:rPr>
          <w:u w:val="single"/>
        </w:rPr>
      </w:pPr>
      <w:r>
        <w:rPr>
          <w:u w:val="single"/>
        </w:rPr>
        <w:tab/>
      </w:r>
    </w:p>
  </w:footnote>
  <w:footnote w:type="continuationSeparator" w:id="0">
    <w:p w14:paraId="4B9F0450" w14:textId="77777777" w:rsidR="005178D2" w:rsidRPr="00AC3823" w:rsidRDefault="005178D2" w:rsidP="00AC3823">
      <w:pPr>
        <w:pStyle w:val="Pieddepage"/>
        <w:tabs>
          <w:tab w:val="right" w:pos="2155"/>
        </w:tabs>
        <w:spacing w:after="80" w:line="240" w:lineRule="atLeast"/>
        <w:ind w:left="680"/>
        <w:rPr>
          <w:u w:val="single"/>
        </w:rPr>
      </w:pPr>
      <w:r>
        <w:rPr>
          <w:u w:val="single"/>
        </w:rPr>
        <w:tab/>
      </w:r>
    </w:p>
  </w:footnote>
  <w:footnote w:type="continuationNotice" w:id="1">
    <w:p w14:paraId="646B55BA" w14:textId="77777777" w:rsidR="005178D2" w:rsidRPr="00AC3823" w:rsidRDefault="005178D2">
      <w:pPr>
        <w:spacing w:line="240" w:lineRule="auto"/>
        <w:rPr>
          <w:sz w:val="2"/>
          <w:szCs w:val="2"/>
        </w:rPr>
      </w:pPr>
    </w:p>
  </w:footnote>
  <w:footnote w:id="2">
    <w:p w14:paraId="4E0B10C8" w14:textId="371890DD" w:rsidR="005178D2" w:rsidRPr="00695513" w:rsidRDefault="005178D2">
      <w:pPr>
        <w:pStyle w:val="Notedebasdepage"/>
      </w:pPr>
      <w:r>
        <w:rPr>
          <w:rStyle w:val="Appelnotedebasdep"/>
        </w:rPr>
        <w:tab/>
      </w:r>
      <w:r w:rsidRPr="00695513">
        <w:rPr>
          <w:rStyle w:val="Appelnotedebasdep"/>
          <w:sz w:val="20"/>
          <w:vertAlign w:val="baseline"/>
        </w:rPr>
        <w:t>*</w:t>
      </w:r>
      <w:r>
        <w:rPr>
          <w:rStyle w:val="Appelnotedebasdep"/>
          <w:sz w:val="20"/>
          <w:vertAlign w:val="baseline"/>
        </w:rPr>
        <w:tab/>
      </w:r>
      <w:r>
        <w:rPr>
          <w:lang w:val="fr-FR"/>
        </w:rPr>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14:paraId="2B76E35D" w14:textId="5B49E2C8" w:rsidR="005178D2" w:rsidRPr="00572D79" w:rsidRDefault="005178D2" w:rsidP="007059B1">
      <w:pPr>
        <w:pStyle w:val="Notedebasdepage"/>
      </w:pPr>
      <w:r>
        <w:rPr>
          <w:lang w:val="fr-FR"/>
        </w:rPr>
        <w:tab/>
      </w:r>
      <w:r w:rsidRPr="007B5A5E">
        <w:rPr>
          <w:rStyle w:val="Appelnotedebasdep"/>
        </w:rPr>
        <w:footnoteRef/>
      </w:r>
      <w:r>
        <w:rPr>
          <w:lang w:val="fr-FR"/>
        </w:rPr>
        <w:tab/>
        <w:t>Données exactes au moment de l’élaboration du tableau, mais susceptibles d’être modifiées en fonction de l’évolution de la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F3CE" w14:textId="077E0CD0" w:rsidR="005178D2" w:rsidRPr="007059B1" w:rsidRDefault="002F0055">
    <w:pPr>
      <w:pStyle w:val="En-tte"/>
    </w:pPr>
    <w:fldSimple w:instr=" TITLE  \* MERGEFORMAT ">
      <w:r w:rsidR="00886EC5">
        <w:t>ECE/TRANS/2022/4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D86F" w14:textId="63085380" w:rsidR="005178D2" w:rsidRPr="007059B1" w:rsidRDefault="002F0055" w:rsidP="007059B1">
    <w:pPr>
      <w:pStyle w:val="En-tte"/>
      <w:jc w:val="right"/>
    </w:pPr>
    <w:fldSimple w:instr=" TITLE  \* MERGEFORMAT ">
      <w:r w:rsidR="00886EC5">
        <w:t>ECE/TRANS/2022/4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C7B41C0"/>
    <w:multiLevelType w:val="hybridMultilevel"/>
    <w:tmpl w:val="468E35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3482AA9"/>
    <w:multiLevelType w:val="hybridMultilevel"/>
    <w:tmpl w:val="915AB906"/>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20"/>
  </w:num>
  <w:num w:numId="24">
    <w:abstractNumId w:val="22"/>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3E"/>
    <w:rsid w:val="00017F94"/>
    <w:rsid w:val="00023842"/>
    <w:rsid w:val="000334F9"/>
    <w:rsid w:val="00045FEB"/>
    <w:rsid w:val="0007796D"/>
    <w:rsid w:val="000B7790"/>
    <w:rsid w:val="000D18C0"/>
    <w:rsid w:val="00111F2F"/>
    <w:rsid w:val="0014365E"/>
    <w:rsid w:val="00143C66"/>
    <w:rsid w:val="00176178"/>
    <w:rsid w:val="001F525A"/>
    <w:rsid w:val="00201148"/>
    <w:rsid w:val="00223272"/>
    <w:rsid w:val="0024779E"/>
    <w:rsid w:val="00257168"/>
    <w:rsid w:val="002744B8"/>
    <w:rsid w:val="002832AC"/>
    <w:rsid w:val="002D7C93"/>
    <w:rsid w:val="002F0055"/>
    <w:rsid w:val="00305801"/>
    <w:rsid w:val="003916DE"/>
    <w:rsid w:val="003F133E"/>
    <w:rsid w:val="00421996"/>
    <w:rsid w:val="004255E0"/>
    <w:rsid w:val="00441C3B"/>
    <w:rsid w:val="00446FE5"/>
    <w:rsid w:val="00452396"/>
    <w:rsid w:val="00477EB2"/>
    <w:rsid w:val="004837D8"/>
    <w:rsid w:val="004E2EED"/>
    <w:rsid w:val="004E468C"/>
    <w:rsid w:val="005178D2"/>
    <w:rsid w:val="005505B7"/>
    <w:rsid w:val="005561AE"/>
    <w:rsid w:val="00565417"/>
    <w:rsid w:val="00573BE5"/>
    <w:rsid w:val="00586ED3"/>
    <w:rsid w:val="00596AA9"/>
    <w:rsid w:val="005E3F9C"/>
    <w:rsid w:val="00695513"/>
    <w:rsid w:val="007059B1"/>
    <w:rsid w:val="0071601D"/>
    <w:rsid w:val="007744A6"/>
    <w:rsid w:val="0079253C"/>
    <w:rsid w:val="007A62E6"/>
    <w:rsid w:val="007C55B7"/>
    <w:rsid w:val="007F20FA"/>
    <w:rsid w:val="0080684C"/>
    <w:rsid w:val="00871C75"/>
    <w:rsid w:val="008776DC"/>
    <w:rsid w:val="00886EC5"/>
    <w:rsid w:val="008D5EF9"/>
    <w:rsid w:val="009446C0"/>
    <w:rsid w:val="00962D2B"/>
    <w:rsid w:val="009705C8"/>
    <w:rsid w:val="00984FE9"/>
    <w:rsid w:val="009C1CF4"/>
    <w:rsid w:val="009F6B74"/>
    <w:rsid w:val="00A3029F"/>
    <w:rsid w:val="00A30353"/>
    <w:rsid w:val="00AB074F"/>
    <w:rsid w:val="00AC3823"/>
    <w:rsid w:val="00AE323C"/>
    <w:rsid w:val="00AF0CB5"/>
    <w:rsid w:val="00B00181"/>
    <w:rsid w:val="00B00B0D"/>
    <w:rsid w:val="00B45F2E"/>
    <w:rsid w:val="00B765F7"/>
    <w:rsid w:val="00B77993"/>
    <w:rsid w:val="00BA0CA9"/>
    <w:rsid w:val="00C02897"/>
    <w:rsid w:val="00C97039"/>
    <w:rsid w:val="00D145CD"/>
    <w:rsid w:val="00D3439C"/>
    <w:rsid w:val="00D7622E"/>
    <w:rsid w:val="00DB1831"/>
    <w:rsid w:val="00DD3BFD"/>
    <w:rsid w:val="00DF6678"/>
    <w:rsid w:val="00E0299A"/>
    <w:rsid w:val="00E85C74"/>
    <w:rsid w:val="00E925E7"/>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1BFC9C"/>
  <w15:docId w15:val="{A9D39824-1E7C-4145-A676-032A8B35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7</Pages>
  <Words>2544</Words>
  <Characters>14501</Characters>
  <Application>Microsoft Office Word</Application>
  <DocSecurity>0</DocSecurity>
  <Lines>120</Lines>
  <Paragraphs>34</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ECE/TRANS/2022/4</vt:lpstr>
      <vt:lpstr>    Conséquences de la COVID-19 et de la crise de liquidités  sur les travaux du s</vt:lpstr>
      <vt:lpstr>        Note du secrétariat*</vt:lpstr>
      <vt:lpstr>    I.	Contexte</vt:lpstr>
      <vt:lpstr>    II.	Mesures d’ajustement</vt:lpstr>
      <vt:lpstr>        A.	Procédures spéciales mises en place pendant la pandémie de COVID-19</vt:lpstr>
      <vt:lpstr>        B.	Gestion des conférences : changements d’orientation</vt:lpstr>
      <vt:lpstr>        C.	Incidences sur les tâches confiées au personnel</vt:lpstr>
      <vt:lpstr>        D.	Annulations, reports, réunions informelles à distance (en ligne) et manifest</vt:lpstr>
      <vt:lpstr>    III.	Conséquences sur les travaux du sous-programme Transports</vt:lpstr>
      <vt:lpstr>        A.	Conséquences sur les réunions</vt:lpstr>
      <vt:lpstr>Tableau 1  Conséquences de la COVID-19 et de la crise de liquidités sur les réun</vt:lpstr>
      <vt:lpstr>Tableau 2 Conséquences de la COVID-19 et de la crise de liquidités sur les réuni</vt:lpstr>
      <vt:lpstr>        B.	Conséquences sur les documents</vt:lpstr>
      <vt:lpstr>Tableau 3  Conséquences de la COVID-19 et de la crise de liquidités sur les docu</vt:lpstr>
    </vt:vector>
  </TitlesOfParts>
  <Company>DCM</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ECE/TRANS/2022/4</dc:title>
  <dc:subject/>
  <dc:creator>Valerie BERTIN</dc:creator>
  <cp:keywords/>
  <cp:lastModifiedBy>Valerie Bertin</cp:lastModifiedBy>
  <cp:revision>3</cp:revision>
  <cp:lastPrinted>2022-01-18T08:50:00Z</cp:lastPrinted>
  <dcterms:created xsi:type="dcterms:W3CDTF">2022-01-18T08:50:00Z</dcterms:created>
  <dcterms:modified xsi:type="dcterms:W3CDTF">2022-01-18T08:52:00Z</dcterms:modified>
</cp:coreProperties>
</file>