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F02F5" w:rsidRPr="00FF02F5" w14:paraId="60899346" w14:textId="77777777" w:rsidTr="00B20551">
        <w:trPr>
          <w:cantSplit/>
          <w:trHeight w:hRule="exact" w:val="851"/>
        </w:trPr>
        <w:tc>
          <w:tcPr>
            <w:tcW w:w="1276" w:type="dxa"/>
            <w:tcBorders>
              <w:bottom w:val="single" w:sz="4" w:space="0" w:color="auto"/>
            </w:tcBorders>
            <w:vAlign w:val="bottom"/>
          </w:tcPr>
          <w:p w14:paraId="60899343" w14:textId="77777777" w:rsidR="009E6CB7" w:rsidRPr="00FF02F5" w:rsidRDefault="009E6CB7" w:rsidP="00B20551">
            <w:pPr>
              <w:spacing w:after="80"/>
            </w:pPr>
          </w:p>
        </w:tc>
        <w:tc>
          <w:tcPr>
            <w:tcW w:w="2268" w:type="dxa"/>
            <w:tcBorders>
              <w:bottom w:val="single" w:sz="4" w:space="0" w:color="auto"/>
            </w:tcBorders>
            <w:vAlign w:val="bottom"/>
          </w:tcPr>
          <w:p w14:paraId="60899344" w14:textId="77777777" w:rsidR="009E6CB7" w:rsidRPr="00FF02F5" w:rsidRDefault="009E6CB7" w:rsidP="00B20551">
            <w:pPr>
              <w:spacing w:after="80" w:line="300" w:lineRule="exact"/>
              <w:rPr>
                <w:b/>
                <w:sz w:val="24"/>
                <w:szCs w:val="24"/>
              </w:rPr>
            </w:pPr>
            <w:r w:rsidRPr="00FF02F5">
              <w:rPr>
                <w:sz w:val="28"/>
                <w:szCs w:val="28"/>
              </w:rPr>
              <w:t>United Nations</w:t>
            </w:r>
          </w:p>
        </w:tc>
        <w:tc>
          <w:tcPr>
            <w:tcW w:w="6095" w:type="dxa"/>
            <w:gridSpan w:val="2"/>
            <w:tcBorders>
              <w:bottom w:val="single" w:sz="4" w:space="0" w:color="auto"/>
            </w:tcBorders>
            <w:vAlign w:val="bottom"/>
          </w:tcPr>
          <w:p w14:paraId="60899345" w14:textId="68FEF29B" w:rsidR="009E6CB7" w:rsidRPr="00FF02F5" w:rsidRDefault="001F5316" w:rsidP="00954785">
            <w:pPr>
              <w:jc w:val="right"/>
            </w:pPr>
            <w:r w:rsidRPr="001F5316">
              <w:rPr>
                <w:sz w:val="40"/>
              </w:rPr>
              <w:t>ECE</w:t>
            </w:r>
            <w:r>
              <w:t>/TRANS/2022/4</w:t>
            </w:r>
          </w:p>
        </w:tc>
      </w:tr>
      <w:tr w:rsidR="00FF02F5" w:rsidRPr="00FF02F5" w14:paraId="6089934D" w14:textId="77777777" w:rsidTr="00B20551">
        <w:trPr>
          <w:cantSplit/>
          <w:trHeight w:hRule="exact" w:val="2835"/>
        </w:trPr>
        <w:tc>
          <w:tcPr>
            <w:tcW w:w="1276" w:type="dxa"/>
            <w:tcBorders>
              <w:top w:val="single" w:sz="4" w:space="0" w:color="auto"/>
              <w:bottom w:val="single" w:sz="12" w:space="0" w:color="auto"/>
            </w:tcBorders>
          </w:tcPr>
          <w:p w14:paraId="60899347" w14:textId="77777777" w:rsidR="009E6CB7" w:rsidRPr="00FF02F5" w:rsidRDefault="00686A48" w:rsidP="00B20551">
            <w:pPr>
              <w:spacing w:before="120"/>
            </w:pPr>
            <w:r w:rsidRPr="00FF02F5">
              <w:rPr>
                <w:noProof/>
                <w:lang w:val="fr-CH" w:eastAsia="fr-CH"/>
              </w:rPr>
              <w:drawing>
                <wp:inline distT="0" distB="0" distL="0" distR="0" wp14:anchorId="60899353" wp14:editId="60899354">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0899348" w14:textId="77777777" w:rsidR="009E6CB7" w:rsidRPr="00FF02F5" w:rsidRDefault="009E6CB7" w:rsidP="00B20551">
            <w:pPr>
              <w:spacing w:before="120" w:line="420" w:lineRule="exact"/>
              <w:rPr>
                <w:sz w:val="40"/>
                <w:szCs w:val="40"/>
              </w:rPr>
            </w:pPr>
            <w:r w:rsidRPr="00FF02F5">
              <w:rPr>
                <w:b/>
                <w:sz w:val="40"/>
                <w:szCs w:val="40"/>
              </w:rPr>
              <w:t>Economic and Social Council</w:t>
            </w:r>
          </w:p>
        </w:tc>
        <w:tc>
          <w:tcPr>
            <w:tcW w:w="2835" w:type="dxa"/>
            <w:tcBorders>
              <w:top w:val="single" w:sz="4" w:space="0" w:color="auto"/>
              <w:bottom w:val="single" w:sz="12" w:space="0" w:color="auto"/>
            </w:tcBorders>
          </w:tcPr>
          <w:p w14:paraId="60899349" w14:textId="77777777" w:rsidR="009E6CB7" w:rsidRPr="00FF02F5" w:rsidRDefault="00954785" w:rsidP="00954785">
            <w:pPr>
              <w:spacing w:before="240" w:line="240" w:lineRule="exact"/>
            </w:pPr>
            <w:r w:rsidRPr="00FF02F5">
              <w:t>Distr.: General</w:t>
            </w:r>
          </w:p>
          <w:p w14:paraId="6089934A" w14:textId="3F6FAFDC" w:rsidR="00954785" w:rsidRPr="00FF02F5" w:rsidRDefault="00D91676" w:rsidP="00954785">
            <w:pPr>
              <w:spacing w:line="240" w:lineRule="exact"/>
            </w:pPr>
            <w:r>
              <w:t>9</w:t>
            </w:r>
            <w:r w:rsidR="0090235E">
              <w:t xml:space="preserve"> December</w:t>
            </w:r>
            <w:r w:rsidR="00CD3488">
              <w:t xml:space="preserve"> </w:t>
            </w:r>
            <w:r w:rsidR="00954785" w:rsidRPr="00FF02F5">
              <w:t>20</w:t>
            </w:r>
            <w:r w:rsidR="006B3ABA">
              <w:t>2</w:t>
            </w:r>
            <w:r w:rsidR="00A06F27">
              <w:t>1</w:t>
            </w:r>
          </w:p>
          <w:p w14:paraId="6089934B" w14:textId="77777777" w:rsidR="00954785" w:rsidRPr="00FF02F5" w:rsidRDefault="00954785" w:rsidP="00954785">
            <w:pPr>
              <w:spacing w:line="240" w:lineRule="exact"/>
            </w:pPr>
          </w:p>
          <w:p w14:paraId="6089934C" w14:textId="77777777" w:rsidR="00954785" w:rsidRPr="00FF02F5" w:rsidRDefault="00954785" w:rsidP="00954785">
            <w:pPr>
              <w:spacing w:line="240" w:lineRule="exact"/>
            </w:pPr>
            <w:r w:rsidRPr="00FF02F5">
              <w:t>Original: English</w:t>
            </w:r>
          </w:p>
        </w:tc>
      </w:tr>
    </w:tbl>
    <w:p w14:paraId="6089934E" w14:textId="77777777" w:rsidR="00250503" w:rsidRPr="00FF02F5" w:rsidRDefault="00250503" w:rsidP="00250503">
      <w:pPr>
        <w:spacing w:before="120"/>
        <w:rPr>
          <w:b/>
          <w:bCs/>
          <w:sz w:val="28"/>
          <w:szCs w:val="28"/>
        </w:rPr>
      </w:pPr>
      <w:r w:rsidRPr="00FF02F5">
        <w:rPr>
          <w:b/>
          <w:bCs/>
          <w:sz w:val="28"/>
          <w:szCs w:val="28"/>
        </w:rPr>
        <w:t>Economic Commission for Europe</w:t>
      </w:r>
    </w:p>
    <w:p w14:paraId="6089934F" w14:textId="77777777" w:rsidR="00250503" w:rsidRPr="00FF02F5" w:rsidRDefault="00250503" w:rsidP="00250503">
      <w:pPr>
        <w:spacing w:before="120"/>
        <w:rPr>
          <w:sz w:val="28"/>
          <w:szCs w:val="28"/>
        </w:rPr>
      </w:pPr>
      <w:r w:rsidRPr="00FF02F5">
        <w:rPr>
          <w:sz w:val="28"/>
          <w:szCs w:val="28"/>
        </w:rPr>
        <w:t>Inland Transport Committee</w:t>
      </w:r>
    </w:p>
    <w:p w14:paraId="60899350" w14:textId="337DCF34" w:rsidR="00250503" w:rsidRPr="00FF02F5" w:rsidRDefault="00250503" w:rsidP="00250503">
      <w:pPr>
        <w:spacing w:before="120"/>
        <w:rPr>
          <w:b/>
          <w:bCs/>
        </w:rPr>
      </w:pPr>
      <w:r w:rsidRPr="00FF02F5">
        <w:rPr>
          <w:b/>
          <w:bCs/>
        </w:rPr>
        <w:t>Eighty-</w:t>
      </w:r>
      <w:r w:rsidR="00A06F27">
        <w:rPr>
          <w:b/>
          <w:bCs/>
        </w:rPr>
        <w:t>fourth</w:t>
      </w:r>
      <w:r w:rsidRPr="00FF02F5">
        <w:rPr>
          <w:b/>
          <w:bCs/>
        </w:rPr>
        <w:t xml:space="preserve"> session</w:t>
      </w:r>
    </w:p>
    <w:p w14:paraId="60899351" w14:textId="0B3865C9" w:rsidR="00250503" w:rsidRPr="00FF02F5" w:rsidRDefault="00250503" w:rsidP="003F4176">
      <w:pPr>
        <w:rPr>
          <w:b/>
          <w:bCs/>
        </w:rPr>
      </w:pPr>
      <w:r w:rsidRPr="00FF02F5">
        <w:t>Geneva, 2</w:t>
      </w:r>
      <w:r w:rsidR="00A06F27">
        <w:t>2</w:t>
      </w:r>
      <w:r w:rsidRPr="00FF02F5">
        <w:t>-2</w:t>
      </w:r>
      <w:r w:rsidR="00A06F27">
        <w:t>5</w:t>
      </w:r>
      <w:r w:rsidRPr="00FF02F5">
        <w:t xml:space="preserve"> February 202</w:t>
      </w:r>
      <w:r w:rsidR="00A06F27">
        <w:t>2</w:t>
      </w:r>
      <w:r w:rsidRPr="00FF02F5">
        <w:br/>
        <w:t xml:space="preserve">Item </w:t>
      </w:r>
      <w:r w:rsidR="0098657C">
        <w:t>4</w:t>
      </w:r>
      <w:r w:rsidRPr="00FF02F5">
        <w:t xml:space="preserve"> of the provisional agenda</w:t>
      </w:r>
      <w:r w:rsidRPr="00FF02F5">
        <w:br/>
      </w:r>
      <w:r w:rsidR="003F4176" w:rsidRPr="003F4176">
        <w:rPr>
          <w:b/>
          <w:bCs/>
        </w:rPr>
        <w:t xml:space="preserve">Governance issues and other matters arising </w:t>
      </w:r>
      <w:r w:rsidR="003F4176">
        <w:rPr>
          <w:b/>
          <w:bCs/>
        </w:rPr>
        <w:br/>
      </w:r>
      <w:r w:rsidR="003F4176" w:rsidRPr="003F4176">
        <w:rPr>
          <w:b/>
          <w:bCs/>
        </w:rPr>
        <w:t xml:space="preserve">from the United Nations Economic Commission </w:t>
      </w:r>
      <w:r w:rsidR="003F4176">
        <w:rPr>
          <w:b/>
          <w:bCs/>
        </w:rPr>
        <w:br/>
      </w:r>
      <w:r w:rsidR="003F4176" w:rsidRPr="003F4176">
        <w:rPr>
          <w:b/>
          <w:bCs/>
        </w:rPr>
        <w:t xml:space="preserve">for Europe, the Economic and Social Council </w:t>
      </w:r>
      <w:r w:rsidR="003F4176">
        <w:rPr>
          <w:b/>
          <w:bCs/>
        </w:rPr>
        <w:br/>
      </w:r>
      <w:r w:rsidR="003F4176" w:rsidRPr="003F4176">
        <w:rPr>
          <w:b/>
          <w:bCs/>
        </w:rPr>
        <w:t>and other United Nations bodies and Conferences</w:t>
      </w:r>
    </w:p>
    <w:p w14:paraId="2A034A72" w14:textId="05E8F17F" w:rsidR="005430F7" w:rsidRPr="00857398" w:rsidRDefault="005430F7" w:rsidP="00F12D70">
      <w:pPr>
        <w:pStyle w:val="HChG"/>
      </w:pPr>
      <w:r>
        <w:tab/>
      </w:r>
      <w:r>
        <w:tab/>
        <w:t xml:space="preserve">Impacts of COVID-19 and the liquidity </w:t>
      </w:r>
      <w:r w:rsidRPr="00F12D70">
        <w:t>crisis</w:t>
      </w:r>
      <w:r>
        <w:t xml:space="preserve"> on the transport programme of work – 2021 update</w:t>
      </w:r>
    </w:p>
    <w:p w14:paraId="5B4BC02B" w14:textId="20D0A72F" w:rsidR="005430F7" w:rsidRPr="00857398" w:rsidRDefault="005430F7" w:rsidP="00F12D70">
      <w:pPr>
        <w:pStyle w:val="H1G"/>
      </w:pPr>
      <w:r w:rsidRPr="00857398">
        <w:tab/>
      </w:r>
      <w:r w:rsidRPr="00857398">
        <w:tab/>
        <w:t xml:space="preserve">Note by the </w:t>
      </w:r>
      <w:r w:rsidRPr="00F12D70">
        <w:t>secretariat</w:t>
      </w:r>
      <w:r w:rsidR="00251CDF" w:rsidRPr="00251CDF">
        <w:rPr>
          <w:rStyle w:val="FootnoteReference"/>
          <w:sz w:val="20"/>
          <w:vertAlign w:val="baseline"/>
        </w:rPr>
        <w:footnoteReference w:customMarkFollows="1" w:id="2"/>
        <w:t>*</w:t>
      </w:r>
    </w:p>
    <w:p w14:paraId="041819C7" w14:textId="77777777" w:rsidR="005430F7" w:rsidRPr="00857398" w:rsidRDefault="005430F7" w:rsidP="005430F7">
      <w:pPr>
        <w:pStyle w:val="HChG"/>
      </w:pPr>
      <w:r w:rsidRPr="00857398">
        <w:tab/>
        <w:t>I.</w:t>
      </w:r>
      <w:r w:rsidRPr="00857398">
        <w:tab/>
      </w:r>
      <w:r w:rsidRPr="005430F7">
        <w:t>Background</w:t>
      </w:r>
    </w:p>
    <w:p w14:paraId="2BA186D7" w14:textId="77777777" w:rsidR="005430F7" w:rsidRPr="00F12D70" w:rsidRDefault="005430F7" w:rsidP="00F12D70">
      <w:pPr>
        <w:pStyle w:val="SingleTxtG"/>
      </w:pPr>
      <w:r w:rsidRPr="00857398">
        <w:t>1.</w:t>
      </w:r>
      <w:r w:rsidRPr="00857398">
        <w:tab/>
      </w:r>
      <w:r w:rsidRPr="004F3321">
        <w:t>Following the declaration on 16 March 20</w:t>
      </w:r>
      <w:r>
        <w:t>20</w:t>
      </w:r>
      <w:r w:rsidRPr="004F3321">
        <w:t xml:space="preserve"> by the Swiss authorities of an “Extraordinary Situation” in Switzerland</w:t>
      </w:r>
      <w:r w:rsidRPr="0018705F">
        <w:t xml:space="preserve"> due to the increasing number of coronavirus cases in the country,</w:t>
      </w:r>
      <w:r>
        <w:t xml:space="preserve"> the secretariat has </w:t>
      </w:r>
      <w:r w:rsidRPr="00F12D70">
        <w:t>informed the Committee and its Bureau about the combined impacts of the COVID-19 and the liquidity crisis on the transport subprogramme’s 2020 Programme of Work (see ECE/TRANS/2021/5).</w:t>
      </w:r>
    </w:p>
    <w:p w14:paraId="6EBEABA3" w14:textId="55DEB7B6" w:rsidR="005430F7" w:rsidRDefault="005430F7" w:rsidP="00F12D70">
      <w:pPr>
        <w:pStyle w:val="SingleTxtG"/>
      </w:pPr>
      <w:r w:rsidRPr="00F12D70">
        <w:t>2.</w:t>
      </w:r>
      <w:r w:rsidRPr="00F12D70">
        <w:tab/>
        <w:t xml:space="preserve">This note is intended to update the </w:t>
      </w:r>
      <w:r w:rsidR="00F12306" w:rsidRPr="00F12D70">
        <w:t>Committee about</w:t>
      </w:r>
      <w:r w:rsidRPr="00F12D70">
        <w:t xml:space="preserve"> the ongoing situation in the delivery of the 2021 Programme of Work</w:t>
      </w:r>
      <w:r>
        <w:t>.</w:t>
      </w:r>
    </w:p>
    <w:p w14:paraId="23CB7BA3" w14:textId="77777777" w:rsidR="005430F7" w:rsidRDefault="005430F7" w:rsidP="00F12D70">
      <w:pPr>
        <w:pStyle w:val="HChG"/>
      </w:pPr>
      <w:r>
        <w:tab/>
      </w:r>
      <w:r w:rsidRPr="00857398">
        <w:t>I</w:t>
      </w:r>
      <w:r>
        <w:t>I</w:t>
      </w:r>
      <w:r w:rsidRPr="00857398">
        <w:t>.</w:t>
      </w:r>
      <w:r w:rsidRPr="00857398">
        <w:tab/>
      </w:r>
      <w:r>
        <w:t xml:space="preserve">Adjustment </w:t>
      </w:r>
      <w:r w:rsidRPr="00F12D70">
        <w:t>measures</w:t>
      </w:r>
      <w:r>
        <w:t xml:space="preserve"> </w:t>
      </w:r>
    </w:p>
    <w:p w14:paraId="5052D396" w14:textId="77777777" w:rsidR="005430F7" w:rsidRPr="0017743B" w:rsidRDefault="005430F7" w:rsidP="00F12D70">
      <w:pPr>
        <w:pStyle w:val="H1G"/>
      </w:pPr>
      <w:r w:rsidRPr="0017743B">
        <w:tab/>
        <w:t>A.</w:t>
      </w:r>
      <w:r w:rsidRPr="0017743B">
        <w:tab/>
        <w:t xml:space="preserve">Special procedures during </w:t>
      </w:r>
      <w:r w:rsidRPr="00F12D70">
        <w:t>the</w:t>
      </w:r>
      <w:r w:rsidRPr="0017743B">
        <w:t xml:space="preserve"> COVID-19 period</w:t>
      </w:r>
    </w:p>
    <w:p w14:paraId="148C0440" w14:textId="77777777" w:rsidR="005430F7" w:rsidRDefault="005430F7" w:rsidP="00F12D70">
      <w:pPr>
        <w:pStyle w:val="SingleTxtG"/>
      </w:pPr>
      <w:r>
        <w:t>3.</w:t>
      </w:r>
      <w:r>
        <w:tab/>
        <w:t>There have been no changes to the special procedures that were established in 2020.</w:t>
      </w:r>
    </w:p>
    <w:p w14:paraId="5A8BCE29" w14:textId="77777777" w:rsidR="005430F7" w:rsidRPr="0017743B" w:rsidRDefault="005430F7" w:rsidP="00F12D70">
      <w:pPr>
        <w:pStyle w:val="H1G"/>
      </w:pPr>
      <w:r>
        <w:tab/>
      </w:r>
      <w:r w:rsidRPr="0017743B">
        <w:t>B.</w:t>
      </w:r>
      <w:r w:rsidRPr="0017743B">
        <w:tab/>
      </w:r>
      <w:r>
        <w:t xml:space="preserve">Conference management related </w:t>
      </w:r>
      <w:r w:rsidRPr="00F12D70">
        <w:t>policy</w:t>
      </w:r>
      <w:r>
        <w:t xml:space="preserve"> changes</w:t>
      </w:r>
    </w:p>
    <w:p w14:paraId="4070DC9A" w14:textId="391238C1" w:rsidR="005430F7" w:rsidRDefault="005430F7" w:rsidP="005430F7">
      <w:pPr>
        <w:pStyle w:val="SingleTxtG"/>
      </w:pPr>
      <w:r>
        <w:t>4.</w:t>
      </w:r>
      <w:r>
        <w:tab/>
      </w:r>
      <w:r w:rsidRPr="00D5784E">
        <w:t>In response to the COVID-mitigation measures</w:t>
      </w:r>
      <w:r>
        <w:t xml:space="preserve">, </w:t>
      </w:r>
      <w:r w:rsidRPr="00D5784E">
        <w:t xml:space="preserve">the liquidity crisis and the SHP constraints, the Conference Management Services of the United Nations Office in Geneva </w:t>
      </w:r>
      <w:r>
        <w:t>enacted in 2020, among other measures, two critical</w:t>
      </w:r>
      <w:r w:rsidR="00C70947">
        <w:t xml:space="preserve"> </w:t>
      </w:r>
      <w:r>
        <w:t xml:space="preserve">changes impacting conference and interpretation services </w:t>
      </w:r>
      <w:r w:rsidRPr="00D5784E">
        <w:t xml:space="preserve">for </w:t>
      </w:r>
      <w:r w:rsidR="00E36CF5">
        <w:t>United Nations Economic Commission for Europe (</w:t>
      </w:r>
      <w:r w:rsidRPr="00D5784E">
        <w:t>ECE</w:t>
      </w:r>
      <w:r w:rsidR="00E36CF5">
        <w:t>)</w:t>
      </w:r>
      <w:r w:rsidRPr="00D5784E">
        <w:t xml:space="preserve"> meetings</w:t>
      </w:r>
      <w:r>
        <w:t xml:space="preserve">: </w:t>
      </w:r>
    </w:p>
    <w:p w14:paraId="44CBD464" w14:textId="0E03AFFE" w:rsidR="005430F7" w:rsidRDefault="00664DE1" w:rsidP="00664DE1">
      <w:pPr>
        <w:pStyle w:val="Bullet1G"/>
        <w:numPr>
          <w:ilvl w:val="0"/>
          <w:numId w:val="0"/>
        </w:numPr>
        <w:tabs>
          <w:tab w:val="left" w:pos="1701"/>
        </w:tabs>
        <w:ind w:left="1701" w:hanging="170"/>
      </w:pPr>
      <w:r>
        <w:lastRenderedPageBreak/>
        <w:t>•</w:t>
      </w:r>
      <w:r>
        <w:tab/>
      </w:r>
      <w:r w:rsidR="005430F7">
        <w:t xml:space="preserve">Service </w:t>
      </w:r>
      <w:r w:rsidR="005430F7" w:rsidRPr="00D5784E">
        <w:t>quota</w:t>
      </w:r>
      <w:r w:rsidR="005430F7">
        <w:t xml:space="preserve">s for ECE were reduced </w:t>
      </w:r>
      <w:r w:rsidR="005430F7" w:rsidRPr="00D5784E">
        <w:t xml:space="preserve">from </w:t>
      </w:r>
      <w:r w:rsidR="00E36CF5">
        <w:t>three</w:t>
      </w:r>
      <w:r w:rsidR="00E36CF5" w:rsidRPr="00D5784E">
        <w:t xml:space="preserve"> </w:t>
      </w:r>
      <w:r w:rsidR="005430F7" w:rsidRPr="00D5784E">
        <w:t xml:space="preserve">meetings per day to </w:t>
      </w:r>
      <w:r w:rsidR="00E36CF5">
        <w:t>one</w:t>
      </w:r>
      <w:r w:rsidR="00E36CF5" w:rsidRPr="00D5784E">
        <w:t xml:space="preserve"> </w:t>
      </w:r>
      <w:r w:rsidR="005430F7" w:rsidRPr="00D5784E">
        <w:t xml:space="preserve">meeting per day </w:t>
      </w:r>
    </w:p>
    <w:p w14:paraId="5A9FCF00" w14:textId="0A05726F" w:rsidR="005430F7" w:rsidRDefault="00664DE1" w:rsidP="00664DE1">
      <w:pPr>
        <w:pStyle w:val="Bullet1G"/>
        <w:numPr>
          <w:ilvl w:val="0"/>
          <w:numId w:val="0"/>
        </w:numPr>
        <w:tabs>
          <w:tab w:val="left" w:pos="1701"/>
        </w:tabs>
        <w:ind w:left="1701" w:hanging="170"/>
      </w:pPr>
      <w:r>
        <w:t>•</w:t>
      </w:r>
      <w:r>
        <w:tab/>
      </w:r>
      <w:r w:rsidR="005430F7">
        <w:t xml:space="preserve">Interpretation duration was reduced from </w:t>
      </w:r>
      <w:r w:rsidR="00E36CF5">
        <w:t>three</w:t>
      </w:r>
      <w:r w:rsidR="00E36CF5" w:rsidRPr="00D5784E">
        <w:t xml:space="preserve"> </w:t>
      </w:r>
      <w:r w:rsidR="005430F7" w:rsidRPr="00D5784E">
        <w:t xml:space="preserve">hours per session to </w:t>
      </w:r>
      <w:r w:rsidR="00E36CF5">
        <w:t>two</w:t>
      </w:r>
      <w:r w:rsidR="00E36CF5" w:rsidRPr="00D5784E">
        <w:t xml:space="preserve"> </w:t>
      </w:r>
      <w:r w:rsidR="005430F7" w:rsidRPr="00D5784E">
        <w:t>hours per session for any hybrid meeting</w:t>
      </w:r>
    </w:p>
    <w:p w14:paraId="3FD52890" w14:textId="77777777" w:rsidR="005430F7" w:rsidRDefault="005430F7" w:rsidP="005430F7">
      <w:pPr>
        <w:pStyle w:val="SingleTxtG"/>
      </w:pPr>
      <w:r>
        <w:t>5.</w:t>
      </w:r>
      <w:r>
        <w:tab/>
        <w:t xml:space="preserve">These changes </w:t>
      </w:r>
      <w:r w:rsidRPr="00D5784E">
        <w:t>result</w:t>
      </w:r>
      <w:r>
        <w:t>ed</w:t>
      </w:r>
      <w:r w:rsidRPr="00D5784E">
        <w:t xml:space="preserve"> in </w:t>
      </w:r>
      <w:r>
        <w:t xml:space="preserve">several </w:t>
      </w:r>
      <w:r w:rsidRPr="00D5784E">
        <w:t xml:space="preserve">cancellations, postponements, </w:t>
      </w:r>
      <w:r>
        <w:t xml:space="preserve">re-scheduling, </w:t>
      </w:r>
      <w:r w:rsidRPr="00D5784E">
        <w:t>shortening and downgrading to informal status of meetings</w:t>
      </w:r>
      <w:r>
        <w:t xml:space="preserve"> in 2020 and part of 2021. </w:t>
      </w:r>
    </w:p>
    <w:p w14:paraId="6F81F5ED" w14:textId="77777777" w:rsidR="005430F7" w:rsidRDefault="005430F7" w:rsidP="005430F7">
      <w:pPr>
        <w:pStyle w:val="SingleTxtG"/>
      </w:pPr>
      <w:r>
        <w:t>6.</w:t>
      </w:r>
      <w:r>
        <w:tab/>
        <w:t xml:space="preserve">Three major changes took place in 2021 with regard to the above restrictions: </w:t>
      </w:r>
    </w:p>
    <w:p w14:paraId="67C4683A" w14:textId="5EA5644B" w:rsidR="005430F7" w:rsidRDefault="00664DE1" w:rsidP="00664DE1">
      <w:pPr>
        <w:pStyle w:val="Bullet1G"/>
        <w:numPr>
          <w:ilvl w:val="0"/>
          <w:numId w:val="0"/>
        </w:numPr>
        <w:tabs>
          <w:tab w:val="left" w:pos="1701"/>
        </w:tabs>
        <w:ind w:left="1701" w:hanging="170"/>
      </w:pPr>
      <w:r>
        <w:t>•</w:t>
      </w:r>
      <w:r>
        <w:tab/>
      </w:r>
      <w:r w:rsidR="005430F7">
        <w:t xml:space="preserve">As of 5 July 2021, </w:t>
      </w:r>
      <w:r w:rsidR="005430F7" w:rsidRPr="00160E5D">
        <w:t xml:space="preserve">the length of hybrid sessions </w:t>
      </w:r>
      <w:r w:rsidR="005430F7">
        <w:t xml:space="preserve">was </w:t>
      </w:r>
      <w:r w:rsidR="005430F7" w:rsidRPr="00160E5D">
        <w:t xml:space="preserve">restored from </w:t>
      </w:r>
      <w:r w:rsidR="00E36CF5">
        <w:t>two</w:t>
      </w:r>
      <w:r w:rsidR="00E36CF5" w:rsidRPr="00160E5D">
        <w:t xml:space="preserve"> </w:t>
      </w:r>
      <w:r w:rsidR="005430F7" w:rsidRPr="00160E5D">
        <w:t xml:space="preserve">to </w:t>
      </w:r>
      <w:r w:rsidR="00E36CF5">
        <w:t>three</w:t>
      </w:r>
      <w:r w:rsidR="00E36CF5" w:rsidRPr="00160E5D">
        <w:t xml:space="preserve"> </w:t>
      </w:r>
      <w:r w:rsidR="005430F7" w:rsidRPr="00160E5D">
        <w:t>hours</w:t>
      </w:r>
    </w:p>
    <w:p w14:paraId="74DF5EE5" w14:textId="78368551" w:rsidR="005430F7" w:rsidRDefault="00664DE1" w:rsidP="00664DE1">
      <w:pPr>
        <w:pStyle w:val="Bullet1G"/>
        <w:numPr>
          <w:ilvl w:val="0"/>
          <w:numId w:val="0"/>
        </w:numPr>
        <w:tabs>
          <w:tab w:val="left" w:pos="1701"/>
        </w:tabs>
        <w:ind w:left="1701" w:hanging="170"/>
      </w:pPr>
      <w:r>
        <w:t>•</w:t>
      </w:r>
      <w:r>
        <w:tab/>
      </w:r>
      <w:r w:rsidR="005430F7">
        <w:t xml:space="preserve">As of the </w:t>
      </w:r>
      <w:r w:rsidR="00E9506C">
        <w:t>final third</w:t>
      </w:r>
      <w:r w:rsidR="00FB22A2">
        <w:t xml:space="preserve"> (September-December)</w:t>
      </w:r>
      <w:r w:rsidR="00E9506C">
        <w:t xml:space="preserve"> </w:t>
      </w:r>
      <w:r w:rsidR="005430F7">
        <w:t xml:space="preserve">of 2021, </w:t>
      </w:r>
      <w:r w:rsidR="00FB22A2">
        <w:t>s</w:t>
      </w:r>
      <w:r w:rsidR="005430F7">
        <w:t xml:space="preserve">ervice quotas for ECE were restored back to </w:t>
      </w:r>
      <w:r w:rsidR="00E36CF5">
        <w:t xml:space="preserve">three </w:t>
      </w:r>
      <w:r w:rsidR="005430F7">
        <w:t xml:space="preserve">meetings per day, under the condition that </w:t>
      </w:r>
      <w:r w:rsidR="005430F7" w:rsidRPr="00596F4E">
        <w:rPr>
          <w:b/>
          <w:bCs/>
        </w:rPr>
        <w:t>only one conference room per day with interpretation/hybrid platform would be moderated by UNOG</w:t>
      </w:r>
      <w:r w:rsidR="005430F7">
        <w:t>. Two more conference rooms per day with interpretation/hybrid platform would become available, but only if technically moderated by ECE.</w:t>
      </w:r>
    </w:p>
    <w:p w14:paraId="384871A0" w14:textId="4129B5F6" w:rsidR="005430F7" w:rsidRDefault="00664DE1" w:rsidP="00664DE1">
      <w:pPr>
        <w:pStyle w:val="Bullet1G"/>
        <w:numPr>
          <w:ilvl w:val="0"/>
          <w:numId w:val="0"/>
        </w:numPr>
        <w:tabs>
          <w:tab w:val="left" w:pos="1701"/>
        </w:tabs>
        <w:ind w:left="1701" w:hanging="170"/>
      </w:pPr>
      <w:r>
        <w:t>•</w:t>
      </w:r>
      <w:r>
        <w:tab/>
      </w:r>
      <w:r w:rsidR="005430F7">
        <w:t xml:space="preserve">The return to </w:t>
      </w:r>
      <w:r w:rsidR="00E36CF5">
        <w:t>three</w:t>
      </w:r>
      <w:r w:rsidR="005430F7">
        <w:t>-hour session</w:t>
      </w:r>
      <w:r w:rsidR="00FB22A2">
        <w:t>s</w:t>
      </w:r>
      <w:r w:rsidR="005430F7">
        <w:t xml:space="preserve"> was partially reversed from 1 November 2021. In the corresponding Note Verbale, the secretariat was informed that </w:t>
      </w:r>
      <w:r w:rsidR="005430F7" w:rsidRPr="008B7B12">
        <w:t>“this exceptional accommodation can no longer be extended beyond 30 October, due to the depletion of the global market for freelance interpreters. Effective 1 November, the duration of hybrid and virtual meetings with interpretation will revert to two (2) hours whenever active remote participation exceeds 30 minutes. The situation will be reassessed in mid-December and changes, if any, will be communicated.”</w:t>
      </w:r>
    </w:p>
    <w:p w14:paraId="4E3BD978" w14:textId="77777777" w:rsidR="005430F7" w:rsidRDefault="005430F7" w:rsidP="005430F7">
      <w:pPr>
        <w:pStyle w:val="SingleTxtG"/>
      </w:pPr>
      <w:r>
        <w:t>7.</w:t>
      </w:r>
      <w:r>
        <w:tab/>
        <w:t>As a result of these policy shifts, the secretariat had to engage in an organization-wide exercise of reprioritization of scheduled meetings, with the direct involvement of and extensive negotiations among staff/secretaries and Senior Management at Directors’ level as last resort.</w:t>
      </w:r>
    </w:p>
    <w:p w14:paraId="6912C255" w14:textId="77777777" w:rsidR="005430F7" w:rsidRPr="0017743B" w:rsidRDefault="005430F7" w:rsidP="005430F7">
      <w:pPr>
        <w:pStyle w:val="H1G"/>
      </w:pPr>
      <w:r>
        <w:tab/>
        <w:t>C</w:t>
      </w:r>
      <w:r w:rsidRPr="0017743B">
        <w:t>.</w:t>
      </w:r>
      <w:r w:rsidRPr="0017743B">
        <w:tab/>
      </w:r>
      <w:r>
        <w:t>Impacts on deployment of staff</w:t>
      </w:r>
    </w:p>
    <w:p w14:paraId="0FB62CBF" w14:textId="4E8EC71F" w:rsidR="005430F7" w:rsidRDefault="005430F7" w:rsidP="005430F7">
      <w:pPr>
        <w:pStyle w:val="SingleTxtG"/>
      </w:pPr>
      <w:r>
        <w:t>8.</w:t>
      </w:r>
      <w:r>
        <w:tab/>
        <w:t>D</w:t>
      </w:r>
      <w:r w:rsidRPr="00603D97">
        <w:t xml:space="preserve">ue to the </w:t>
      </w:r>
      <w:r>
        <w:t xml:space="preserve">extraordinary circumstances outlined above and in response to the requirements for restoring the ECE service quota to </w:t>
      </w:r>
      <w:r w:rsidR="00E36CF5">
        <w:t xml:space="preserve">three </w:t>
      </w:r>
      <w:r>
        <w:t xml:space="preserve">meetings per day, staff </w:t>
      </w:r>
      <w:r w:rsidR="00576DDB">
        <w:t xml:space="preserve">of the Sustainable Transport Division </w:t>
      </w:r>
      <w:r>
        <w:t xml:space="preserve">were deployed for technical moderation functions, in order to be able to ensure the delivery of official meetings with interpretation to member States and Contracting Parties. </w:t>
      </w:r>
    </w:p>
    <w:p w14:paraId="5ADF4425" w14:textId="77777777" w:rsidR="005430F7" w:rsidRPr="0017743B" w:rsidRDefault="005430F7" w:rsidP="005430F7">
      <w:pPr>
        <w:pStyle w:val="H1G"/>
      </w:pPr>
      <w:r>
        <w:tab/>
        <w:t>D</w:t>
      </w:r>
      <w:r w:rsidRPr="0017743B">
        <w:t>.</w:t>
      </w:r>
      <w:r w:rsidRPr="0017743B">
        <w:tab/>
        <w:t>Cancellation, postponements</w:t>
      </w:r>
      <w:r>
        <w:t>,</w:t>
      </w:r>
      <w:r w:rsidRPr="0017743B">
        <w:t xml:space="preserve"> </w:t>
      </w:r>
      <w:r>
        <w:t>informal/remote (virtual) meetings, and combined informal/formal events</w:t>
      </w:r>
    </w:p>
    <w:p w14:paraId="42463873" w14:textId="1870A2F3" w:rsidR="005430F7" w:rsidRDefault="005430F7" w:rsidP="005430F7">
      <w:pPr>
        <w:pStyle w:val="SingleTxtG"/>
      </w:pPr>
      <w:r>
        <w:t>9.</w:t>
      </w:r>
      <w:r>
        <w:tab/>
        <w:t>D</w:t>
      </w:r>
      <w:r w:rsidRPr="00603D97">
        <w:t xml:space="preserve">ue to the </w:t>
      </w:r>
      <w:r>
        <w:t xml:space="preserve">extraordinary circumstances and policy adjustments outlined above, several planned meetings of ECE sectoral committees and their subsidiary bodies were rescheduled or cancelled. </w:t>
      </w:r>
      <w:r w:rsidR="00595099">
        <w:t xml:space="preserve">Others had to be serviced under the limited </w:t>
      </w:r>
      <w:r w:rsidR="00E36CF5">
        <w:t>two</w:t>
      </w:r>
      <w:r w:rsidR="00595099">
        <w:t xml:space="preserve">-hour sessions with interpretation impacting their </w:t>
      </w:r>
      <w:r w:rsidR="00EF459A">
        <w:t>agendas.</w:t>
      </w:r>
    </w:p>
    <w:p w14:paraId="1AF07B08" w14:textId="77777777" w:rsidR="005430F7" w:rsidRDefault="005430F7" w:rsidP="005430F7">
      <w:pPr>
        <w:pStyle w:val="SingleTxtG"/>
      </w:pPr>
      <w:r>
        <w:t>10.</w:t>
      </w:r>
      <w:r>
        <w:tab/>
        <w:t>Furthermore, in response to the above situation</w:t>
      </w:r>
      <w:r w:rsidRPr="00603D97">
        <w:t xml:space="preserve">, </w:t>
      </w:r>
      <w:r>
        <w:t xml:space="preserve">and in full compliance with the EXCOM decision on special procedures for ITC subsidiary bodies, </w:t>
      </w:r>
      <w:r w:rsidRPr="00603D97">
        <w:t xml:space="preserve">several meetings </w:t>
      </w:r>
      <w:r>
        <w:t>were held</w:t>
      </w:r>
      <w:r w:rsidRPr="00603D97">
        <w:t xml:space="preserve"> </w:t>
      </w:r>
      <w:r>
        <w:t>v</w:t>
      </w:r>
      <w:r w:rsidRPr="00603D97">
        <w:t>irtually</w:t>
      </w:r>
      <w:r>
        <w:t xml:space="preserve"> under the special procedures to ensure business continuity.</w:t>
      </w:r>
    </w:p>
    <w:p w14:paraId="16ACA0EC" w14:textId="3427FD99" w:rsidR="005430F7" w:rsidRDefault="005430F7" w:rsidP="005430F7">
      <w:pPr>
        <w:pStyle w:val="SingleTxtG"/>
      </w:pPr>
      <w:r>
        <w:t>11.</w:t>
      </w:r>
      <w:r>
        <w:tab/>
        <w:t>In addition, several meetings were either shortened, due to the limited time available to them under hybrid status. Moreover, some planned meetings were held as “combined” events, partly held under informal status and partly as formal meetings, as a result of intra-ECE, cross-divisional negotiations, in order to accommodate as many subprogrammes as possible under UNOG’s restricted service quota.</w:t>
      </w:r>
    </w:p>
    <w:p w14:paraId="77A64E5B" w14:textId="5597991A" w:rsidR="005430F7" w:rsidRDefault="005430F7" w:rsidP="00AD234F">
      <w:pPr>
        <w:pStyle w:val="HChG"/>
        <w:ind w:hanging="567"/>
      </w:pPr>
      <w:r w:rsidRPr="00857398">
        <w:lastRenderedPageBreak/>
        <w:t>I</w:t>
      </w:r>
      <w:r>
        <w:t>II</w:t>
      </w:r>
      <w:r w:rsidRPr="00857398">
        <w:t>.</w:t>
      </w:r>
      <w:r w:rsidRPr="00857398">
        <w:tab/>
      </w:r>
      <w:r>
        <w:t xml:space="preserve">Impacts on the transport </w:t>
      </w:r>
      <w:r w:rsidRPr="00C70947">
        <w:t>subprogramme’s</w:t>
      </w:r>
      <w:r>
        <w:t xml:space="preserve"> work </w:t>
      </w:r>
    </w:p>
    <w:p w14:paraId="4218E3FB" w14:textId="77777777" w:rsidR="005430F7" w:rsidRPr="00C70947" w:rsidRDefault="005430F7" w:rsidP="00AD234F">
      <w:pPr>
        <w:pStyle w:val="SingleTxtG"/>
        <w:keepNext/>
        <w:keepLines/>
      </w:pPr>
      <w:r>
        <w:t>12.</w:t>
      </w:r>
      <w:r>
        <w:tab/>
        <w:t xml:space="preserve">This section reflects the estimated impact on the transport subprogramme of the combined </w:t>
      </w:r>
      <w:r w:rsidRPr="00C70947">
        <w:t xml:space="preserve">effects of the COVID-19 pandemic and the liquidity crisis. </w:t>
      </w:r>
    </w:p>
    <w:p w14:paraId="4FEEF5D1" w14:textId="5A67D580" w:rsidR="005430F7" w:rsidRPr="00AA4EF0" w:rsidRDefault="005430F7" w:rsidP="00AD234F">
      <w:pPr>
        <w:pStyle w:val="SingleTxtG"/>
        <w:keepNext/>
        <w:keepLines/>
      </w:pPr>
      <w:r w:rsidRPr="00C70947">
        <w:t>13.</w:t>
      </w:r>
      <w:r w:rsidRPr="00C70947">
        <w:tab/>
        <w:t>Overall, on the basis of information available at the time of the preparation of this document, it can be said with certainty that the situation in 2021 is significantly better than in 2020. The level of implementation of the quantified deliverables of the 2021 Programme of Work of the Transport subprogramme is expected to reach 93 per cent. However</w:t>
      </w:r>
      <w:r w:rsidR="005051FB">
        <w:t>,</w:t>
      </w:r>
      <w:r w:rsidRPr="00C70947">
        <w:t xml:space="preserve"> several quality-related issu</w:t>
      </w:r>
      <w:r w:rsidRPr="00AA4EF0">
        <w:t>es exist, as discussed in this section.</w:t>
      </w:r>
      <w:r w:rsidRPr="00AA4EF0">
        <w:rPr>
          <w:rStyle w:val="FootnoteReference"/>
        </w:rPr>
        <w:footnoteReference w:id="3"/>
      </w:r>
      <w:r w:rsidRPr="00AA4EF0">
        <w:t xml:space="preserve"> This note focuses on the impact on: </w:t>
      </w:r>
    </w:p>
    <w:p w14:paraId="1D592067" w14:textId="142863A0" w:rsidR="005430F7" w:rsidRPr="00AA4EF0" w:rsidRDefault="005430F7" w:rsidP="005430F7">
      <w:pPr>
        <w:pStyle w:val="SingleTxtG"/>
        <w:ind w:firstLine="567"/>
      </w:pPr>
      <w:r w:rsidRPr="00AA4EF0">
        <w:t>(a)</w:t>
      </w:r>
      <w:r w:rsidRPr="00AA4EF0">
        <w:tab/>
        <w:t>meetings of ITC subsidiary bodies, since their convening power is the cornerstone of the regulatory work of the Committee, in performing its role as the U</w:t>
      </w:r>
      <w:r w:rsidR="00617883">
        <w:t xml:space="preserve">nited </w:t>
      </w:r>
      <w:r w:rsidRPr="00AA4EF0">
        <w:t>N</w:t>
      </w:r>
      <w:r w:rsidR="00617883">
        <w:t>ations</w:t>
      </w:r>
      <w:r w:rsidRPr="00AA4EF0">
        <w:t xml:space="preserve"> Platform for Inland Transport; </w:t>
      </w:r>
    </w:p>
    <w:p w14:paraId="7F3CE236" w14:textId="77777777" w:rsidR="005430F7" w:rsidRDefault="005430F7" w:rsidP="005430F7">
      <w:pPr>
        <w:pStyle w:val="SingleTxtG"/>
        <w:ind w:firstLine="567"/>
      </w:pPr>
      <w:r w:rsidRPr="00AA4EF0">
        <w:t>(b)</w:t>
      </w:r>
      <w:r w:rsidRPr="00AA4EF0">
        <w:tab/>
        <w:t>documentation, which is a critical component in the updating of legal instruments.</w:t>
      </w:r>
    </w:p>
    <w:p w14:paraId="5DBF26CE" w14:textId="77777777" w:rsidR="005430F7" w:rsidRDefault="005430F7" w:rsidP="005430F7">
      <w:pPr>
        <w:pStyle w:val="H1G"/>
      </w:pPr>
      <w:r>
        <w:tab/>
      </w:r>
      <w:r w:rsidRPr="00855DF5">
        <w:t>A.</w:t>
      </w:r>
      <w:r w:rsidRPr="00855DF5">
        <w:tab/>
        <w:t xml:space="preserve">Impacts on </w:t>
      </w:r>
      <w:r>
        <w:t xml:space="preserve">meetings </w:t>
      </w:r>
    </w:p>
    <w:p w14:paraId="094089FA" w14:textId="77777777" w:rsidR="005430F7" w:rsidRDefault="005430F7" w:rsidP="005430F7">
      <w:pPr>
        <w:pStyle w:val="H23G"/>
      </w:pPr>
      <w:r w:rsidRPr="0044264B">
        <w:tab/>
        <w:t>1.</w:t>
      </w:r>
      <w:r w:rsidRPr="0044264B">
        <w:tab/>
        <w:t>Impacts on meetings of standing bodies (Working Parties)</w:t>
      </w:r>
    </w:p>
    <w:p w14:paraId="0BF9E6D5" w14:textId="62E87D26" w:rsidR="005430F7" w:rsidRDefault="005430F7" w:rsidP="005430F7">
      <w:pPr>
        <w:pStyle w:val="SingleTxtG"/>
      </w:pPr>
      <w:r>
        <w:t>14.</w:t>
      </w:r>
      <w:r>
        <w:tab/>
        <w:t xml:space="preserve">At the time of writing, the combined effects of COVID-19 and liquidity crisis on the </w:t>
      </w:r>
      <w:r w:rsidR="00E30B03">
        <w:t xml:space="preserve">implementation of </w:t>
      </w:r>
      <w:r>
        <w:t xml:space="preserve">planned meetings of several ITC Working Parties </w:t>
      </w:r>
      <w:r w:rsidR="00E30B03">
        <w:t xml:space="preserve">in 2021 </w:t>
      </w:r>
      <w:r>
        <w:t>are still unfolding but it is safe to conclude that they will be significantly less severe than in 202</w:t>
      </w:r>
      <w:r w:rsidR="00C45C24">
        <w:t>0</w:t>
      </w:r>
      <w:r>
        <w:t xml:space="preserve">. </w:t>
      </w:r>
    </w:p>
    <w:p w14:paraId="0D1936E6" w14:textId="77777777" w:rsidR="005430F7" w:rsidRDefault="005430F7" w:rsidP="005430F7">
      <w:pPr>
        <w:pStyle w:val="SingleTxtG"/>
        <w:rPr>
          <w:spacing w:val="-4"/>
        </w:rPr>
      </w:pPr>
      <w:r w:rsidRPr="0018709F">
        <w:rPr>
          <w:spacing w:val="-4"/>
        </w:rPr>
        <w:t>15.</w:t>
      </w:r>
      <w:r w:rsidRPr="0018709F">
        <w:rPr>
          <w:spacing w:val="-4"/>
        </w:rPr>
        <w:tab/>
        <w:t>When considering combined formal (in-person and hybrid with interpretation) and informal meetings under special procedures (without interpretation), the implementation of planned meetings</w:t>
      </w:r>
      <w:r>
        <w:rPr>
          <w:spacing w:val="-4"/>
        </w:rPr>
        <w:t xml:space="preserve"> in 2021</w:t>
      </w:r>
      <w:r w:rsidRPr="0018709F">
        <w:rPr>
          <w:spacing w:val="-4"/>
        </w:rPr>
        <w:t xml:space="preserve"> </w:t>
      </w:r>
      <w:r>
        <w:rPr>
          <w:spacing w:val="-4"/>
        </w:rPr>
        <w:t xml:space="preserve">did not fall lower than 76 </w:t>
      </w:r>
      <w:r w:rsidRPr="0018709F">
        <w:rPr>
          <w:spacing w:val="-4"/>
        </w:rPr>
        <w:t xml:space="preserve">per cent among the various working parties (see table 1). </w:t>
      </w:r>
      <w:r>
        <w:rPr>
          <w:spacing w:val="-4"/>
        </w:rPr>
        <w:t>By contrast, 2020 saw implementation levels as low as 35 per cent.</w:t>
      </w:r>
    </w:p>
    <w:p w14:paraId="1B5BCDE7" w14:textId="77777777" w:rsidR="005430F7" w:rsidRPr="00771444" w:rsidRDefault="005430F7" w:rsidP="005430F7">
      <w:pPr>
        <w:pStyle w:val="SingleTxtG"/>
        <w:spacing w:before="240"/>
      </w:pPr>
      <w:r>
        <w:t>16.</w:t>
      </w:r>
      <w:r>
        <w:tab/>
        <w:t>Overall, the subprogramme as a whole is expected to implement in full planned meetings for Working Parties, if meetings with and without interpretation are counted</w:t>
      </w:r>
      <w:r w:rsidRPr="00771444">
        <w:t xml:space="preserve"> (see table 1, column (</w:t>
      </w:r>
      <w:r>
        <w:t>e</w:t>
      </w:r>
      <w:r w:rsidRPr="00771444">
        <w:t>)).</w:t>
      </w:r>
    </w:p>
    <w:p w14:paraId="2BF6E12C" w14:textId="77777777" w:rsidR="005430F7" w:rsidRPr="00CA0205" w:rsidRDefault="005430F7" w:rsidP="005430F7">
      <w:pPr>
        <w:pStyle w:val="SingleTxtG"/>
      </w:pPr>
      <w:r>
        <w:t>17.</w:t>
      </w:r>
      <w:r>
        <w:tab/>
        <w:t xml:space="preserve">A key component however for the successful discharge of the responsibilities of the Committee and its subsidiary bodies is multilingualism and the ability to run meetings with full interpretation. From this perspective, </w:t>
      </w:r>
      <w:r w:rsidRPr="00273910">
        <w:rPr>
          <w:b/>
          <w:bCs/>
        </w:rPr>
        <w:t>only 69 per cent of meetings will be delivered with interpretation.</w:t>
      </w:r>
      <w:r>
        <w:rPr>
          <w:b/>
          <w:bCs/>
        </w:rPr>
        <w:t xml:space="preserve"> </w:t>
      </w:r>
      <w:r w:rsidRPr="00CA0205">
        <w:t xml:space="preserve">Furthermore, several secretaries </w:t>
      </w:r>
      <w:r>
        <w:t>identified qualitative impacts due to the p</w:t>
      </w:r>
      <w:r w:rsidRPr="00CA0205">
        <w:t>roblematic consensus building</w:t>
      </w:r>
      <w:r>
        <w:t>, as a result of</w:t>
      </w:r>
      <w:r w:rsidRPr="00CA0205">
        <w:t xml:space="preserve"> limitations in virtual meetings</w:t>
      </w:r>
      <w:r>
        <w:t>, including different times zone and reduced availability of duration of sessions.</w:t>
      </w:r>
      <w:r w:rsidRPr="00CA0205">
        <w:t xml:space="preserve"> </w:t>
      </w:r>
    </w:p>
    <w:p w14:paraId="39292F0D" w14:textId="6E2F16AE" w:rsidR="005430F7" w:rsidRDefault="005430F7" w:rsidP="005430F7">
      <w:pPr>
        <w:pStyle w:val="SingleTxtG"/>
        <w:rPr>
          <w:spacing w:val="-4"/>
        </w:rPr>
      </w:pPr>
      <w:r>
        <w:t>18.</w:t>
      </w:r>
      <w:r>
        <w:tab/>
        <w:t xml:space="preserve">Furthermore, in order to ensure this level of serviced meetings with interpretation, Division staff were re-deployed to support the technical moderation of the meetings by UNOG. </w:t>
      </w:r>
      <w:r w:rsidRPr="000F2BA5">
        <w:rPr>
          <w:b/>
          <w:bCs/>
        </w:rPr>
        <w:t xml:space="preserve">Overall, 28 per cent of meetings with interpretation </w:t>
      </w:r>
      <w:r w:rsidR="004E3474">
        <w:rPr>
          <w:b/>
          <w:bCs/>
        </w:rPr>
        <w:t xml:space="preserve">in 2021 </w:t>
      </w:r>
      <w:r w:rsidRPr="000F2BA5">
        <w:rPr>
          <w:b/>
          <w:bCs/>
        </w:rPr>
        <w:t xml:space="preserve">are </w:t>
      </w:r>
      <w:r w:rsidR="004E3474">
        <w:rPr>
          <w:b/>
          <w:bCs/>
        </w:rPr>
        <w:t xml:space="preserve">expected to be </w:t>
      </w:r>
      <w:r w:rsidRPr="000F2BA5">
        <w:rPr>
          <w:b/>
          <w:bCs/>
        </w:rPr>
        <w:t xml:space="preserve">technically moderated by the Division’s staff, despite the fact that this requirement was enacted only in the </w:t>
      </w:r>
      <w:r w:rsidR="00F666A1">
        <w:rPr>
          <w:b/>
          <w:bCs/>
        </w:rPr>
        <w:t>final third (September – December)</w:t>
      </w:r>
      <w:r w:rsidRPr="000F2BA5">
        <w:rPr>
          <w:b/>
          <w:bCs/>
        </w:rPr>
        <w:t xml:space="preserve"> of 2021</w:t>
      </w:r>
      <w:r>
        <w:t>. It is not clear at the time of preparing this note if the requirement will continue throughout 2022, however it is a requirement for meetings in the first quarter of 2022.</w:t>
      </w:r>
    </w:p>
    <w:p w14:paraId="7BFEC5EF" w14:textId="77777777" w:rsidR="005430F7" w:rsidRDefault="005430F7" w:rsidP="005430F7">
      <w:pPr>
        <w:pStyle w:val="Heading1"/>
        <w:keepNext/>
        <w:ind w:left="1138"/>
      </w:pPr>
      <w:r w:rsidRPr="0022584F">
        <w:lastRenderedPageBreak/>
        <w:t>Table</w:t>
      </w:r>
      <w:r>
        <w:t xml:space="preserve"> 1</w:t>
      </w:r>
      <w:r w:rsidRPr="0022584F">
        <w:t xml:space="preserve"> </w:t>
      </w:r>
    </w:p>
    <w:p w14:paraId="77FC5536" w14:textId="77777777" w:rsidR="005430F7" w:rsidRDefault="005430F7" w:rsidP="005430F7">
      <w:pPr>
        <w:pStyle w:val="SingleTxtG"/>
        <w:keepNext/>
        <w:keepLines/>
        <w:ind w:left="562" w:right="1138" w:firstLine="562"/>
        <w:rPr>
          <w:spacing w:val="-4"/>
        </w:rPr>
      </w:pPr>
      <w:r w:rsidRPr="0046036E">
        <w:rPr>
          <w:b/>
          <w:bCs/>
        </w:rPr>
        <w:t xml:space="preserve">Impacts of COVID-19 </w:t>
      </w:r>
      <w:r>
        <w:rPr>
          <w:b/>
          <w:bCs/>
        </w:rPr>
        <w:t xml:space="preserve">and the liquidity crisis </w:t>
      </w:r>
      <w:r w:rsidRPr="0046036E">
        <w:rPr>
          <w:b/>
          <w:bCs/>
        </w:rPr>
        <w:t xml:space="preserve">on meetings </w:t>
      </w:r>
      <w:r>
        <w:rPr>
          <w:b/>
          <w:bCs/>
        </w:rPr>
        <w:t xml:space="preserve">of </w:t>
      </w:r>
      <w:r w:rsidRPr="0046036E">
        <w:rPr>
          <w:b/>
          <w:bCs/>
        </w:rPr>
        <w:t>Working Parties</w:t>
      </w:r>
    </w:p>
    <w:tbl>
      <w:tblPr>
        <w:tblW w:w="9637" w:type="dxa"/>
        <w:tblLayout w:type="fixed"/>
        <w:tblCellMar>
          <w:left w:w="0" w:type="dxa"/>
          <w:right w:w="0" w:type="dxa"/>
        </w:tblCellMar>
        <w:tblLook w:val="04A0" w:firstRow="1" w:lastRow="0" w:firstColumn="1" w:lastColumn="0" w:noHBand="0" w:noVBand="1"/>
      </w:tblPr>
      <w:tblGrid>
        <w:gridCol w:w="1701"/>
        <w:gridCol w:w="517"/>
        <w:gridCol w:w="641"/>
        <w:gridCol w:w="1122"/>
        <w:gridCol w:w="1122"/>
        <w:gridCol w:w="1236"/>
        <w:gridCol w:w="1236"/>
        <w:gridCol w:w="1122"/>
        <w:gridCol w:w="940"/>
      </w:tblGrid>
      <w:tr w:rsidR="00374ECF" w:rsidRPr="00D17694" w14:paraId="25BC1554" w14:textId="77777777" w:rsidTr="00B1378B">
        <w:trPr>
          <w:tblHeader/>
        </w:trPr>
        <w:tc>
          <w:tcPr>
            <w:tcW w:w="1701" w:type="dxa"/>
            <w:tcBorders>
              <w:top w:val="single" w:sz="4" w:space="0" w:color="000000"/>
              <w:bottom w:val="single" w:sz="12" w:space="0" w:color="000000"/>
            </w:tcBorders>
            <w:shd w:val="clear" w:color="auto" w:fill="auto"/>
            <w:vAlign w:val="bottom"/>
            <w:hideMark/>
          </w:tcPr>
          <w:p w14:paraId="621AFA55" w14:textId="77777777" w:rsidR="00765FAF" w:rsidRPr="00765FAF" w:rsidRDefault="00765FAF" w:rsidP="00D17694">
            <w:pPr>
              <w:suppressAutoHyphens w:val="0"/>
              <w:spacing w:before="80" w:after="80" w:line="200" w:lineRule="exact"/>
              <w:rPr>
                <w:i/>
                <w:iCs/>
                <w:sz w:val="16"/>
                <w:szCs w:val="14"/>
                <w:lang w:eastAsia="zh-CN"/>
              </w:rPr>
            </w:pPr>
            <w:r w:rsidRPr="00765FAF">
              <w:rPr>
                <w:i/>
                <w:iCs/>
                <w:sz w:val="16"/>
                <w:szCs w:val="14"/>
                <w:lang w:eastAsia="zh-CN"/>
              </w:rPr>
              <w:t>Intergovernmental body</w:t>
            </w:r>
          </w:p>
        </w:tc>
        <w:tc>
          <w:tcPr>
            <w:tcW w:w="517" w:type="dxa"/>
            <w:tcBorders>
              <w:top w:val="single" w:sz="4" w:space="0" w:color="000000"/>
              <w:bottom w:val="single" w:sz="12" w:space="0" w:color="000000"/>
            </w:tcBorders>
            <w:shd w:val="clear" w:color="auto" w:fill="auto"/>
            <w:vAlign w:val="bottom"/>
            <w:hideMark/>
          </w:tcPr>
          <w:p w14:paraId="40028BEF" w14:textId="77777777" w:rsidR="00765FAF" w:rsidRPr="00765FAF" w:rsidRDefault="00765FAF" w:rsidP="00D17694">
            <w:pPr>
              <w:suppressAutoHyphens w:val="0"/>
              <w:spacing w:before="80" w:after="80" w:line="200" w:lineRule="exact"/>
              <w:jc w:val="right"/>
              <w:rPr>
                <w:i/>
                <w:iCs/>
                <w:sz w:val="16"/>
                <w:szCs w:val="14"/>
                <w:lang w:eastAsia="zh-CN"/>
              </w:rPr>
            </w:pPr>
            <w:r w:rsidRPr="00765FAF">
              <w:rPr>
                <w:i/>
                <w:iCs/>
                <w:sz w:val="16"/>
                <w:szCs w:val="14"/>
                <w:lang w:eastAsia="zh-CN"/>
              </w:rPr>
              <w:t>2021 planned (a)</w:t>
            </w:r>
          </w:p>
        </w:tc>
        <w:tc>
          <w:tcPr>
            <w:tcW w:w="641" w:type="dxa"/>
            <w:tcBorders>
              <w:top w:val="single" w:sz="4" w:space="0" w:color="000000"/>
              <w:bottom w:val="single" w:sz="12" w:space="0" w:color="000000"/>
            </w:tcBorders>
            <w:shd w:val="clear" w:color="auto" w:fill="auto"/>
            <w:vAlign w:val="bottom"/>
            <w:hideMark/>
          </w:tcPr>
          <w:p w14:paraId="3CBF2FBC" w14:textId="77777777" w:rsidR="00765FAF" w:rsidRPr="00765FAF" w:rsidRDefault="00765FAF" w:rsidP="00D17694">
            <w:pPr>
              <w:suppressAutoHyphens w:val="0"/>
              <w:spacing w:before="80" w:after="80" w:line="200" w:lineRule="exact"/>
              <w:jc w:val="right"/>
              <w:rPr>
                <w:i/>
                <w:iCs/>
                <w:sz w:val="16"/>
                <w:szCs w:val="14"/>
                <w:lang w:eastAsia="zh-CN"/>
              </w:rPr>
            </w:pPr>
            <w:r w:rsidRPr="00765FAF">
              <w:rPr>
                <w:i/>
                <w:iCs/>
                <w:sz w:val="16"/>
                <w:szCs w:val="14"/>
                <w:lang w:eastAsia="zh-CN"/>
              </w:rPr>
              <w:t xml:space="preserve">2021 actual </w:t>
            </w:r>
            <w:r w:rsidRPr="00765FAF">
              <w:rPr>
                <w:i/>
                <w:iCs/>
                <w:sz w:val="16"/>
                <w:szCs w:val="14"/>
                <w:lang w:eastAsia="zh-CN"/>
              </w:rPr>
              <w:br/>
              <w:t>(b) (est)</w:t>
            </w:r>
          </w:p>
        </w:tc>
        <w:tc>
          <w:tcPr>
            <w:tcW w:w="1122" w:type="dxa"/>
            <w:tcBorders>
              <w:top w:val="single" w:sz="4" w:space="0" w:color="000000"/>
              <w:bottom w:val="single" w:sz="12" w:space="0" w:color="000000"/>
            </w:tcBorders>
            <w:shd w:val="clear" w:color="auto" w:fill="auto"/>
            <w:vAlign w:val="bottom"/>
            <w:hideMark/>
          </w:tcPr>
          <w:p w14:paraId="0D9705F5" w14:textId="77777777" w:rsidR="00765FAF" w:rsidRPr="00765FAF" w:rsidRDefault="00765FAF" w:rsidP="00D17694">
            <w:pPr>
              <w:suppressAutoHyphens w:val="0"/>
              <w:spacing w:before="80" w:after="80" w:line="200" w:lineRule="exact"/>
              <w:jc w:val="right"/>
              <w:rPr>
                <w:i/>
                <w:iCs/>
                <w:sz w:val="16"/>
                <w:szCs w:val="14"/>
                <w:lang w:eastAsia="zh-CN"/>
              </w:rPr>
            </w:pPr>
            <w:r w:rsidRPr="00765FAF">
              <w:rPr>
                <w:i/>
                <w:iCs/>
                <w:sz w:val="16"/>
                <w:szCs w:val="14"/>
                <w:lang w:eastAsia="zh-CN"/>
              </w:rPr>
              <w:t>2021 actual with interpretation (c)*</w:t>
            </w:r>
          </w:p>
        </w:tc>
        <w:tc>
          <w:tcPr>
            <w:tcW w:w="1122" w:type="dxa"/>
            <w:tcBorders>
              <w:top w:val="single" w:sz="4" w:space="0" w:color="000000"/>
              <w:bottom w:val="single" w:sz="12" w:space="0" w:color="000000"/>
            </w:tcBorders>
            <w:shd w:val="clear" w:color="auto" w:fill="auto"/>
            <w:vAlign w:val="bottom"/>
            <w:hideMark/>
          </w:tcPr>
          <w:p w14:paraId="75CC467E" w14:textId="77777777" w:rsidR="00765FAF" w:rsidRPr="00765FAF" w:rsidRDefault="00765FAF" w:rsidP="00D17694">
            <w:pPr>
              <w:suppressAutoHyphens w:val="0"/>
              <w:spacing w:before="80" w:after="80" w:line="200" w:lineRule="exact"/>
              <w:jc w:val="right"/>
              <w:rPr>
                <w:i/>
                <w:iCs/>
                <w:sz w:val="16"/>
                <w:szCs w:val="14"/>
                <w:lang w:eastAsia="zh-CN"/>
              </w:rPr>
            </w:pPr>
            <w:r w:rsidRPr="00765FAF">
              <w:rPr>
                <w:i/>
                <w:iCs/>
                <w:sz w:val="16"/>
                <w:szCs w:val="14"/>
                <w:lang w:eastAsia="zh-CN"/>
              </w:rPr>
              <w:t>2021 actual without interpretation (d)*</w:t>
            </w:r>
          </w:p>
        </w:tc>
        <w:tc>
          <w:tcPr>
            <w:tcW w:w="1236" w:type="dxa"/>
            <w:tcBorders>
              <w:top w:val="single" w:sz="4" w:space="0" w:color="000000"/>
              <w:bottom w:val="single" w:sz="12" w:space="0" w:color="000000"/>
            </w:tcBorders>
            <w:shd w:val="clear" w:color="auto" w:fill="auto"/>
            <w:vAlign w:val="bottom"/>
            <w:hideMark/>
          </w:tcPr>
          <w:p w14:paraId="38B93C58" w14:textId="77777777" w:rsidR="00765FAF" w:rsidRPr="00765FAF" w:rsidRDefault="00765FAF" w:rsidP="00D17694">
            <w:pPr>
              <w:suppressAutoHyphens w:val="0"/>
              <w:spacing w:before="80" w:after="80" w:line="200" w:lineRule="exact"/>
              <w:jc w:val="right"/>
              <w:rPr>
                <w:i/>
                <w:iCs/>
                <w:sz w:val="16"/>
                <w:szCs w:val="14"/>
                <w:lang w:eastAsia="zh-CN"/>
              </w:rPr>
            </w:pPr>
            <w:r w:rsidRPr="00765FAF">
              <w:rPr>
                <w:i/>
                <w:iCs/>
                <w:sz w:val="16"/>
                <w:szCs w:val="14"/>
                <w:lang w:eastAsia="zh-CN"/>
              </w:rPr>
              <w:t>% Implementation</w:t>
            </w:r>
            <w:r w:rsidRPr="00765FAF">
              <w:rPr>
                <w:i/>
                <w:iCs/>
                <w:sz w:val="16"/>
                <w:szCs w:val="14"/>
                <w:lang w:eastAsia="zh-CN"/>
              </w:rPr>
              <w:br/>
              <w:t>(e)=(b)/(a)</w:t>
            </w:r>
          </w:p>
        </w:tc>
        <w:tc>
          <w:tcPr>
            <w:tcW w:w="1236" w:type="dxa"/>
            <w:tcBorders>
              <w:top w:val="single" w:sz="4" w:space="0" w:color="000000"/>
              <w:bottom w:val="single" w:sz="12" w:space="0" w:color="000000"/>
            </w:tcBorders>
            <w:shd w:val="clear" w:color="auto" w:fill="auto"/>
            <w:vAlign w:val="bottom"/>
            <w:hideMark/>
          </w:tcPr>
          <w:p w14:paraId="354CDD74" w14:textId="77777777" w:rsidR="00765FAF" w:rsidRPr="00765FAF" w:rsidRDefault="00765FAF" w:rsidP="00D17694">
            <w:pPr>
              <w:suppressAutoHyphens w:val="0"/>
              <w:spacing w:before="80" w:after="80" w:line="200" w:lineRule="exact"/>
              <w:jc w:val="right"/>
              <w:rPr>
                <w:i/>
                <w:iCs/>
                <w:sz w:val="16"/>
                <w:szCs w:val="14"/>
                <w:lang w:eastAsia="zh-CN"/>
              </w:rPr>
            </w:pPr>
            <w:r w:rsidRPr="00765FAF">
              <w:rPr>
                <w:i/>
                <w:iCs/>
                <w:sz w:val="16"/>
                <w:szCs w:val="14"/>
                <w:lang w:eastAsia="zh-CN"/>
              </w:rPr>
              <w:t>% Implementation with interpretation</w:t>
            </w:r>
            <w:r w:rsidRPr="00765FAF">
              <w:rPr>
                <w:i/>
                <w:iCs/>
                <w:sz w:val="16"/>
                <w:szCs w:val="14"/>
                <w:lang w:eastAsia="zh-CN"/>
              </w:rPr>
              <w:br/>
              <w:t>(f)=(c)/(a)</w:t>
            </w:r>
          </w:p>
        </w:tc>
        <w:tc>
          <w:tcPr>
            <w:tcW w:w="1122" w:type="dxa"/>
            <w:tcBorders>
              <w:top w:val="single" w:sz="4" w:space="0" w:color="000000"/>
              <w:bottom w:val="single" w:sz="12" w:space="0" w:color="000000"/>
            </w:tcBorders>
            <w:shd w:val="clear" w:color="auto" w:fill="auto"/>
            <w:vAlign w:val="bottom"/>
            <w:hideMark/>
          </w:tcPr>
          <w:p w14:paraId="60D86AAE" w14:textId="77777777" w:rsidR="00765FAF" w:rsidRPr="00765FAF" w:rsidRDefault="00765FAF" w:rsidP="00D17694">
            <w:pPr>
              <w:suppressAutoHyphens w:val="0"/>
              <w:spacing w:before="80" w:after="80" w:line="200" w:lineRule="exact"/>
              <w:jc w:val="right"/>
              <w:rPr>
                <w:i/>
                <w:iCs/>
                <w:sz w:val="16"/>
                <w:szCs w:val="14"/>
                <w:lang w:eastAsia="zh-CN"/>
              </w:rPr>
            </w:pPr>
            <w:r w:rsidRPr="00765FAF">
              <w:rPr>
                <w:i/>
                <w:iCs/>
                <w:sz w:val="16"/>
                <w:szCs w:val="14"/>
                <w:lang w:eastAsia="zh-CN"/>
              </w:rPr>
              <w:t>Meetings with interpretation with STD moderators</w:t>
            </w:r>
            <w:r w:rsidRPr="00765FAF">
              <w:rPr>
                <w:i/>
                <w:iCs/>
                <w:sz w:val="16"/>
                <w:szCs w:val="14"/>
                <w:lang w:eastAsia="zh-CN"/>
              </w:rPr>
              <w:br/>
              <w:t>(g)</w:t>
            </w:r>
          </w:p>
        </w:tc>
        <w:tc>
          <w:tcPr>
            <w:tcW w:w="940" w:type="dxa"/>
            <w:tcBorders>
              <w:top w:val="single" w:sz="4" w:space="0" w:color="000000"/>
              <w:bottom w:val="single" w:sz="12" w:space="0" w:color="000000"/>
            </w:tcBorders>
            <w:shd w:val="clear" w:color="auto" w:fill="auto"/>
            <w:vAlign w:val="bottom"/>
            <w:hideMark/>
          </w:tcPr>
          <w:p w14:paraId="6981703F" w14:textId="77777777" w:rsidR="00765FAF" w:rsidRPr="00765FAF" w:rsidRDefault="00765FAF" w:rsidP="00D17694">
            <w:pPr>
              <w:suppressAutoHyphens w:val="0"/>
              <w:spacing w:before="80" w:after="80" w:line="200" w:lineRule="exact"/>
              <w:jc w:val="right"/>
              <w:rPr>
                <w:i/>
                <w:iCs/>
                <w:sz w:val="16"/>
                <w:szCs w:val="14"/>
                <w:lang w:eastAsia="zh-CN"/>
              </w:rPr>
            </w:pPr>
            <w:r w:rsidRPr="00765FAF">
              <w:rPr>
                <w:i/>
                <w:iCs/>
                <w:sz w:val="16"/>
                <w:szCs w:val="14"/>
                <w:lang w:eastAsia="zh-CN"/>
              </w:rPr>
              <w:t>Share of STD moderated meetings</w:t>
            </w:r>
            <w:r w:rsidRPr="00765FAF">
              <w:rPr>
                <w:i/>
                <w:iCs/>
                <w:sz w:val="16"/>
                <w:szCs w:val="14"/>
                <w:lang w:eastAsia="zh-CN"/>
              </w:rPr>
              <w:br/>
              <w:t>(h)=(g)/(c)</w:t>
            </w:r>
          </w:p>
        </w:tc>
      </w:tr>
      <w:tr w:rsidR="00D17694" w:rsidRPr="00D17694" w14:paraId="76601C4E" w14:textId="77777777" w:rsidTr="00B1378B">
        <w:tc>
          <w:tcPr>
            <w:tcW w:w="1701" w:type="dxa"/>
            <w:tcBorders>
              <w:top w:val="single" w:sz="12" w:space="0" w:color="000000"/>
              <w:bottom w:val="single" w:sz="4" w:space="0" w:color="000000"/>
            </w:tcBorders>
            <w:shd w:val="clear" w:color="auto" w:fill="auto"/>
            <w:hideMark/>
          </w:tcPr>
          <w:p w14:paraId="3B8AF555" w14:textId="77777777" w:rsidR="00765FAF" w:rsidRPr="00765FAF" w:rsidRDefault="00765FAF" w:rsidP="00D17694">
            <w:pPr>
              <w:suppressAutoHyphens w:val="0"/>
              <w:spacing w:before="40" w:after="40" w:line="220" w:lineRule="exact"/>
              <w:rPr>
                <w:b/>
                <w:bCs/>
                <w:sz w:val="18"/>
                <w:szCs w:val="18"/>
                <w:lang w:eastAsia="zh-CN"/>
              </w:rPr>
            </w:pPr>
            <w:r w:rsidRPr="00765FAF">
              <w:rPr>
                <w:b/>
                <w:bCs/>
                <w:sz w:val="18"/>
                <w:szCs w:val="18"/>
                <w:lang w:eastAsia="zh-CN"/>
              </w:rPr>
              <w:t>Substantive services for meetings</w:t>
            </w:r>
            <w:r w:rsidRPr="00765FAF">
              <w:rPr>
                <w:sz w:val="18"/>
                <w:szCs w:val="18"/>
                <w:lang w:eastAsia="zh-CN"/>
              </w:rPr>
              <w:t xml:space="preserve"> (number of three-hour meetings, per entity/theme)</w:t>
            </w:r>
          </w:p>
        </w:tc>
        <w:tc>
          <w:tcPr>
            <w:tcW w:w="517" w:type="dxa"/>
            <w:tcBorders>
              <w:top w:val="single" w:sz="12" w:space="0" w:color="000000"/>
              <w:bottom w:val="single" w:sz="4" w:space="0" w:color="000000"/>
            </w:tcBorders>
            <w:shd w:val="clear" w:color="auto" w:fill="auto"/>
            <w:vAlign w:val="bottom"/>
            <w:hideMark/>
          </w:tcPr>
          <w:p w14:paraId="5CF29219" w14:textId="77777777" w:rsidR="00765FAF" w:rsidRPr="00765FAF" w:rsidRDefault="00765FAF" w:rsidP="00D17694">
            <w:pPr>
              <w:suppressAutoHyphens w:val="0"/>
              <w:spacing w:before="40" w:after="40" w:line="220" w:lineRule="exact"/>
              <w:jc w:val="right"/>
              <w:rPr>
                <w:b/>
                <w:bCs/>
                <w:sz w:val="18"/>
                <w:szCs w:val="18"/>
                <w:lang w:eastAsia="zh-CN"/>
              </w:rPr>
            </w:pPr>
            <w:r w:rsidRPr="00765FAF">
              <w:rPr>
                <w:b/>
                <w:bCs/>
                <w:sz w:val="18"/>
                <w:szCs w:val="18"/>
                <w:lang w:eastAsia="zh-CN"/>
              </w:rPr>
              <w:t>364</w:t>
            </w:r>
          </w:p>
        </w:tc>
        <w:tc>
          <w:tcPr>
            <w:tcW w:w="641" w:type="dxa"/>
            <w:tcBorders>
              <w:top w:val="single" w:sz="12" w:space="0" w:color="000000"/>
              <w:bottom w:val="single" w:sz="4" w:space="0" w:color="000000"/>
            </w:tcBorders>
            <w:shd w:val="clear" w:color="auto" w:fill="auto"/>
            <w:vAlign w:val="bottom"/>
            <w:hideMark/>
          </w:tcPr>
          <w:p w14:paraId="60DBA937" w14:textId="77777777" w:rsidR="00765FAF" w:rsidRPr="00765FAF" w:rsidRDefault="00765FAF" w:rsidP="00D17694">
            <w:pPr>
              <w:suppressAutoHyphens w:val="0"/>
              <w:spacing w:before="40" w:after="40" w:line="220" w:lineRule="exact"/>
              <w:jc w:val="right"/>
              <w:rPr>
                <w:b/>
                <w:bCs/>
                <w:sz w:val="18"/>
                <w:szCs w:val="18"/>
                <w:lang w:eastAsia="zh-CN"/>
              </w:rPr>
            </w:pPr>
            <w:r w:rsidRPr="00765FAF">
              <w:rPr>
                <w:b/>
                <w:bCs/>
                <w:sz w:val="18"/>
                <w:szCs w:val="18"/>
                <w:lang w:eastAsia="zh-CN"/>
              </w:rPr>
              <w:t>383</w:t>
            </w:r>
          </w:p>
        </w:tc>
        <w:tc>
          <w:tcPr>
            <w:tcW w:w="1122" w:type="dxa"/>
            <w:tcBorders>
              <w:top w:val="single" w:sz="12" w:space="0" w:color="000000"/>
              <w:bottom w:val="single" w:sz="4" w:space="0" w:color="000000"/>
            </w:tcBorders>
            <w:shd w:val="clear" w:color="auto" w:fill="auto"/>
            <w:vAlign w:val="bottom"/>
            <w:hideMark/>
          </w:tcPr>
          <w:p w14:paraId="65F77E8A" w14:textId="77777777" w:rsidR="00765FAF" w:rsidRPr="00765FAF" w:rsidRDefault="00765FAF" w:rsidP="00D17694">
            <w:pPr>
              <w:suppressAutoHyphens w:val="0"/>
              <w:spacing w:before="40" w:after="40" w:line="220" w:lineRule="exact"/>
              <w:jc w:val="right"/>
              <w:rPr>
                <w:b/>
                <w:bCs/>
                <w:sz w:val="18"/>
                <w:szCs w:val="18"/>
                <w:lang w:eastAsia="zh-CN"/>
              </w:rPr>
            </w:pPr>
            <w:r w:rsidRPr="00765FAF">
              <w:rPr>
                <w:b/>
                <w:bCs/>
                <w:sz w:val="18"/>
                <w:szCs w:val="18"/>
                <w:lang w:eastAsia="zh-CN"/>
              </w:rPr>
              <w:t>250</w:t>
            </w:r>
          </w:p>
        </w:tc>
        <w:tc>
          <w:tcPr>
            <w:tcW w:w="1122" w:type="dxa"/>
            <w:tcBorders>
              <w:top w:val="single" w:sz="12" w:space="0" w:color="000000"/>
              <w:bottom w:val="single" w:sz="4" w:space="0" w:color="000000"/>
            </w:tcBorders>
            <w:shd w:val="clear" w:color="auto" w:fill="auto"/>
            <w:vAlign w:val="bottom"/>
            <w:hideMark/>
          </w:tcPr>
          <w:p w14:paraId="62BE72FC" w14:textId="77777777" w:rsidR="00765FAF" w:rsidRPr="00765FAF" w:rsidRDefault="00765FAF" w:rsidP="00D17694">
            <w:pPr>
              <w:suppressAutoHyphens w:val="0"/>
              <w:spacing w:before="40" w:after="40" w:line="220" w:lineRule="exact"/>
              <w:jc w:val="right"/>
              <w:rPr>
                <w:b/>
                <w:bCs/>
                <w:sz w:val="18"/>
                <w:szCs w:val="18"/>
                <w:lang w:eastAsia="zh-CN"/>
              </w:rPr>
            </w:pPr>
            <w:r w:rsidRPr="00765FAF">
              <w:rPr>
                <w:b/>
                <w:bCs/>
                <w:sz w:val="18"/>
                <w:szCs w:val="18"/>
                <w:lang w:eastAsia="zh-CN"/>
              </w:rPr>
              <w:t>128</w:t>
            </w:r>
          </w:p>
        </w:tc>
        <w:tc>
          <w:tcPr>
            <w:tcW w:w="1236" w:type="dxa"/>
            <w:tcBorders>
              <w:top w:val="single" w:sz="12" w:space="0" w:color="000000"/>
              <w:bottom w:val="single" w:sz="4" w:space="0" w:color="000000"/>
            </w:tcBorders>
            <w:shd w:val="clear" w:color="auto" w:fill="auto"/>
            <w:vAlign w:val="bottom"/>
            <w:hideMark/>
          </w:tcPr>
          <w:p w14:paraId="3F4E1B3E" w14:textId="77777777" w:rsidR="00765FAF" w:rsidRPr="00765FAF" w:rsidRDefault="00765FAF" w:rsidP="00D17694">
            <w:pPr>
              <w:suppressAutoHyphens w:val="0"/>
              <w:spacing w:before="40" w:after="40" w:line="220" w:lineRule="exact"/>
              <w:jc w:val="right"/>
              <w:rPr>
                <w:b/>
                <w:bCs/>
                <w:sz w:val="18"/>
                <w:szCs w:val="18"/>
                <w:lang w:eastAsia="zh-CN"/>
              </w:rPr>
            </w:pPr>
            <w:r w:rsidRPr="00765FAF">
              <w:rPr>
                <w:b/>
                <w:bCs/>
                <w:sz w:val="18"/>
                <w:szCs w:val="18"/>
                <w:lang w:eastAsia="zh-CN"/>
              </w:rPr>
              <w:t>105%</w:t>
            </w:r>
          </w:p>
        </w:tc>
        <w:tc>
          <w:tcPr>
            <w:tcW w:w="1236" w:type="dxa"/>
            <w:tcBorders>
              <w:top w:val="single" w:sz="12" w:space="0" w:color="000000"/>
              <w:bottom w:val="single" w:sz="4" w:space="0" w:color="000000"/>
            </w:tcBorders>
            <w:shd w:val="clear" w:color="auto" w:fill="auto"/>
            <w:vAlign w:val="bottom"/>
            <w:hideMark/>
          </w:tcPr>
          <w:p w14:paraId="3277F05E" w14:textId="77777777" w:rsidR="00765FAF" w:rsidRPr="00765FAF" w:rsidRDefault="00765FAF" w:rsidP="00D17694">
            <w:pPr>
              <w:suppressAutoHyphens w:val="0"/>
              <w:spacing w:before="40" w:after="40" w:line="220" w:lineRule="exact"/>
              <w:jc w:val="right"/>
              <w:rPr>
                <w:b/>
                <w:bCs/>
                <w:sz w:val="18"/>
                <w:szCs w:val="18"/>
                <w:lang w:eastAsia="zh-CN"/>
              </w:rPr>
            </w:pPr>
            <w:r w:rsidRPr="00765FAF">
              <w:rPr>
                <w:b/>
                <w:bCs/>
                <w:sz w:val="18"/>
                <w:szCs w:val="18"/>
                <w:lang w:eastAsia="zh-CN"/>
              </w:rPr>
              <w:t>69%</w:t>
            </w:r>
          </w:p>
        </w:tc>
        <w:tc>
          <w:tcPr>
            <w:tcW w:w="1122" w:type="dxa"/>
            <w:tcBorders>
              <w:top w:val="single" w:sz="12" w:space="0" w:color="000000"/>
              <w:bottom w:val="single" w:sz="4" w:space="0" w:color="000000"/>
            </w:tcBorders>
            <w:shd w:val="clear" w:color="auto" w:fill="auto"/>
            <w:vAlign w:val="bottom"/>
            <w:hideMark/>
          </w:tcPr>
          <w:p w14:paraId="3E4D0DA1" w14:textId="77777777" w:rsidR="00765FAF" w:rsidRPr="00765FAF" w:rsidRDefault="00765FAF" w:rsidP="00D17694">
            <w:pPr>
              <w:suppressAutoHyphens w:val="0"/>
              <w:spacing w:before="40" w:after="40" w:line="220" w:lineRule="exact"/>
              <w:jc w:val="right"/>
              <w:rPr>
                <w:b/>
                <w:bCs/>
                <w:sz w:val="18"/>
                <w:szCs w:val="18"/>
                <w:lang w:eastAsia="zh-CN"/>
              </w:rPr>
            </w:pPr>
            <w:r w:rsidRPr="00765FAF">
              <w:rPr>
                <w:b/>
                <w:bCs/>
                <w:sz w:val="18"/>
                <w:szCs w:val="18"/>
                <w:lang w:eastAsia="zh-CN"/>
              </w:rPr>
              <w:t>69</w:t>
            </w:r>
          </w:p>
        </w:tc>
        <w:tc>
          <w:tcPr>
            <w:tcW w:w="940" w:type="dxa"/>
            <w:tcBorders>
              <w:top w:val="single" w:sz="12" w:space="0" w:color="000000"/>
              <w:bottom w:val="single" w:sz="4" w:space="0" w:color="000000"/>
            </w:tcBorders>
            <w:shd w:val="clear" w:color="auto" w:fill="auto"/>
            <w:vAlign w:val="bottom"/>
            <w:hideMark/>
          </w:tcPr>
          <w:p w14:paraId="2D10BE45" w14:textId="77777777" w:rsidR="00765FAF" w:rsidRPr="00765FAF" w:rsidRDefault="00765FAF" w:rsidP="00D17694">
            <w:pPr>
              <w:suppressAutoHyphens w:val="0"/>
              <w:spacing w:before="40" w:after="40" w:line="220" w:lineRule="exact"/>
              <w:jc w:val="right"/>
              <w:rPr>
                <w:b/>
                <w:bCs/>
                <w:sz w:val="18"/>
                <w:szCs w:val="18"/>
                <w:lang w:eastAsia="zh-CN"/>
              </w:rPr>
            </w:pPr>
            <w:r w:rsidRPr="00765FAF">
              <w:rPr>
                <w:b/>
                <w:bCs/>
                <w:sz w:val="18"/>
                <w:szCs w:val="18"/>
                <w:lang w:eastAsia="zh-CN"/>
              </w:rPr>
              <w:t>28%</w:t>
            </w:r>
          </w:p>
        </w:tc>
      </w:tr>
      <w:tr w:rsidR="00D17694" w:rsidRPr="00D17694" w14:paraId="6F6CD0E3" w14:textId="77777777" w:rsidTr="00B1378B">
        <w:tc>
          <w:tcPr>
            <w:tcW w:w="1701" w:type="dxa"/>
            <w:tcBorders>
              <w:top w:val="single" w:sz="4" w:space="0" w:color="000000"/>
              <w:bottom w:val="single" w:sz="4" w:space="0" w:color="000000"/>
            </w:tcBorders>
            <w:shd w:val="clear" w:color="auto" w:fill="auto"/>
            <w:hideMark/>
          </w:tcPr>
          <w:p w14:paraId="602AC1DD" w14:textId="77777777" w:rsidR="00765FAF" w:rsidRPr="00765FAF" w:rsidRDefault="00765FAF" w:rsidP="00D17694">
            <w:pPr>
              <w:suppressAutoHyphens w:val="0"/>
              <w:spacing w:before="40" w:after="40" w:line="220" w:lineRule="exact"/>
              <w:rPr>
                <w:b/>
                <w:bCs/>
                <w:sz w:val="18"/>
                <w:szCs w:val="18"/>
                <w:lang w:eastAsia="zh-CN"/>
              </w:rPr>
            </w:pPr>
            <w:r w:rsidRPr="00765FAF">
              <w:rPr>
                <w:b/>
                <w:bCs/>
                <w:sz w:val="18"/>
                <w:szCs w:val="18"/>
                <w:lang w:eastAsia="zh-CN"/>
              </w:rPr>
              <w:t>4. The Inland Transport Committee</w:t>
            </w:r>
          </w:p>
        </w:tc>
        <w:tc>
          <w:tcPr>
            <w:tcW w:w="517" w:type="dxa"/>
            <w:tcBorders>
              <w:top w:val="single" w:sz="4" w:space="0" w:color="000000"/>
              <w:bottom w:val="single" w:sz="4" w:space="0" w:color="000000"/>
            </w:tcBorders>
            <w:shd w:val="clear" w:color="auto" w:fill="auto"/>
            <w:vAlign w:val="bottom"/>
            <w:hideMark/>
          </w:tcPr>
          <w:p w14:paraId="635C19EB" w14:textId="77777777" w:rsidR="00765FAF" w:rsidRPr="00765FAF" w:rsidRDefault="00765FAF" w:rsidP="00D17694">
            <w:pPr>
              <w:suppressAutoHyphens w:val="0"/>
              <w:spacing w:before="40" w:after="40" w:line="220" w:lineRule="exact"/>
              <w:jc w:val="right"/>
              <w:rPr>
                <w:b/>
                <w:bCs/>
                <w:sz w:val="18"/>
                <w:szCs w:val="18"/>
                <w:lang w:eastAsia="zh-CN"/>
              </w:rPr>
            </w:pPr>
            <w:r w:rsidRPr="00765FAF">
              <w:rPr>
                <w:b/>
                <w:bCs/>
                <w:sz w:val="18"/>
                <w:szCs w:val="18"/>
                <w:lang w:eastAsia="zh-CN"/>
              </w:rPr>
              <w:t>327</w:t>
            </w:r>
          </w:p>
        </w:tc>
        <w:tc>
          <w:tcPr>
            <w:tcW w:w="641" w:type="dxa"/>
            <w:tcBorders>
              <w:top w:val="single" w:sz="4" w:space="0" w:color="000000"/>
              <w:bottom w:val="single" w:sz="4" w:space="0" w:color="000000"/>
            </w:tcBorders>
            <w:shd w:val="clear" w:color="auto" w:fill="auto"/>
            <w:vAlign w:val="bottom"/>
            <w:hideMark/>
          </w:tcPr>
          <w:p w14:paraId="5F5B3605" w14:textId="77777777" w:rsidR="00765FAF" w:rsidRPr="00765FAF" w:rsidRDefault="00765FAF" w:rsidP="00D17694">
            <w:pPr>
              <w:suppressAutoHyphens w:val="0"/>
              <w:spacing w:before="40" w:after="40" w:line="220" w:lineRule="exact"/>
              <w:jc w:val="right"/>
              <w:rPr>
                <w:b/>
                <w:bCs/>
                <w:sz w:val="18"/>
                <w:szCs w:val="18"/>
                <w:lang w:eastAsia="zh-CN"/>
              </w:rPr>
            </w:pPr>
            <w:r w:rsidRPr="00765FAF">
              <w:rPr>
                <w:b/>
                <w:bCs/>
                <w:sz w:val="18"/>
                <w:szCs w:val="18"/>
                <w:lang w:eastAsia="zh-CN"/>
              </w:rPr>
              <w:t>346</w:t>
            </w:r>
          </w:p>
        </w:tc>
        <w:tc>
          <w:tcPr>
            <w:tcW w:w="1122" w:type="dxa"/>
            <w:tcBorders>
              <w:top w:val="single" w:sz="4" w:space="0" w:color="000000"/>
              <w:bottom w:val="single" w:sz="4" w:space="0" w:color="000000"/>
            </w:tcBorders>
            <w:shd w:val="clear" w:color="auto" w:fill="auto"/>
            <w:vAlign w:val="bottom"/>
            <w:hideMark/>
          </w:tcPr>
          <w:p w14:paraId="49343C00" w14:textId="77777777" w:rsidR="00765FAF" w:rsidRPr="00765FAF" w:rsidRDefault="00765FAF" w:rsidP="00D17694">
            <w:pPr>
              <w:suppressAutoHyphens w:val="0"/>
              <w:spacing w:before="40" w:after="40" w:line="220" w:lineRule="exact"/>
              <w:jc w:val="right"/>
              <w:rPr>
                <w:b/>
                <w:bCs/>
                <w:sz w:val="18"/>
                <w:szCs w:val="18"/>
                <w:lang w:eastAsia="zh-CN"/>
              </w:rPr>
            </w:pPr>
            <w:r w:rsidRPr="00765FAF">
              <w:rPr>
                <w:b/>
                <w:bCs/>
                <w:sz w:val="18"/>
                <w:szCs w:val="18"/>
                <w:lang w:eastAsia="zh-CN"/>
              </w:rPr>
              <w:t>213</w:t>
            </w:r>
          </w:p>
        </w:tc>
        <w:tc>
          <w:tcPr>
            <w:tcW w:w="1122" w:type="dxa"/>
            <w:tcBorders>
              <w:top w:val="single" w:sz="4" w:space="0" w:color="000000"/>
              <w:bottom w:val="single" w:sz="4" w:space="0" w:color="000000"/>
            </w:tcBorders>
            <w:shd w:val="clear" w:color="auto" w:fill="auto"/>
            <w:vAlign w:val="bottom"/>
            <w:hideMark/>
          </w:tcPr>
          <w:p w14:paraId="73EEB233" w14:textId="77777777" w:rsidR="00765FAF" w:rsidRPr="00765FAF" w:rsidRDefault="00765FAF" w:rsidP="00D17694">
            <w:pPr>
              <w:suppressAutoHyphens w:val="0"/>
              <w:spacing w:before="40" w:after="40" w:line="220" w:lineRule="exact"/>
              <w:jc w:val="right"/>
              <w:rPr>
                <w:b/>
                <w:bCs/>
                <w:sz w:val="18"/>
                <w:szCs w:val="18"/>
                <w:lang w:eastAsia="zh-CN"/>
              </w:rPr>
            </w:pPr>
            <w:r w:rsidRPr="00765FAF">
              <w:rPr>
                <w:b/>
                <w:bCs/>
                <w:sz w:val="18"/>
                <w:szCs w:val="18"/>
                <w:lang w:eastAsia="zh-CN"/>
              </w:rPr>
              <w:t>128</w:t>
            </w:r>
          </w:p>
        </w:tc>
        <w:tc>
          <w:tcPr>
            <w:tcW w:w="1236" w:type="dxa"/>
            <w:tcBorders>
              <w:top w:val="single" w:sz="4" w:space="0" w:color="000000"/>
              <w:bottom w:val="single" w:sz="4" w:space="0" w:color="000000"/>
            </w:tcBorders>
            <w:shd w:val="clear" w:color="auto" w:fill="auto"/>
            <w:vAlign w:val="bottom"/>
            <w:hideMark/>
          </w:tcPr>
          <w:p w14:paraId="27374571" w14:textId="77777777" w:rsidR="00765FAF" w:rsidRPr="00765FAF" w:rsidRDefault="00765FAF" w:rsidP="00D17694">
            <w:pPr>
              <w:suppressAutoHyphens w:val="0"/>
              <w:spacing w:before="40" w:after="40" w:line="220" w:lineRule="exact"/>
              <w:jc w:val="right"/>
              <w:rPr>
                <w:b/>
                <w:bCs/>
                <w:sz w:val="18"/>
                <w:szCs w:val="18"/>
                <w:lang w:eastAsia="zh-CN"/>
              </w:rPr>
            </w:pPr>
            <w:r w:rsidRPr="00765FAF">
              <w:rPr>
                <w:b/>
                <w:bCs/>
                <w:sz w:val="18"/>
                <w:szCs w:val="18"/>
                <w:lang w:eastAsia="zh-CN"/>
              </w:rPr>
              <w:t>106%</w:t>
            </w:r>
          </w:p>
        </w:tc>
        <w:tc>
          <w:tcPr>
            <w:tcW w:w="1236" w:type="dxa"/>
            <w:tcBorders>
              <w:top w:val="single" w:sz="4" w:space="0" w:color="000000"/>
              <w:bottom w:val="single" w:sz="4" w:space="0" w:color="000000"/>
            </w:tcBorders>
            <w:shd w:val="clear" w:color="auto" w:fill="auto"/>
            <w:vAlign w:val="bottom"/>
            <w:hideMark/>
          </w:tcPr>
          <w:p w14:paraId="0E6FBDB8" w14:textId="77777777" w:rsidR="00765FAF" w:rsidRPr="00765FAF" w:rsidRDefault="00765FAF" w:rsidP="00D17694">
            <w:pPr>
              <w:suppressAutoHyphens w:val="0"/>
              <w:spacing w:before="40" w:after="40" w:line="220" w:lineRule="exact"/>
              <w:jc w:val="right"/>
              <w:rPr>
                <w:b/>
                <w:bCs/>
                <w:sz w:val="18"/>
                <w:szCs w:val="18"/>
                <w:lang w:eastAsia="zh-CN"/>
              </w:rPr>
            </w:pPr>
            <w:r w:rsidRPr="00765FAF">
              <w:rPr>
                <w:b/>
                <w:bCs/>
                <w:sz w:val="18"/>
                <w:szCs w:val="18"/>
                <w:lang w:eastAsia="zh-CN"/>
              </w:rPr>
              <w:t>65%</w:t>
            </w:r>
          </w:p>
        </w:tc>
        <w:tc>
          <w:tcPr>
            <w:tcW w:w="1122" w:type="dxa"/>
            <w:tcBorders>
              <w:top w:val="single" w:sz="4" w:space="0" w:color="000000"/>
              <w:bottom w:val="single" w:sz="4" w:space="0" w:color="000000"/>
            </w:tcBorders>
            <w:shd w:val="clear" w:color="auto" w:fill="auto"/>
            <w:vAlign w:val="bottom"/>
            <w:hideMark/>
          </w:tcPr>
          <w:p w14:paraId="6FCE0220" w14:textId="77777777" w:rsidR="00765FAF" w:rsidRPr="00765FAF" w:rsidRDefault="00765FAF" w:rsidP="00D17694">
            <w:pPr>
              <w:suppressAutoHyphens w:val="0"/>
              <w:spacing w:before="40" w:after="40" w:line="220" w:lineRule="exact"/>
              <w:jc w:val="right"/>
              <w:rPr>
                <w:b/>
                <w:bCs/>
                <w:sz w:val="18"/>
                <w:szCs w:val="18"/>
                <w:lang w:eastAsia="zh-CN"/>
              </w:rPr>
            </w:pPr>
            <w:r w:rsidRPr="00765FAF">
              <w:rPr>
                <w:b/>
                <w:bCs/>
                <w:sz w:val="18"/>
                <w:szCs w:val="18"/>
                <w:lang w:eastAsia="zh-CN"/>
              </w:rPr>
              <w:t>60</w:t>
            </w:r>
          </w:p>
        </w:tc>
        <w:tc>
          <w:tcPr>
            <w:tcW w:w="940" w:type="dxa"/>
            <w:tcBorders>
              <w:top w:val="single" w:sz="4" w:space="0" w:color="000000"/>
              <w:bottom w:val="single" w:sz="4" w:space="0" w:color="000000"/>
            </w:tcBorders>
            <w:shd w:val="clear" w:color="auto" w:fill="auto"/>
            <w:vAlign w:val="bottom"/>
            <w:hideMark/>
          </w:tcPr>
          <w:p w14:paraId="4D346E00" w14:textId="77777777" w:rsidR="00765FAF" w:rsidRPr="00765FAF" w:rsidRDefault="00765FAF" w:rsidP="00D17694">
            <w:pPr>
              <w:suppressAutoHyphens w:val="0"/>
              <w:spacing w:before="40" w:after="40" w:line="220" w:lineRule="exact"/>
              <w:jc w:val="right"/>
              <w:rPr>
                <w:b/>
                <w:bCs/>
                <w:sz w:val="18"/>
                <w:szCs w:val="18"/>
                <w:lang w:eastAsia="zh-CN"/>
              </w:rPr>
            </w:pPr>
            <w:r w:rsidRPr="00765FAF">
              <w:rPr>
                <w:b/>
                <w:bCs/>
                <w:sz w:val="18"/>
                <w:szCs w:val="18"/>
                <w:lang w:eastAsia="zh-CN"/>
              </w:rPr>
              <w:t>28%</w:t>
            </w:r>
          </w:p>
        </w:tc>
      </w:tr>
      <w:tr w:rsidR="00B1378B" w:rsidRPr="00D17694" w14:paraId="0D2DFD91" w14:textId="77777777" w:rsidTr="00B1378B">
        <w:tc>
          <w:tcPr>
            <w:tcW w:w="1701" w:type="dxa"/>
            <w:tcBorders>
              <w:top w:val="single" w:sz="4" w:space="0" w:color="000000"/>
              <w:bottom w:val="single" w:sz="4" w:space="0" w:color="000000"/>
            </w:tcBorders>
            <w:shd w:val="clear" w:color="auto" w:fill="auto"/>
            <w:hideMark/>
          </w:tcPr>
          <w:p w14:paraId="3C967AF8" w14:textId="77777777" w:rsidR="00765FAF" w:rsidRPr="00765FAF" w:rsidRDefault="00765FAF" w:rsidP="00D17694">
            <w:pPr>
              <w:suppressAutoHyphens w:val="0"/>
              <w:spacing w:before="40" w:after="40" w:line="220" w:lineRule="exact"/>
              <w:rPr>
                <w:sz w:val="18"/>
                <w:szCs w:val="18"/>
                <w:lang w:eastAsia="zh-CN"/>
              </w:rPr>
            </w:pPr>
            <w:r w:rsidRPr="00765FAF">
              <w:rPr>
                <w:sz w:val="18"/>
                <w:szCs w:val="18"/>
                <w:lang w:eastAsia="zh-CN"/>
              </w:rPr>
              <w:t>a. Inland Transport Committee and Bureau</w:t>
            </w:r>
          </w:p>
        </w:tc>
        <w:tc>
          <w:tcPr>
            <w:tcW w:w="517" w:type="dxa"/>
            <w:tcBorders>
              <w:top w:val="single" w:sz="4" w:space="0" w:color="000000"/>
              <w:bottom w:val="single" w:sz="4" w:space="0" w:color="000000"/>
            </w:tcBorders>
            <w:shd w:val="clear" w:color="auto" w:fill="auto"/>
            <w:vAlign w:val="bottom"/>
            <w:hideMark/>
          </w:tcPr>
          <w:p w14:paraId="73F84226" w14:textId="77777777" w:rsidR="00765FAF" w:rsidRPr="00765FAF" w:rsidRDefault="00765FAF" w:rsidP="00D17694">
            <w:pPr>
              <w:suppressAutoHyphens w:val="0"/>
              <w:spacing w:before="40" w:after="40" w:line="220" w:lineRule="exact"/>
              <w:jc w:val="right"/>
              <w:rPr>
                <w:sz w:val="18"/>
                <w:szCs w:val="18"/>
                <w:lang w:eastAsia="zh-CN"/>
              </w:rPr>
            </w:pPr>
            <w:r w:rsidRPr="00765FAF">
              <w:rPr>
                <w:sz w:val="18"/>
                <w:szCs w:val="18"/>
                <w:lang w:eastAsia="zh-CN"/>
              </w:rPr>
              <w:t>16</w:t>
            </w:r>
          </w:p>
        </w:tc>
        <w:tc>
          <w:tcPr>
            <w:tcW w:w="641" w:type="dxa"/>
            <w:tcBorders>
              <w:top w:val="single" w:sz="4" w:space="0" w:color="000000"/>
              <w:bottom w:val="single" w:sz="4" w:space="0" w:color="000000"/>
            </w:tcBorders>
            <w:shd w:val="clear" w:color="auto" w:fill="auto"/>
            <w:vAlign w:val="bottom"/>
            <w:hideMark/>
          </w:tcPr>
          <w:p w14:paraId="160EA5A4" w14:textId="77777777" w:rsidR="00765FAF" w:rsidRPr="00765FAF" w:rsidRDefault="00765FAF" w:rsidP="00D17694">
            <w:pPr>
              <w:suppressAutoHyphens w:val="0"/>
              <w:spacing w:before="40" w:after="40" w:line="220" w:lineRule="exact"/>
              <w:jc w:val="right"/>
              <w:rPr>
                <w:sz w:val="18"/>
                <w:szCs w:val="18"/>
                <w:lang w:eastAsia="zh-CN"/>
              </w:rPr>
            </w:pPr>
            <w:r w:rsidRPr="00765FAF">
              <w:rPr>
                <w:sz w:val="18"/>
                <w:szCs w:val="18"/>
                <w:lang w:eastAsia="zh-CN"/>
              </w:rPr>
              <w:t>17</w:t>
            </w:r>
          </w:p>
        </w:tc>
        <w:tc>
          <w:tcPr>
            <w:tcW w:w="1122" w:type="dxa"/>
            <w:tcBorders>
              <w:top w:val="single" w:sz="4" w:space="0" w:color="000000"/>
              <w:bottom w:val="single" w:sz="4" w:space="0" w:color="000000"/>
            </w:tcBorders>
            <w:shd w:val="clear" w:color="auto" w:fill="auto"/>
            <w:vAlign w:val="bottom"/>
            <w:hideMark/>
          </w:tcPr>
          <w:p w14:paraId="4AF5458A" w14:textId="77777777" w:rsidR="00765FAF" w:rsidRPr="00765FAF" w:rsidRDefault="00765FAF" w:rsidP="00D17694">
            <w:pPr>
              <w:suppressAutoHyphens w:val="0"/>
              <w:spacing w:before="40" w:after="40" w:line="220" w:lineRule="exact"/>
              <w:jc w:val="right"/>
              <w:rPr>
                <w:sz w:val="18"/>
                <w:szCs w:val="18"/>
                <w:lang w:eastAsia="zh-CN"/>
              </w:rPr>
            </w:pPr>
            <w:r w:rsidRPr="00765FAF">
              <w:rPr>
                <w:sz w:val="18"/>
                <w:szCs w:val="18"/>
                <w:lang w:eastAsia="zh-CN"/>
              </w:rPr>
              <w:t>11</w:t>
            </w:r>
          </w:p>
        </w:tc>
        <w:tc>
          <w:tcPr>
            <w:tcW w:w="1122" w:type="dxa"/>
            <w:tcBorders>
              <w:top w:val="single" w:sz="4" w:space="0" w:color="000000"/>
              <w:bottom w:val="single" w:sz="4" w:space="0" w:color="000000"/>
            </w:tcBorders>
            <w:shd w:val="clear" w:color="auto" w:fill="auto"/>
            <w:vAlign w:val="bottom"/>
            <w:hideMark/>
          </w:tcPr>
          <w:p w14:paraId="3E79AB7B" w14:textId="77777777" w:rsidR="00765FAF" w:rsidRPr="00765FAF" w:rsidRDefault="00765FAF" w:rsidP="00D17694">
            <w:pPr>
              <w:suppressAutoHyphens w:val="0"/>
              <w:spacing w:before="40" w:after="40" w:line="220" w:lineRule="exact"/>
              <w:jc w:val="right"/>
              <w:rPr>
                <w:sz w:val="18"/>
                <w:szCs w:val="18"/>
                <w:lang w:eastAsia="zh-CN"/>
              </w:rPr>
            </w:pPr>
            <w:r w:rsidRPr="00765FAF">
              <w:rPr>
                <w:sz w:val="18"/>
                <w:szCs w:val="18"/>
                <w:lang w:eastAsia="zh-CN"/>
              </w:rPr>
              <w:t>6</w:t>
            </w:r>
          </w:p>
        </w:tc>
        <w:tc>
          <w:tcPr>
            <w:tcW w:w="1236" w:type="dxa"/>
            <w:tcBorders>
              <w:top w:val="single" w:sz="4" w:space="0" w:color="000000"/>
              <w:bottom w:val="single" w:sz="4" w:space="0" w:color="000000"/>
            </w:tcBorders>
            <w:shd w:val="clear" w:color="auto" w:fill="auto"/>
            <w:vAlign w:val="bottom"/>
            <w:hideMark/>
          </w:tcPr>
          <w:p w14:paraId="5CB45A2F" w14:textId="77777777" w:rsidR="00765FAF" w:rsidRPr="00765FAF" w:rsidRDefault="00765FAF" w:rsidP="00D17694">
            <w:pPr>
              <w:suppressAutoHyphens w:val="0"/>
              <w:spacing w:before="40" w:after="40" w:line="220" w:lineRule="exact"/>
              <w:jc w:val="right"/>
              <w:rPr>
                <w:b/>
                <w:bCs/>
                <w:sz w:val="18"/>
                <w:szCs w:val="18"/>
                <w:lang w:eastAsia="zh-CN"/>
              </w:rPr>
            </w:pPr>
            <w:r w:rsidRPr="00765FAF">
              <w:rPr>
                <w:b/>
                <w:bCs/>
                <w:sz w:val="18"/>
                <w:szCs w:val="18"/>
                <w:lang w:eastAsia="zh-CN"/>
              </w:rPr>
              <w:t>106%</w:t>
            </w:r>
          </w:p>
        </w:tc>
        <w:tc>
          <w:tcPr>
            <w:tcW w:w="1236" w:type="dxa"/>
            <w:tcBorders>
              <w:top w:val="single" w:sz="4" w:space="0" w:color="000000"/>
              <w:bottom w:val="single" w:sz="4" w:space="0" w:color="000000"/>
            </w:tcBorders>
            <w:shd w:val="clear" w:color="auto" w:fill="auto"/>
            <w:vAlign w:val="bottom"/>
            <w:hideMark/>
          </w:tcPr>
          <w:p w14:paraId="0DF4A860" w14:textId="77777777" w:rsidR="00765FAF" w:rsidRPr="00765FAF" w:rsidRDefault="00765FAF" w:rsidP="00D17694">
            <w:pPr>
              <w:suppressAutoHyphens w:val="0"/>
              <w:spacing w:before="40" w:after="40" w:line="220" w:lineRule="exact"/>
              <w:jc w:val="right"/>
              <w:rPr>
                <w:b/>
                <w:bCs/>
                <w:sz w:val="18"/>
                <w:szCs w:val="18"/>
                <w:lang w:eastAsia="zh-CN"/>
              </w:rPr>
            </w:pPr>
            <w:r w:rsidRPr="00765FAF">
              <w:rPr>
                <w:b/>
                <w:bCs/>
                <w:sz w:val="18"/>
                <w:szCs w:val="18"/>
                <w:lang w:eastAsia="zh-CN"/>
              </w:rPr>
              <w:t>69%</w:t>
            </w:r>
          </w:p>
        </w:tc>
        <w:tc>
          <w:tcPr>
            <w:tcW w:w="1122" w:type="dxa"/>
            <w:tcBorders>
              <w:top w:val="single" w:sz="4" w:space="0" w:color="000000"/>
              <w:bottom w:val="single" w:sz="4" w:space="0" w:color="000000"/>
            </w:tcBorders>
            <w:shd w:val="clear" w:color="auto" w:fill="auto"/>
            <w:vAlign w:val="bottom"/>
            <w:hideMark/>
          </w:tcPr>
          <w:p w14:paraId="7DEC228B" w14:textId="77777777" w:rsidR="00765FAF" w:rsidRPr="00765FAF" w:rsidRDefault="00765FAF" w:rsidP="00D17694">
            <w:pPr>
              <w:suppressAutoHyphens w:val="0"/>
              <w:spacing w:before="40" w:after="40" w:line="220" w:lineRule="exact"/>
              <w:jc w:val="right"/>
              <w:rPr>
                <w:sz w:val="18"/>
                <w:szCs w:val="18"/>
                <w:lang w:eastAsia="zh-CN"/>
              </w:rPr>
            </w:pPr>
            <w:r w:rsidRPr="00765FAF">
              <w:rPr>
                <w:sz w:val="18"/>
                <w:szCs w:val="18"/>
                <w:lang w:eastAsia="zh-CN"/>
              </w:rPr>
              <w:t>4</w:t>
            </w:r>
          </w:p>
        </w:tc>
        <w:tc>
          <w:tcPr>
            <w:tcW w:w="940" w:type="dxa"/>
            <w:tcBorders>
              <w:top w:val="single" w:sz="4" w:space="0" w:color="000000"/>
              <w:bottom w:val="single" w:sz="4" w:space="0" w:color="000000"/>
            </w:tcBorders>
            <w:shd w:val="clear" w:color="auto" w:fill="auto"/>
            <w:vAlign w:val="bottom"/>
            <w:hideMark/>
          </w:tcPr>
          <w:p w14:paraId="66F62D1F" w14:textId="77777777" w:rsidR="00765FAF" w:rsidRPr="00765FAF" w:rsidRDefault="00765FAF" w:rsidP="00D17694">
            <w:pPr>
              <w:suppressAutoHyphens w:val="0"/>
              <w:spacing w:before="40" w:after="40" w:line="220" w:lineRule="exact"/>
              <w:jc w:val="right"/>
              <w:rPr>
                <w:b/>
                <w:bCs/>
                <w:sz w:val="18"/>
                <w:szCs w:val="18"/>
                <w:lang w:eastAsia="zh-CN"/>
              </w:rPr>
            </w:pPr>
            <w:r w:rsidRPr="00765FAF">
              <w:rPr>
                <w:b/>
                <w:bCs/>
                <w:sz w:val="18"/>
                <w:szCs w:val="18"/>
                <w:lang w:eastAsia="zh-CN"/>
              </w:rPr>
              <w:t>36%</w:t>
            </w:r>
          </w:p>
        </w:tc>
      </w:tr>
      <w:tr w:rsidR="00D17694" w:rsidRPr="00D17694" w14:paraId="3E4B7292" w14:textId="77777777" w:rsidTr="00B1378B">
        <w:tc>
          <w:tcPr>
            <w:tcW w:w="1701" w:type="dxa"/>
            <w:tcBorders>
              <w:top w:val="single" w:sz="4" w:space="0" w:color="000000"/>
              <w:bottom w:val="single" w:sz="4" w:space="0" w:color="000000"/>
            </w:tcBorders>
            <w:shd w:val="clear" w:color="auto" w:fill="auto"/>
            <w:hideMark/>
          </w:tcPr>
          <w:p w14:paraId="38656E74" w14:textId="77777777" w:rsidR="00765FAF" w:rsidRPr="00765FAF" w:rsidRDefault="00765FAF" w:rsidP="00D17694">
            <w:pPr>
              <w:suppressAutoHyphens w:val="0"/>
              <w:spacing w:before="40" w:after="40" w:line="220" w:lineRule="exact"/>
              <w:rPr>
                <w:sz w:val="18"/>
                <w:szCs w:val="18"/>
                <w:lang w:eastAsia="zh-CN"/>
              </w:rPr>
            </w:pPr>
            <w:r w:rsidRPr="00765FAF">
              <w:rPr>
                <w:sz w:val="18"/>
                <w:szCs w:val="18"/>
                <w:lang w:eastAsia="zh-CN"/>
              </w:rPr>
              <w:t>b. World Forum for Harmonization of Vehicle Regulations</w:t>
            </w:r>
          </w:p>
        </w:tc>
        <w:tc>
          <w:tcPr>
            <w:tcW w:w="517" w:type="dxa"/>
            <w:tcBorders>
              <w:top w:val="single" w:sz="4" w:space="0" w:color="000000"/>
              <w:bottom w:val="single" w:sz="4" w:space="0" w:color="000000"/>
            </w:tcBorders>
            <w:shd w:val="clear" w:color="auto" w:fill="auto"/>
            <w:vAlign w:val="bottom"/>
            <w:hideMark/>
          </w:tcPr>
          <w:p w14:paraId="264B3C9F" w14:textId="77777777" w:rsidR="00765FAF" w:rsidRPr="00765FAF" w:rsidRDefault="00765FAF" w:rsidP="00D17694">
            <w:pPr>
              <w:suppressAutoHyphens w:val="0"/>
              <w:spacing w:before="40" w:after="40" w:line="220" w:lineRule="exact"/>
              <w:jc w:val="right"/>
              <w:rPr>
                <w:sz w:val="18"/>
                <w:szCs w:val="18"/>
                <w:lang w:eastAsia="zh-CN"/>
              </w:rPr>
            </w:pPr>
            <w:r w:rsidRPr="00765FAF">
              <w:rPr>
                <w:sz w:val="18"/>
                <w:szCs w:val="18"/>
                <w:lang w:eastAsia="zh-CN"/>
              </w:rPr>
              <w:t>111</w:t>
            </w:r>
          </w:p>
        </w:tc>
        <w:tc>
          <w:tcPr>
            <w:tcW w:w="641" w:type="dxa"/>
            <w:tcBorders>
              <w:top w:val="single" w:sz="4" w:space="0" w:color="000000"/>
              <w:bottom w:val="single" w:sz="4" w:space="0" w:color="000000"/>
            </w:tcBorders>
            <w:shd w:val="clear" w:color="auto" w:fill="auto"/>
            <w:vAlign w:val="bottom"/>
            <w:hideMark/>
          </w:tcPr>
          <w:p w14:paraId="2F61697E" w14:textId="77777777" w:rsidR="00765FAF" w:rsidRPr="00765FAF" w:rsidRDefault="00765FAF" w:rsidP="00D17694">
            <w:pPr>
              <w:suppressAutoHyphens w:val="0"/>
              <w:spacing w:before="40" w:after="40" w:line="220" w:lineRule="exact"/>
              <w:jc w:val="right"/>
              <w:rPr>
                <w:sz w:val="18"/>
                <w:szCs w:val="18"/>
                <w:lang w:eastAsia="zh-CN"/>
              </w:rPr>
            </w:pPr>
            <w:r w:rsidRPr="00765FAF">
              <w:rPr>
                <w:sz w:val="18"/>
                <w:szCs w:val="18"/>
                <w:lang w:eastAsia="zh-CN"/>
              </w:rPr>
              <w:t>115</w:t>
            </w:r>
          </w:p>
        </w:tc>
        <w:tc>
          <w:tcPr>
            <w:tcW w:w="1122" w:type="dxa"/>
            <w:tcBorders>
              <w:top w:val="single" w:sz="4" w:space="0" w:color="000000"/>
              <w:bottom w:val="single" w:sz="4" w:space="0" w:color="000000"/>
            </w:tcBorders>
            <w:shd w:val="clear" w:color="auto" w:fill="auto"/>
            <w:vAlign w:val="bottom"/>
            <w:hideMark/>
          </w:tcPr>
          <w:p w14:paraId="4718D66C" w14:textId="77777777" w:rsidR="00765FAF" w:rsidRPr="00765FAF" w:rsidRDefault="00765FAF" w:rsidP="00D17694">
            <w:pPr>
              <w:suppressAutoHyphens w:val="0"/>
              <w:spacing w:before="40" w:after="40" w:line="220" w:lineRule="exact"/>
              <w:jc w:val="right"/>
              <w:rPr>
                <w:sz w:val="18"/>
                <w:szCs w:val="18"/>
                <w:lang w:eastAsia="zh-CN"/>
              </w:rPr>
            </w:pPr>
            <w:r w:rsidRPr="00765FAF">
              <w:rPr>
                <w:sz w:val="18"/>
                <w:szCs w:val="18"/>
                <w:lang w:eastAsia="zh-CN"/>
              </w:rPr>
              <w:t>39</w:t>
            </w:r>
          </w:p>
        </w:tc>
        <w:tc>
          <w:tcPr>
            <w:tcW w:w="1122" w:type="dxa"/>
            <w:tcBorders>
              <w:top w:val="single" w:sz="4" w:space="0" w:color="000000"/>
              <w:bottom w:val="single" w:sz="4" w:space="0" w:color="000000"/>
            </w:tcBorders>
            <w:shd w:val="clear" w:color="auto" w:fill="auto"/>
            <w:vAlign w:val="bottom"/>
            <w:hideMark/>
          </w:tcPr>
          <w:p w14:paraId="1EE6CA4C" w14:textId="77777777" w:rsidR="00765FAF" w:rsidRPr="00765FAF" w:rsidRDefault="00765FAF" w:rsidP="00D17694">
            <w:pPr>
              <w:suppressAutoHyphens w:val="0"/>
              <w:spacing w:before="40" w:after="40" w:line="220" w:lineRule="exact"/>
              <w:jc w:val="right"/>
              <w:rPr>
                <w:sz w:val="18"/>
                <w:szCs w:val="18"/>
                <w:lang w:eastAsia="zh-CN"/>
              </w:rPr>
            </w:pPr>
            <w:r w:rsidRPr="00765FAF">
              <w:rPr>
                <w:sz w:val="18"/>
                <w:szCs w:val="18"/>
                <w:lang w:eastAsia="zh-CN"/>
              </w:rPr>
              <w:t>76</w:t>
            </w:r>
          </w:p>
        </w:tc>
        <w:tc>
          <w:tcPr>
            <w:tcW w:w="1236" w:type="dxa"/>
            <w:tcBorders>
              <w:top w:val="single" w:sz="4" w:space="0" w:color="000000"/>
              <w:bottom w:val="single" w:sz="4" w:space="0" w:color="000000"/>
            </w:tcBorders>
            <w:shd w:val="clear" w:color="auto" w:fill="auto"/>
            <w:vAlign w:val="bottom"/>
            <w:hideMark/>
          </w:tcPr>
          <w:p w14:paraId="16EB9004" w14:textId="77777777" w:rsidR="00765FAF" w:rsidRPr="00765FAF" w:rsidRDefault="00765FAF" w:rsidP="00D17694">
            <w:pPr>
              <w:suppressAutoHyphens w:val="0"/>
              <w:spacing w:before="40" w:after="40" w:line="220" w:lineRule="exact"/>
              <w:jc w:val="right"/>
              <w:rPr>
                <w:b/>
                <w:bCs/>
                <w:sz w:val="18"/>
                <w:szCs w:val="18"/>
                <w:lang w:eastAsia="zh-CN"/>
              </w:rPr>
            </w:pPr>
            <w:r w:rsidRPr="00765FAF">
              <w:rPr>
                <w:b/>
                <w:bCs/>
                <w:sz w:val="18"/>
                <w:szCs w:val="18"/>
                <w:lang w:eastAsia="zh-CN"/>
              </w:rPr>
              <w:t>104%</w:t>
            </w:r>
          </w:p>
        </w:tc>
        <w:tc>
          <w:tcPr>
            <w:tcW w:w="1236" w:type="dxa"/>
            <w:tcBorders>
              <w:top w:val="single" w:sz="4" w:space="0" w:color="000000"/>
              <w:bottom w:val="single" w:sz="4" w:space="0" w:color="000000"/>
            </w:tcBorders>
            <w:shd w:val="clear" w:color="auto" w:fill="auto"/>
            <w:vAlign w:val="bottom"/>
            <w:hideMark/>
          </w:tcPr>
          <w:p w14:paraId="6600AB17" w14:textId="77777777" w:rsidR="00765FAF" w:rsidRPr="00765FAF" w:rsidRDefault="00765FAF" w:rsidP="00D17694">
            <w:pPr>
              <w:suppressAutoHyphens w:val="0"/>
              <w:spacing w:before="40" w:after="40" w:line="220" w:lineRule="exact"/>
              <w:jc w:val="right"/>
              <w:rPr>
                <w:b/>
                <w:bCs/>
                <w:sz w:val="18"/>
                <w:szCs w:val="18"/>
                <w:lang w:eastAsia="zh-CN"/>
              </w:rPr>
            </w:pPr>
            <w:r w:rsidRPr="00765FAF">
              <w:rPr>
                <w:b/>
                <w:bCs/>
                <w:sz w:val="18"/>
                <w:szCs w:val="18"/>
                <w:lang w:eastAsia="zh-CN"/>
              </w:rPr>
              <w:t>35%</w:t>
            </w:r>
          </w:p>
        </w:tc>
        <w:tc>
          <w:tcPr>
            <w:tcW w:w="1122" w:type="dxa"/>
            <w:tcBorders>
              <w:top w:val="single" w:sz="4" w:space="0" w:color="000000"/>
              <w:bottom w:val="single" w:sz="4" w:space="0" w:color="000000"/>
            </w:tcBorders>
            <w:shd w:val="clear" w:color="auto" w:fill="auto"/>
            <w:vAlign w:val="bottom"/>
            <w:hideMark/>
          </w:tcPr>
          <w:p w14:paraId="42B06FB1" w14:textId="77777777" w:rsidR="00765FAF" w:rsidRPr="00765FAF" w:rsidRDefault="00765FAF" w:rsidP="00D17694">
            <w:pPr>
              <w:suppressAutoHyphens w:val="0"/>
              <w:spacing w:before="40" w:after="40" w:line="220" w:lineRule="exact"/>
              <w:jc w:val="right"/>
              <w:rPr>
                <w:sz w:val="18"/>
                <w:szCs w:val="18"/>
                <w:lang w:eastAsia="zh-CN"/>
              </w:rPr>
            </w:pPr>
            <w:r w:rsidRPr="00765FAF">
              <w:rPr>
                <w:sz w:val="18"/>
                <w:szCs w:val="18"/>
                <w:lang w:eastAsia="zh-CN"/>
              </w:rPr>
              <w:t>8</w:t>
            </w:r>
          </w:p>
        </w:tc>
        <w:tc>
          <w:tcPr>
            <w:tcW w:w="940" w:type="dxa"/>
            <w:tcBorders>
              <w:top w:val="single" w:sz="4" w:space="0" w:color="000000"/>
              <w:bottom w:val="single" w:sz="4" w:space="0" w:color="000000"/>
            </w:tcBorders>
            <w:shd w:val="clear" w:color="auto" w:fill="auto"/>
            <w:vAlign w:val="bottom"/>
            <w:hideMark/>
          </w:tcPr>
          <w:p w14:paraId="05B9A715" w14:textId="77777777" w:rsidR="00765FAF" w:rsidRPr="00765FAF" w:rsidRDefault="00765FAF" w:rsidP="00D17694">
            <w:pPr>
              <w:suppressAutoHyphens w:val="0"/>
              <w:spacing w:before="40" w:after="40" w:line="220" w:lineRule="exact"/>
              <w:jc w:val="right"/>
              <w:rPr>
                <w:b/>
                <w:bCs/>
                <w:sz w:val="18"/>
                <w:szCs w:val="18"/>
                <w:lang w:eastAsia="zh-CN"/>
              </w:rPr>
            </w:pPr>
            <w:r w:rsidRPr="00765FAF">
              <w:rPr>
                <w:b/>
                <w:bCs/>
                <w:sz w:val="18"/>
                <w:szCs w:val="18"/>
                <w:lang w:eastAsia="zh-CN"/>
              </w:rPr>
              <w:t>21%</w:t>
            </w:r>
          </w:p>
        </w:tc>
      </w:tr>
      <w:tr w:rsidR="00B1378B" w:rsidRPr="00D17694" w14:paraId="4B2A6C65" w14:textId="77777777" w:rsidTr="00B1378B">
        <w:tc>
          <w:tcPr>
            <w:tcW w:w="1701" w:type="dxa"/>
            <w:tcBorders>
              <w:top w:val="single" w:sz="4" w:space="0" w:color="000000"/>
              <w:bottom w:val="single" w:sz="4" w:space="0" w:color="000000"/>
            </w:tcBorders>
            <w:shd w:val="clear" w:color="auto" w:fill="auto"/>
            <w:hideMark/>
          </w:tcPr>
          <w:p w14:paraId="6F772FBD" w14:textId="77777777" w:rsidR="00765FAF" w:rsidRPr="00765FAF" w:rsidRDefault="00765FAF" w:rsidP="00D17694">
            <w:pPr>
              <w:suppressAutoHyphens w:val="0"/>
              <w:spacing w:before="40" w:after="40" w:line="220" w:lineRule="exact"/>
              <w:rPr>
                <w:sz w:val="18"/>
                <w:szCs w:val="18"/>
                <w:lang w:eastAsia="zh-CN"/>
              </w:rPr>
            </w:pPr>
            <w:r w:rsidRPr="00765FAF">
              <w:rPr>
                <w:sz w:val="18"/>
                <w:szCs w:val="18"/>
                <w:lang w:eastAsia="zh-CN"/>
              </w:rPr>
              <w:t>c. Working Party on the Transport of Perishable Foodstuffs</w:t>
            </w:r>
          </w:p>
        </w:tc>
        <w:tc>
          <w:tcPr>
            <w:tcW w:w="517" w:type="dxa"/>
            <w:tcBorders>
              <w:top w:val="single" w:sz="4" w:space="0" w:color="000000"/>
              <w:bottom w:val="single" w:sz="4" w:space="0" w:color="000000"/>
            </w:tcBorders>
            <w:shd w:val="clear" w:color="auto" w:fill="auto"/>
            <w:vAlign w:val="bottom"/>
            <w:hideMark/>
          </w:tcPr>
          <w:p w14:paraId="4A6F6AA8" w14:textId="77777777" w:rsidR="00765FAF" w:rsidRPr="00765FAF" w:rsidRDefault="00765FAF" w:rsidP="00D17694">
            <w:pPr>
              <w:suppressAutoHyphens w:val="0"/>
              <w:spacing w:before="40" w:after="40" w:line="220" w:lineRule="exact"/>
              <w:jc w:val="right"/>
              <w:rPr>
                <w:sz w:val="18"/>
                <w:szCs w:val="18"/>
                <w:lang w:eastAsia="zh-CN"/>
              </w:rPr>
            </w:pPr>
            <w:r w:rsidRPr="00765FAF">
              <w:rPr>
                <w:sz w:val="18"/>
                <w:szCs w:val="18"/>
                <w:lang w:eastAsia="zh-CN"/>
              </w:rPr>
              <w:t>8</w:t>
            </w:r>
          </w:p>
        </w:tc>
        <w:tc>
          <w:tcPr>
            <w:tcW w:w="641" w:type="dxa"/>
            <w:tcBorders>
              <w:top w:val="single" w:sz="4" w:space="0" w:color="000000"/>
              <w:bottom w:val="single" w:sz="4" w:space="0" w:color="000000"/>
            </w:tcBorders>
            <w:shd w:val="clear" w:color="auto" w:fill="auto"/>
            <w:vAlign w:val="bottom"/>
            <w:hideMark/>
          </w:tcPr>
          <w:p w14:paraId="2F5B98C2" w14:textId="77777777" w:rsidR="00765FAF" w:rsidRPr="00765FAF" w:rsidRDefault="00765FAF" w:rsidP="00D17694">
            <w:pPr>
              <w:suppressAutoHyphens w:val="0"/>
              <w:spacing w:before="40" w:after="40" w:line="220" w:lineRule="exact"/>
              <w:jc w:val="right"/>
              <w:rPr>
                <w:sz w:val="18"/>
                <w:szCs w:val="18"/>
                <w:lang w:eastAsia="zh-CN"/>
              </w:rPr>
            </w:pPr>
            <w:r w:rsidRPr="00765FAF">
              <w:rPr>
                <w:sz w:val="18"/>
                <w:szCs w:val="18"/>
                <w:lang w:eastAsia="zh-CN"/>
              </w:rPr>
              <w:t>8</w:t>
            </w:r>
          </w:p>
        </w:tc>
        <w:tc>
          <w:tcPr>
            <w:tcW w:w="1122" w:type="dxa"/>
            <w:tcBorders>
              <w:top w:val="single" w:sz="4" w:space="0" w:color="000000"/>
              <w:bottom w:val="single" w:sz="4" w:space="0" w:color="000000"/>
            </w:tcBorders>
            <w:shd w:val="clear" w:color="auto" w:fill="auto"/>
            <w:vAlign w:val="bottom"/>
            <w:hideMark/>
          </w:tcPr>
          <w:p w14:paraId="68000944" w14:textId="77777777" w:rsidR="00765FAF" w:rsidRPr="00765FAF" w:rsidRDefault="00765FAF" w:rsidP="00D17694">
            <w:pPr>
              <w:suppressAutoHyphens w:val="0"/>
              <w:spacing w:before="40" w:after="40" w:line="220" w:lineRule="exact"/>
              <w:jc w:val="right"/>
              <w:rPr>
                <w:sz w:val="18"/>
                <w:szCs w:val="18"/>
                <w:lang w:eastAsia="zh-CN"/>
              </w:rPr>
            </w:pPr>
            <w:r w:rsidRPr="00765FAF">
              <w:rPr>
                <w:sz w:val="18"/>
                <w:szCs w:val="18"/>
                <w:lang w:eastAsia="zh-CN"/>
              </w:rPr>
              <w:t>7</w:t>
            </w:r>
          </w:p>
        </w:tc>
        <w:tc>
          <w:tcPr>
            <w:tcW w:w="1122" w:type="dxa"/>
            <w:tcBorders>
              <w:top w:val="single" w:sz="4" w:space="0" w:color="000000"/>
              <w:bottom w:val="single" w:sz="4" w:space="0" w:color="000000"/>
            </w:tcBorders>
            <w:shd w:val="clear" w:color="auto" w:fill="auto"/>
            <w:vAlign w:val="bottom"/>
            <w:hideMark/>
          </w:tcPr>
          <w:p w14:paraId="647057C8" w14:textId="77777777" w:rsidR="00765FAF" w:rsidRPr="00765FAF" w:rsidRDefault="00765FAF" w:rsidP="00D17694">
            <w:pPr>
              <w:suppressAutoHyphens w:val="0"/>
              <w:spacing w:before="40" w:after="40" w:line="220" w:lineRule="exact"/>
              <w:jc w:val="right"/>
              <w:rPr>
                <w:sz w:val="18"/>
                <w:szCs w:val="18"/>
                <w:lang w:eastAsia="zh-CN"/>
              </w:rPr>
            </w:pPr>
            <w:r w:rsidRPr="00765FAF">
              <w:rPr>
                <w:sz w:val="18"/>
                <w:szCs w:val="18"/>
                <w:lang w:eastAsia="zh-CN"/>
              </w:rPr>
              <w:t>1</w:t>
            </w:r>
          </w:p>
        </w:tc>
        <w:tc>
          <w:tcPr>
            <w:tcW w:w="1236" w:type="dxa"/>
            <w:tcBorders>
              <w:top w:val="single" w:sz="4" w:space="0" w:color="000000"/>
              <w:bottom w:val="single" w:sz="4" w:space="0" w:color="000000"/>
            </w:tcBorders>
            <w:shd w:val="clear" w:color="auto" w:fill="auto"/>
            <w:vAlign w:val="bottom"/>
            <w:hideMark/>
          </w:tcPr>
          <w:p w14:paraId="44E48AF1" w14:textId="77777777" w:rsidR="00765FAF" w:rsidRPr="00765FAF" w:rsidRDefault="00765FAF" w:rsidP="00D17694">
            <w:pPr>
              <w:suppressAutoHyphens w:val="0"/>
              <w:spacing w:before="40" w:after="40" w:line="220" w:lineRule="exact"/>
              <w:jc w:val="right"/>
              <w:rPr>
                <w:b/>
                <w:bCs/>
                <w:sz w:val="18"/>
                <w:szCs w:val="18"/>
                <w:lang w:eastAsia="zh-CN"/>
              </w:rPr>
            </w:pPr>
            <w:r w:rsidRPr="00765FAF">
              <w:rPr>
                <w:b/>
                <w:bCs/>
                <w:sz w:val="18"/>
                <w:szCs w:val="18"/>
                <w:lang w:eastAsia="zh-CN"/>
              </w:rPr>
              <w:t>100%</w:t>
            </w:r>
          </w:p>
        </w:tc>
        <w:tc>
          <w:tcPr>
            <w:tcW w:w="1236" w:type="dxa"/>
            <w:tcBorders>
              <w:top w:val="single" w:sz="4" w:space="0" w:color="000000"/>
              <w:bottom w:val="single" w:sz="4" w:space="0" w:color="000000"/>
            </w:tcBorders>
            <w:shd w:val="clear" w:color="auto" w:fill="auto"/>
            <w:vAlign w:val="bottom"/>
            <w:hideMark/>
          </w:tcPr>
          <w:p w14:paraId="0EB31FFD" w14:textId="77777777" w:rsidR="00765FAF" w:rsidRPr="00765FAF" w:rsidRDefault="00765FAF" w:rsidP="00D17694">
            <w:pPr>
              <w:suppressAutoHyphens w:val="0"/>
              <w:spacing w:before="40" w:after="40" w:line="220" w:lineRule="exact"/>
              <w:jc w:val="right"/>
              <w:rPr>
                <w:b/>
                <w:bCs/>
                <w:sz w:val="18"/>
                <w:szCs w:val="18"/>
                <w:lang w:eastAsia="zh-CN"/>
              </w:rPr>
            </w:pPr>
            <w:r w:rsidRPr="00765FAF">
              <w:rPr>
                <w:b/>
                <w:bCs/>
                <w:sz w:val="18"/>
                <w:szCs w:val="18"/>
                <w:lang w:eastAsia="zh-CN"/>
              </w:rPr>
              <w:t>88%</w:t>
            </w:r>
          </w:p>
        </w:tc>
        <w:tc>
          <w:tcPr>
            <w:tcW w:w="1122" w:type="dxa"/>
            <w:tcBorders>
              <w:top w:val="single" w:sz="4" w:space="0" w:color="000000"/>
              <w:bottom w:val="single" w:sz="4" w:space="0" w:color="000000"/>
            </w:tcBorders>
            <w:shd w:val="clear" w:color="auto" w:fill="auto"/>
            <w:vAlign w:val="bottom"/>
            <w:hideMark/>
          </w:tcPr>
          <w:p w14:paraId="08DED79F" w14:textId="77777777" w:rsidR="00765FAF" w:rsidRPr="00765FAF" w:rsidRDefault="00765FAF" w:rsidP="00D17694">
            <w:pPr>
              <w:suppressAutoHyphens w:val="0"/>
              <w:spacing w:before="40" w:after="40" w:line="220" w:lineRule="exact"/>
              <w:jc w:val="right"/>
              <w:rPr>
                <w:sz w:val="18"/>
                <w:szCs w:val="18"/>
                <w:lang w:eastAsia="zh-CN"/>
              </w:rPr>
            </w:pPr>
            <w:r w:rsidRPr="00765FAF">
              <w:rPr>
                <w:sz w:val="18"/>
                <w:szCs w:val="18"/>
                <w:lang w:eastAsia="zh-CN"/>
              </w:rPr>
              <w:t>7</w:t>
            </w:r>
          </w:p>
        </w:tc>
        <w:tc>
          <w:tcPr>
            <w:tcW w:w="940" w:type="dxa"/>
            <w:tcBorders>
              <w:top w:val="single" w:sz="4" w:space="0" w:color="000000"/>
              <w:bottom w:val="single" w:sz="4" w:space="0" w:color="000000"/>
            </w:tcBorders>
            <w:shd w:val="clear" w:color="auto" w:fill="auto"/>
            <w:vAlign w:val="bottom"/>
            <w:hideMark/>
          </w:tcPr>
          <w:p w14:paraId="6802B6C4" w14:textId="77777777" w:rsidR="00765FAF" w:rsidRPr="00765FAF" w:rsidRDefault="00765FAF" w:rsidP="00D17694">
            <w:pPr>
              <w:suppressAutoHyphens w:val="0"/>
              <w:spacing w:before="40" w:after="40" w:line="220" w:lineRule="exact"/>
              <w:jc w:val="right"/>
              <w:rPr>
                <w:b/>
                <w:bCs/>
                <w:sz w:val="18"/>
                <w:szCs w:val="18"/>
                <w:lang w:eastAsia="zh-CN"/>
              </w:rPr>
            </w:pPr>
            <w:r w:rsidRPr="00765FAF">
              <w:rPr>
                <w:b/>
                <w:bCs/>
                <w:sz w:val="18"/>
                <w:szCs w:val="18"/>
                <w:lang w:eastAsia="zh-CN"/>
              </w:rPr>
              <w:t>100%</w:t>
            </w:r>
          </w:p>
        </w:tc>
      </w:tr>
      <w:tr w:rsidR="00D17694" w:rsidRPr="00D17694" w14:paraId="7F9BCFDB" w14:textId="77777777" w:rsidTr="00B1378B">
        <w:tc>
          <w:tcPr>
            <w:tcW w:w="1701" w:type="dxa"/>
            <w:tcBorders>
              <w:top w:val="single" w:sz="4" w:space="0" w:color="000000"/>
              <w:bottom w:val="single" w:sz="4" w:space="0" w:color="000000"/>
            </w:tcBorders>
            <w:shd w:val="clear" w:color="auto" w:fill="auto"/>
            <w:hideMark/>
          </w:tcPr>
          <w:p w14:paraId="358D4DD0" w14:textId="77777777" w:rsidR="00765FAF" w:rsidRPr="00765FAF" w:rsidRDefault="00765FAF" w:rsidP="00D17694">
            <w:pPr>
              <w:suppressAutoHyphens w:val="0"/>
              <w:spacing w:before="40" w:after="40" w:line="220" w:lineRule="exact"/>
              <w:rPr>
                <w:sz w:val="18"/>
                <w:szCs w:val="18"/>
                <w:lang w:eastAsia="zh-CN"/>
              </w:rPr>
            </w:pPr>
            <w:r w:rsidRPr="00765FAF">
              <w:rPr>
                <w:sz w:val="18"/>
                <w:szCs w:val="18"/>
                <w:lang w:eastAsia="zh-CN"/>
              </w:rPr>
              <w:t>d. Working Party on the Transport of Dangerous Goods</w:t>
            </w:r>
          </w:p>
        </w:tc>
        <w:tc>
          <w:tcPr>
            <w:tcW w:w="517" w:type="dxa"/>
            <w:tcBorders>
              <w:top w:val="single" w:sz="4" w:space="0" w:color="000000"/>
              <w:bottom w:val="single" w:sz="4" w:space="0" w:color="000000"/>
            </w:tcBorders>
            <w:shd w:val="clear" w:color="auto" w:fill="auto"/>
            <w:vAlign w:val="bottom"/>
            <w:hideMark/>
          </w:tcPr>
          <w:p w14:paraId="08EEE65A" w14:textId="77777777" w:rsidR="00765FAF" w:rsidRPr="00765FAF" w:rsidRDefault="00765FAF" w:rsidP="00D17694">
            <w:pPr>
              <w:suppressAutoHyphens w:val="0"/>
              <w:spacing w:before="40" w:after="40" w:line="220" w:lineRule="exact"/>
              <w:jc w:val="right"/>
              <w:rPr>
                <w:sz w:val="18"/>
                <w:szCs w:val="18"/>
                <w:lang w:eastAsia="zh-CN"/>
              </w:rPr>
            </w:pPr>
            <w:r w:rsidRPr="00765FAF">
              <w:rPr>
                <w:sz w:val="18"/>
                <w:szCs w:val="18"/>
                <w:lang w:eastAsia="zh-CN"/>
              </w:rPr>
              <w:t>68</w:t>
            </w:r>
          </w:p>
        </w:tc>
        <w:tc>
          <w:tcPr>
            <w:tcW w:w="641" w:type="dxa"/>
            <w:tcBorders>
              <w:top w:val="single" w:sz="4" w:space="0" w:color="000000"/>
              <w:bottom w:val="single" w:sz="4" w:space="0" w:color="000000"/>
            </w:tcBorders>
            <w:shd w:val="clear" w:color="auto" w:fill="auto"/>
            <w:vAlign w:val="bottom"/>
            <w:hideMark/>
          </w:tcPr>
          <w:p w14:paraId="5007D09A" w14:textId="77777777" w:rsidR="00765FAF" w:rsidRPr="00765FAF" w:rsidRDefault="00765FAF" w:rsidP="00D17694">
            <w:pPr>
              <w:suppressAutoHyphens w:val="0"/>
              <w:spacing w:before="40" w:after="40" w:line="220" w:lineRule="exact"/>
              <w:jc w:val="right"/>
              <w:rPr>
                <w:sz w:val="18"/>
                <w:szCs w:val="18"/>
                <w:lang w:eastAsia="zh-CN"/>
              </w:rPr>
            </w:pPr>
            <w:r w:rsidRPr="00765FAF">
              <w:rPr>
                <w:sz w:val="18"/>
                <w:szCs w:val="18"/>
                <w:lang w:eastAsia="zh-CN"/>
              </w:rPr>
              <w:t>52</w:t>
            </w:r>
          </w:p>
        </w:tc>
        <w:tc>
          <w:tcPr>
            <w:tcW w:w="1122" w:type="dxa"/>
            <w:tcBorders>
              <w:top w:val="single" w:sz="4" w:space="0" w:color="000000"/>
              <w:bottom w:val="single" w:sz="4" w:space="0" w:color="000000"/>
            </w:tcBorders>
            <w:shd w:val="clear" w:color="auto" w:fill="auto"/>
            <w:vAlign w:val="bottom"/>
            <w:hideMark/>
          </w:tcPr>
          <w:p w14:paraId="56DA8FD7" w14:textId="77777777" w:rsidR="00765FAF" w:rsidRPr="00765FAF" w:rsidRDefault="00765FAF" w:rsidP="00D17694">
            <w:pPr>
              <w:suppressAutoHyphens w:val="0"/>
              <w:spacing w:before="40" w:after="40" w:line="220" w:lineRule="exact"/>
              <w:jc w:val="right"/>
              <w:rPr>
                <w:sz w:val="18"/>
                <w:szCs w:val="18"/>
                <w:lang w:eastAsia="zh-CN"/>
              </w:rPr>
            </w:pPr>
            <w:r w:rsidRPr="00765FAF">
              <w:rPr>
                <w:sz w:val="18"/>
                <w:szCs w:val="18"/>
                <w:lang w:eastAsia="zh-CN"/>
              </w:rPr>
              <w:t>34</w:t>
            </w:r>
          </w:p>
        </w:tc>
        <w:tc>
          <w:tcPr>
            <w:tcW w:w="1122" w:type="dxa"/>
            <w:tcBorders>
              <w:top w:val="single" w:sz="4" w:space="0" w:color="000000"/>
              <w:bottom w:val="single" w:sz="4" w:space="0" w:color="000000"/>
            </w:tcBorders>
            <w:shd w:val="clear" w:color="auto" w:fill="auto"/>
            <w:vAlign w:val="bottom"/>
            <w:hideMark/>
          </w:tcPr>
          <w:p w14:paraId="19CD1A87" w14:textId="77777777" w:rsidR="00765FAF" w:rsidRPr="00765FAF" w:rsidRDefault="00765FAF" w:rsidP="00D17694">
            <w:pPr>
              <w:suppressAutoHyphens w:val="0"/>
              <w:spacing w:before="40" w:after="40" w:line="220" w:lineRule="exact"/>
              <w:jc w:val="right"/>
              <w:rPr>
                <w:sz w:val="18"/>
                <w:szCs w:val="18"/>
                <w:lang w:eastAsia="zh-CN"/>
              </w:rPr>
            </w:pPr>
            <w:r w:rsidRPr="00765FAF">
              <w:rPr>
                <w:sz w:val="18"/>
                <w:szCs w:val="18"/>
                <w:lang w:eastAsia="zh-CN"/>
              </w:rPr>
              <w:t>18</w:t>
            </w:r>
          </w:p>
        </w:tc>
        <w:tc>
          <w:tcPr>
            <w:tcW w:w="1236" w:type="dxa"/>
            <w:tcBorders>
              <w:top w:val="single" w:sz="4" w:space="0" w:color="000000"/>
              <w:bottom w:val="single" w:sz="4" w:space="0" w:color="000000"/>
            </w:tcBorders>
            <w:shd w:val="clear" w:color="auto" w:fill="auto"/>
            <w:vAlign w:val="bottom"/>
            <w:hideMark/>
          </w:tcPr>
          <w:p w14:paraId="6C7F6456" w14:textId="77777777" w:rsidR="00765FAF" w:rsidRPr="00765FAF" w:rsidRDefault="00765FAF" w:rsidP="00D17694">
            <w:pPr>
              <w:suppressAutoHyphens w:val="0"/>
              <w:spacing w:before="40" w:after="40" w:line="220" w:lineRule="exact"/>
              <w:jc w:val="right"/>
              <w:rPr>
                <w:b/>
                <w:bCs/>
                <w:sz w:val="18"/>
                <w:szCs w:val="18"/>
                <w:lang w:eastAsia="zh-CN"/>
              </w:rPr>
            </w:pPr>
            <w:r w:rsidRPr="00765FAF">
              <w:rPr>
                <w:b/>
                <w:bCs/>
                <w:sz w:val="18"/>
                <w:szCs w:val="18"/>
                <w:lang w:eastAsia="zh-CN"/>
              </w:rPr>
              <w:t>76%</w:t>
            </w:r>
          </w:p>
        </w:tc>
        <w:tc>
          <w:tcPr>
            <w:tcW w:w="1236" w:type="dxa"/>
            <w:tcBorders>
              <w:top w:val="single" w:sz="4" w:space="0" w:color="000000"/>
              <w:bottom w:val="single" w:sz="4" w:space="0" w:color="000000"/>
            </w:tcBorders>
            <w:shd w:val="clear" w:color="auto" w:fill="auto"/>
            <w:vAlign w:val="bottom"/>
            <w:hideMark/>
          </w:tcPr>
          <w:p w14:paraId="6E393964" w14:textId="77777777" w:rsidR="00765FAF" w:rsidRPr="00765FAF" w:rsidRDefault="00765FAF" w:rsidP="00D17694">
            <w:pPr>
              <w:suppressAutoHyphens w:val="0"/>
              <w:spacing w:before="40" w:after="40" w:line="220" w:lineRule="exact"/>
              <w:jc w:val="right"/>
              <w:rPr>
                <w:b/>
                <w:bCs/>
                <w:sz w:val="18"/>
                <w:szCs w:val="18"/>
                <w:lang w:eastAsia="zh-CN"/>
              </w:rPr>
            </w:pPr>
            <w:r w:rsidRPr="00765FAF">
              <w:rPr>
                <w:b/>
                <w:bCs/>
                <w:sz w:val="18"/>
                <w:szCs w:val="18"/>
                <w:lang w:eastAsia="zh-CN"/>
              </w:rPr>
              <w:t>50%</w:t>
            </w:r>
          </w:p>
        </w:tc>
        <w:tc>
          <w:tcPr>
            <w:tcW w:w="1122" w:type="dxa"/>
            <w:tcBorders>
              <w:top w:val="single" w:sz="4" w:space="0" w:color="000000"/>
              <w:bottom w:val="single" w:sz="4" w:space="0" w:color="000000"/>
            </w:tcBorders>
            <w:shd w:val="clear" w:color="auto" w:fill="auto"/>
            <w:vAlign w:val="bottom"/>
            <w:hideMark/>
          </w:tcPr>
          <w:p w14:paraId="245B9ECD" w14:textId="77777777" w:rsidR="00765FAF" w:rsidRPr="00765FAF" w:rsidRDefault="00765FAF" w:rsidP="00D17694">
            <w:pPr>
              <w:suppressAutoHyphens w:val="0"/>
              <w:spacing w:before="40" w:after="40" w:line="220" w:lineRule="exact"/>
              <w:jc w:val="right"/>
              <w:rPr>
                <w:sz w:val="18"/>
                <w:szCs w:val="18"/>
                <w:lang w:eastAsia="zh-CN"/>
              </w:rPr>
            </w:pPr>
            <w:r w:rsidRPr="00765FAF">
              <w:rPr>
                <w:sz w:val="18"/>
                <w:szCs w:val="18"/>
                <w:lang w:eastAsia="zh-CN"/>
              </w:rPr>
              <w:t>7</w:t>
            </w:r>
          </w:p>
        </w:tc>
        <w:tc>
          <w:tcPr>
            <w:tcW w:w="940" w:type="dxa"/>
            <w:tcBorders>
              <w:top w:val="single" w:sz="4" w:space="0" w:color="000000"/>
              <w:bottom w:val="single" w:sz="4" w:space="0" w:color="000000"/>
            </w:tcBorders>
            <w:shd w:val="clear" w:color="auto" w:fill="auto"/>
            <w:vAlign w:val="bottom"/>
            <w:hideMark/>
          </w:tcPr>
          <w:p w14:paraId="69E7E07B" w14:textId="77777777" w:rsidR="00765FAF" w:rsidRPr="00765FAF" w:rsidRDefault="00765FAF" w:rsidP="00D17694">
            <w:pPr>
              <w:suppressAutoHyphens w:val="0"/>
              <w:spacing w:before="40" w:after="40" w:line="220" w:lineRule="exact"/>
              <w:jc w:val="right"/>
              <w:rPr>
                <w:b/>
                <w:bCs/>
                <w:sz w:val="18"/>
                <w:szCs w:val="18"/>
                <w:lang w:eastAsia="zh-CN"/>
              </w:rPr>
            </w:pPr>
            <w:r w:rsidRPr="00765FAF">
              <w:rPr>
                <w:b/>
                <w:bCs/>
                <w:sz w:val="18"/>
                <w:szCs w:val="18"/>
                <w:lang w:eastAsia="zh-CN"/>
              </w:rPr>
              <w:t>21%</w:t>
            </w:r>
          </w:p>
        </w:tc>
      </w:tr>
      <w:tr w:rsidR="00B1378B" w:rsidRPr="00D17694" w14:paraId="40D68A21" w14:textId="77777777" w:rsidTr="00B1378B">
        <w:tc>
          <w:tcPr>
            <w:tcW w:w="1701" w:type="dxa"/>
            <w:tcBorders>
              <w:top w:val="single" w:sz="4" w:space="0" w:color="000000"/>
              <w:bottom w:val="single" w:sz="4" w:space="0" w:color="000000"/>
            </w:tcBorders>
            <w:shd w:val="clear" w:color="auto" w:fill="auto"/>
            <w:hideMark/>
          </w:tcPr>
          <w:p w14:paraId="17820A75" w14:textId="77777777" w:rsidR="00765FAF" w:rsidRPr="00765FAF" w:rsidRDefault="00765FAF" w:rsidP="00D17694">
            <w:pPr>
              <w:suppressAutoHyphens w:val="0"/>
              <w:spacing w:before="40" w:after="40" w:line="220" w:lineRule="exact"/>
              <w:rPr>
                <w:sz w:val="18"/>
                <w:szCs w:val="18"/>
                <w:lang w:eastAsia="zh-CN"/>
              </w:rPr>
            </w:pPr>
            <w:r w:rsidRPr="00765FAF">
              <w:rPr>
                <w:sz w:val="18"/>
                <w:szCs w:val="18"/>
                <w:lang w:eastAsia="zh-CN"/>
              </w:rPr>
              <w:t>e. Working Party on Transport Trends and Economics and subsidiary groups of experts</w:t>
            </w:r>
          </w:p>
        </w:tc>
        <w:tc>
          <w:tcPr>
            <w:tcW w:w="517" w:type="dxa"/>
            <w:tcBorders>
              <w:top w:val="single" w:sz="4" w:space="0" w:color="000000"/>
              <w:bottom w:val="single" w:sz="4" w:space="0" w:color="000000"/>
            </w:tcBorders>
            <w:shd w:val="clear" w:color="auto" w:fill="auto"/>
            <w:vAlign w:val="bottom"/>
            <w:hideMark/>
          </w:tcPr>
          <w:p w14:paraId="72D7F4C1" w14:textId="77777777" w:rsidR="00765FAF" w:rsidRPr="00765FAF" w:rsidRDefault="00765FAF" w:rsidP="00D17694">
            <w:pPr>
              <w:suppressAutoHyphens w:val="0"/>
              <w:spacing w:before="40" w:after="40" w:line="220" w:lineRule="exact"/>
              <w:jc w:val="right"/>
              <w:rPr>
                <w:sz w:val="18"/>
                <w:szCs w:val="18"/>
                <w:lang w:eastAsia="zh-CN"/>
              </w:rPr>
            </w:pPr>
            <w:r w:rsidRPr="00765FAF">
              <w:rPr>
                <w:sz w:val="18"/>
                <w:szCs w:val="18"/>
                <w:lang w:eastAsia="zh-CN"/>
              </w:rPr>
              <w:t>22</w:t>
            </w:r>
          </w:p>
        </w:tc>
        <w:tc>
          <w:tcPr>
            <w:tcW w:w="641" w:type="dxa"/>
            <w:tcBorders>
              <w:top w:val="single" w:sz="4" w:space="0" w:color="000000"/>
              <w:bottom w:val="single" w:sz="4" w:space="0" w:color="000000"/>
            </w:tcBorders>
            <w:shd w:val="clear" w:color="auto" w:fill="auto"/>
            <w:vAlign w:val="bottom"/>
            <w:hideMark/>
          </w:tcPr>
          <w:p w14:paraId="61D5908A" w14:textId="77777777" w:rsidR="00765FAF" w:rsidRPr="00765FAF" w:rsidRDefault="00765FAF" w:rsidP="00D17694">
            <w:pPr>
              <w:suppressAutoHyphens w:val="0"/>
              <w:spacing w:before="40" w:after="40" w:line="220" w:lineRule="exact"/>
              <w:jc w:val="right"/>
              <w:rPr>
                <w:sz w:val="18"/>
                <w:szCs w:val="18"/>
                <w:lang w:eastAsia="zh-CN"/>
              </w:rPr>
            </w:pPr>
            <w:r w:rsidRPr="00765FAF">
              <w:rPr>
                <w:sz w:val="18"/>
                <w:szCs w:val="18"/>
                <w:lang w:eastAsia="zh-CN"/>
              </w:rPr>
              <w:t>20</w:t>
            </w:r>
          </w:p>
        </w:tc>
        <w:tc>
          <w:tcPr>
            <w:tcW w:w="1122" w:type="dxa"/>
            <w:tcBorders>
              <w:top w:val="single" w:sz="4" w:space="0" w:color="000000"/>
              <w:bottom w:val="single" w:sz="4" w:space="0" w:color="000000"/>
            </w:tcBorders>
            <w:shd w:val="clear" w:color="auto" w:fill="auto"/>
            <w:vAlign w:val="bottom"/>
            <w:hideMark/>
          </w:tcPr>
          <w:p w14:paraId="5916E4DC" w14:textId="77777777" w:rsidR="00765FAF" w:rsidRPr="00765FAF" w:rsidRDefault="00765FAF" w:rsidP="00D17694">
            <w:pPr>
              <w:suppressAutoHyphens w:val="0"/>
              <w:spacing w:before="40" w:after="40" w:line="220" w:lineRule="exact"/>
              <w:jc w:val="right"/>
              <w:rPr>
                <w:sz w:val="18"/>
                <w:szCs w:val="18"/>
                <w:lang w:eastAsia="zh-CN"/>
              </w:rPr>
            </w:pPr>
            <w:r w:rsidRPr="00765FAF">
              <w:rPr>
                <w:sz w:val="18"/>
                <w:szCs w:val="18"/>
                <w:lang w:eastAsia="zh-CN"/>
              </w:rPr>
              <w:t>14</w:t>
            </w:r>
          </w:p>
        </w:tc>
        <w:tc>
          <w:tcPr>
            <w:tcW w:w="1122" w:type="dxa"/>
            <w:tcBorders>
              <w:top w:val="single" w:sz="4" w:space="0" w:color="000000"/>
              <w:bottom w:val="single" w:sz="4" w:space="0" w:color="000000"/>
            </w:tcBorders>
            <w:shd w:val="clear" w:color="auto" w:fill="auto"/>
            <w:vAlign w:val="bottom"/>
            <w:hideMark/>
          </w:tcPr>
          <w:p w14:paraId="5E56A6E2" w14:textId="77777777" w:rsidR="00765FAF" w:rsidRPr="00765FAF" w:rsidRDefault="00765FAF" w:rsidP="00D17694">
            <w:pPr>
              <w:suppressAutoHyphens w:val="0"/>
              <w:spacing w:before="40" w:after="40" w:line="220" w:lineRule="exact"/>
              <w:jc w:val="right"/>
              <w:rPr>
                <w:sz w:val="18"/>
                <w:szCs w:val="18"/>
                <w:lang w:eastAsia="zh-CN"/>
              </w:rPr>
            </w:pPr>
            <w:r w:rsidRPr="00765FAF">
              <w:rPr>
                <w:sz w:val="18"/>
                <w:szCs w:val="18"/>
                <w:lang w:eastAsia="zh-CN"/>
              </w:rPr>
              <w:t>6</w:t>
            </w:r>
          </w:p>
        </w:tc>
        <w:tc>
          <w:tcPr>
            <w:tcW w:w="1236" w:type="dxa"/>
            <w:tcBorders>
              <w:top w:val="single" w:sz="4" w:space="0" w:color="000000"/>
              <w:bottom w:val="single" w:sz="4" w:space="0" w:color="000000"/>
            </w:tcBorders>
            <w:shd w:val="clear" w:color="auto" w:fill="auto"/>
            <w:vAlign w:val="bottom"/>
            <w:hideMark/>
          </w:tcPr>
          <w:p w14:paraId="3D4D1993" w14:textId="77777777" w:rsidR="00765FAF" w:rsidRPr="00765FAF" w:rsidRDefault="00765FAF" w:rsidP="00D17694">
            <w:pPr>
              <w:suppressAutoHyphens w:val="0"/>
              <w:spacing w:before="40" w:after="40" w:line="220" w:lineRule="exact"/>
              <w:jc w:val="right"/>
              <w:rPr>
                <w:b/>
                <w:bCs/>
                <w:sz w:val="18"/>
                <w:szCs w:val="18"/>
                <w:lang w:eastAsia="zh-CN"/>
              </w:rPr>
            </w:pPr>
            <w:r w:rsidRPr="00765FAF">
              <w:rPr>
                <w:b/>
                <w:bCs/>
                <w:sz w:val="18"/>
                <w:szCs w:val="18"/>
                <w:lang w:eastAsia="zh-CN"/>
              </w:rPr>
              <w:t>91%</w:t>
            </w:r>
          </w:p>
        </w:tc>
        <w:tc>
          <w:tcPr>
            <w:tcW w:w="1236" w:type="dxa"/>
            <w:tcBorders>
              <w:top w:val="single" w:sz="4" w:space="0" w:color="000000"/>
              <w:bottom w:val="single" w:sz="4" w:space="0" w:color="000000"/>
            </w:tcBorders>
            <w:shd w:val="clear" w:color="auto" w:fill="auto"/>
            <w:vAlign w:val="bottom"/>
            <w:hideMark/>
          </w:tcPr>
          <w:p w14:paraId="51DADE57" w14:textId="77777777" w:rsidR="00765FAF" w:rsidRPr="00765FAF" w:rsidRDefault="00765FAF" w:rsidP="00D17694">
            <w:pPr>
              <w:suppressAutoHyphens w:val="0"/>
              <w:spacing w:before="40" w:after="40" w:line="220" w:lineRule="exact"/>
              <w:jc w:val="right"/>
              <w:rPr>
                <w:b/>
                <w:bCs/>
                <w:sz w:val="18"/>
                <w:szCs w:val="18"/>
                <w:lang w:eastAsia="zh-CN"/>
              </w:rPr>
            </w:pPr>
            <w:r w:rsidRPr="00765FAF">
              <w:rPr>
                <w:b/>
                <w:bCs/>
                <w:sz w:val="18"/>
                <w:szCs w:val="18"/>
                <w:lang w:eastAsia="zh-CN"/>
              </w:rPr>
              <w:t>64%</w:t>
            </w:r>
          </w:p>
        </w:tc>
        <w:tc>
          <w:tcPr>
            <w:tcW w:w="1122" w:type="dxa"/>
            <w:tcBorders>
              <w:top w:val="single" w:sz="4" w:space="0" w:color="000000"/>
              <w:bottom w:val="single" w:sz="4" w:space="0" w:color="000000"/>
            </w:tcBorders>
            <w:shd w:val="clear" w:color="auto" w:fill="auto"/>
            <w:vAlign w:val="bottom"/>
            <w:hideMark/>
          </w:tcPr>
          <w:p w14:paraId="54908373" w14:textId="77777777" w:rsidR="00765FAF" w:rsidRPr="00765FAF" w:rsidRDefault="00765FAF" w:rsidP="00D17694">
            <w:pPr>
              <w:suppressAutoHyphens w:val="0"/>
              <w:spacing w:before="40" w:after="40" w:line="220" w:lineRule="exact"/>
              <w:jc w:val="right"/>
              <w:rPr>
                <w:sz w:val="18"/>
                <w:szCs w:val="18"/>
                <w:lang w:eastAsia="zh-CN"/>
              </w:rPr>
            </w:pPr>
            <w:r w:rsidRPr="00765FAF">
              <w:rPr>
                <w:sz w:val="18"/>
                <w:szCs w:val="18"/>
                <w:lang w:eastAsia="zh-CN"/>
              </w:rPr>
              <w:t>6</w:t>
            </w:r>
          </w:p>
        </w:tc>
        <w:tc>
          <w:tcPr>
            <w:tcW w:w="940" w:type="dxa"/>
            <w:tcBorders>
              <w:top w:val="single" w:sz="4" w:space="0" w:color="000000"/>
              <w:bottom w:val="single" w:sz="4" w:space="0" w:color="000000"/>
            </w:tcBorders>
            <w:shd w:val="clear" w:color="auto" w:fill="auto"/>
            <w:vAlign w:val="bottom"/>
            <w:hideMark/>
          </w:tcPr>
          <w:p w14:paraId="470FB66F" w14:textId="77777777" w:rsidR="00765FAF" w:rsidRPr="00765FAF" w:rsidRDefault="00765FAF" w:rsidP="00D17694">
            <w:pPr>
              <w:suppressAutoHyphens w:val="0"/>
              <w:spacing w:before="40" w:after="40" w:line="220" w:lineRule="exact"/>
              <w:jc w:val="right"/>
              <w:rPr>
                <w:b/>
                <w:bCs/>
                <w:sz w:val="18"/>
                <w:szCs w:val="18"/>
                <w:lang w:eastAsia="zh-CN"/>
              </w:rPr>
            </w:pPr>
            <w:r w:rsidRPr="00765FAF">
              <w:rPr>
                <w:b/>
                <w:bCs/>
                <w:sz w:val="18"/>
                <w:szCs w:val="18"/>
                <w:lang w:eastAsia="zh-CN"/>
              </w:rPr>
              <w:t>43%</w:t>
            </w:r>
          </w:p>
        </w:tc>
      </w:tr>
      <w:tr w:rsidR="00D17694" w:rsidRPr="00D17694" w14:paraId="70B21E24" w14:textId="77777777" w:rsidTr="00B1378B">
        <w:tc>
          <w:tcPr>
            <w:tcW w:w="1701" w:type="dxa"/>
            <w:tcBorders>
              <w:top w:val="single" w:sz="4" w:space="0" w:color="000000"/>
              <w:bottom w:val="single" w:sz="4" w:space="0" w:color="000000"/>
            </w:tcBorders>
            <w:shd w:val="clear" w:color="auto" w:fill="auto"/>
            <w:hideMark/>
          </w:tcPr>
          <w:p w14:paraId="017DEA9C" w14:textId="77777777" w:rsidR="00765FAF" w:rsidRPr="00765FAF" w:rsidRDefault="00765FAF" w:rsidP="00D17694">
            <w:pPr>
              <w:suppressAutoHyphens w:val="0"/>
              <w:spacing w:before="40" w:after="40" w:line="220" w:lineRule="exact"/>
              <w:rPr>
                <w:sz w:val="18"/>
                <w:szCs w:val="18"/>
                <w:lang w:eastAsia="zh-CN"/>
              </w:rPr>
            </w:pPr>
            <w:r w:rsidRPr="00765FAF">
              <w:rPr>
                <w:sz w:val="18"/>
                <w:szCs w:val="18"/>
                <w:lang w:eastAsia="zh-CN"/>
              </w:rPr>
              <w:t>f. Working Party on Transport Statistics</w:t>
            </w:r>
          </w:p>
        </w:tc>
        <w:tc>
          <w:tcPr>
            <w:tcW w:w="517" w:type="dxa"/>
            <w:tcBorders>
              <w:top w:val="single" w:sz="4" w:space="0" w:color="000000"/>
              <w:bottom w:val="single" w:sz="4" w:space="0" w:color="000000"/>
            </w:tcBorders>
            <w:shd w:val="clear" w:color="auto" w:fill="auto"/>
            <w:vAlign w:val="bottom"/>
            <w:hideMark/>
          </w:tcPr>
          <w:p w14:paraId="569E153F" w14:textId="77777777" w:rsidR="00765FAF" w:rsidRPr="00765FAF" w:rsidRDefault="00765FAF" w:rsidP="00D17694">
            <w:pPr>
              <w:suppressAutoHyphens w:val="0"/>
              <w:spacing w:before="40" w:after="40" w:line="220" w:lineRule="exact"/>
              <w:jc w:val="right"/>
              <w:rPr>
                <w:sz w:val="18"/>
                <w:szCs w:val="18"/>
                <w:lang w:eastAsia="zh-CN"/>
              </w:rPr>
            </w:pPr>
            <w:r w:rsidRPr="00765FAF">
              <w:rPr>
                <w:sz w:val="18"/>
                <w:szCs w:val="18"/>
                <w:lang w:eastAsia="zh-CN"/>
              </w:rPr>
              <w:t>6</w:t>
            </w:r>
          </w:p>
        </w:tc>
        <w:tc>
          <w:tcPr>
            <w:tcW w:w="641" w:type="dxa"/>
            <w:tcBorders>
              <w:top w:val="single" w:sz="4" w:space="0" w:color="000000"/>
              <w:bottom w:val="single" w:sz="4" w:space="0" w:color="000000"/>
            </w:tcBorders>
            <w:shd w:val="clear" w:color="auto" w:fill="auto"/>
            <w:vAlign w:val="bottom"/>
            <w:hideMark/>
          </w:tcPr>
          <w:p w14:paraId="09A20309" w14:textId="77777777" w:rsidR="00765FAF" w:rsidRPr="00765FAF" w:rsidRDefault="00765FAF" w:rsidP="00D17694">
            <w:pPr>
              <w:suppressAutoHyphens w:val="0"/>
              <w:spacing w:before="40" w:after="40" w:line="220" w:lineRule="exact"/>
              <w:jc w:val="right"/>
              <w:rPr>
                <w:sz w:val="18"/>
                <w:szCs w:val="18"/>
                <w:lang w:eastAsia="zh-CN"/>
              </w:rPr>
            </w:pPr>
            <w:r w:rsidRPr="00765FAF">
              <w:rPr>
                <w:sz w:val="18"/>
                <w:szCs w:val="18"/>
                <w:lang w:eastAsia="zh-CN"/>
              </w:rPr>
              <w:t>6</w:t>
            </w:r>
          </w:p>
        </w:tc>
        <w:tc>
          <w:tcPr>
            <w:tcW w:w="1122" w:type="dxa"/>
            <w:tcBorders>
              <w:top w:val="single" w:sz="4" w:space="0" w:color="000000"/>
              <w:bottom w:val="single" w:sz="4" w:space="0" w:color="000000"/>
            </w:tcBorders>
            <w:shd w:val="clear" w:color="auto" w:fill="auto"/>
            <w:vAlign w:val="bottom"/>
            <w:hideMark/>
          </w:tcPr>
          <w:p w14:paraId="275B137D" w14:textId="77777777" w:rsidR="00765FAF" w:rsidRPr="00765FAF" w:rsidRDefault="00765FAF" w:rsidP="00D17694">
            <w:pPr>
              <w:suppressAutoHyphens w:val="0"/>
              <w:spacing w:before="40" w:after="40" w:line="220" w:lineRule="exact"/>
              <w:jc w:val="right"/>
              <w:rPr>
                <w:sz w:val="18"/>
                <w:szCs w:val="18"/>
                <w:lang w:eastAsia="zh-CN"/>
              </w:rPr>
            </w:pPr>
            <w:r w:rsidRPr="00765FAF">
              <w:rPr>
                <w:sz w:val="18"/>
                <w:szCs w:val="18"/>
                <w:lang w:eastAsia="zh-CN"/>
              </w:rPr>
              <w:t>2</w:t>
            </w:r>
          </w:p>
        </w:tc>
        <w:tc>
          <w:tcPr>
            <w:tcW w:w="1122" w:type="dxa"/>
            <w:tcBorders>
              <w:top w:val="single" w:sz="4" w:space="0" w:color="000000"/>
              <w:bottom w:val="single" w:sz="4" w:space="0" w:color="000000"/>
            </w:tcBorders>
            <w:shd w:val="clear" w:color="auto" w:fill="auto"/>
            <w:vAlign w:val="bottom"/>
            <w:hideMark/>
          </w:tcPr>
          <w:p w14:paraId="6C07641F" w14:textId="77777777" w:rsidR="00765FAF" w:rsidRPr="00765FAF" w:rsidRDefault="00765FAF" w:rsidP="00D17694">
            <w:pPr>
              <w:suppressAutoHyphens w:val="0"/>
              <w:spacing w:before="40" w:after="40" w:line="220" w:lineRule="exact"/>
              <w:jc w:val="right"/>
              <w:rPr>
                <w:sz w:val="18"/>
                <w:szCs w:val="18"/>
                <w:lang w:eastAsia="zh-CN"/>
              </w:rPr>
            </w:pPr>
            <w:r w:rsidRPr="00765FAF">
              <w:rPr>
                <w:sz w:val="18"/>
                <w:szCs w:val="18"/>
                <w:lang w:eastAsia="zh-CN"/>
              </w:rPr>
              <w:t>3</w:t>
            </w:r>
          </w:p>
        </w:tc>
        <w:tc>
          <w:tcPr>
            <w:tcW w:w="1236" w:type="dxa"/>
            <w:tcBorders>
              <w:top w:val="single" w:sz="4" w:space="0" w:color="000000"/>
              <w:bottom w:val="single" w:sz="4" w:space="0" w:color="000000"/>
            </w:tcBorders>
            <w:shd w:val="clear" w:color="auto" w:fill="auto"/>
            <w:vAlign w:val="bottom"/>
            <w:hideMark/>
          </w:tcPr>
          <w:p w14:paraId="7298DE90" w14:textId="77777777" w:rsidR="00765FAF" w:rsidRPr="00765FAF" w:rsidRDefault="00765FAF" w:rsidP="00D17694">
            <w:pPr>
              <w:suppressAutoHyphens w:val="0"/>
              <w:spacing w:before="40" w:after="40" w:line="220" w:lineRule="exact"/>
              <w:jc w:val="right"/>
              <w:rPr>
                <w:b/>
                <w:bCs/>
                <w:sz w:val="18"/>
                <w:szCs w:val="18"/>
                <w:lang w:eastAsia="zh-CN"/>
              </w:rPr>
            </w:pPr>
            <w:r w:rsidRPr="00765FAF">
              <w:rPr>
                <w:b/>
                <w:bCs/>
                <w:sz w:val="18"/>
                <w:szCs w:val="18"/>
                <w:lang w:eastAsia="zh-CN"/>
              </w:rPr>
              <w:t>100%</w:t>
            </w:r>
          </w:p>
        </w:tc>
        <w:tc>
          <w:tcPr>
            <w:tcW w:w="1236" w:type="dxa"/>
            <w:tcBorders>
              <w:top w:val="single" w:sz="4" w:space="0" w:color="000000"/>
              <w:bottom w:val="single" w:sz="4" w:space="0" w:color="000000"/>
            </w:tcBorders>
            <w:shd w:val="clear" w:color="auto" w:fill="auto"/>
            <w:vAlign w:val="bottom"/>
            <w:hideMark/>
          </w:tcPr>
          <w:p w14:paraId="6D9F2A54" w14:textId="77777777" w:rsidR="00765FAF" w:rsidRPr="00765FAF" w:rsidRDefault="00765FAF" w:rsidP="00D17694">
            <w:pPr>
              <w:suppressAutoHyphens w:val="0"/>
              <w:spacing w:before="40" w:after="40" w:line="220" w:lineRule="exact"/>
              <w:jc w:val="right"/>
              <w:rPr>
                <w:b/>
                <w:bCs/>
                <w:sz w:val="18"/>
                <w:szCs w:val="18"/>
                <w:lang w:eastAsia="zh-CN"/>
              </w:rPr>
            </w:pPr>
            <w:r w:rsidRPr="00765FAF">
              <w:rPr>
                <w:b/>
                <w:bCs/>
                <w:sz w:val="18"/>
                <w:szCs w:val="18"/>
                <w:lang w:eastAsia="zh-CN"/>
              </w:rPr>
              <w:t>33%</w:t>
            </w:r>
          </w:p>
        </w:tc>
        <w:tc>
          <w:tcPr>
            <w:tcW w:w="1122" w:type="dxa"/>
            <w:tcBorders>
              <w:top w:val="single" w:sz="4" w:space="0" w:color="000000"/>
              <w:bottom w:val="single" w:sz="4" w:space="0" w:color="000000"/>
            </w:tcBorders>
            <w:shd w:val="clear" w:color="auto" w:fill="auto"/>
            <w:vAlign w:val="bottom"/>
            <w:hideMark/>
          </w:tcPr>
          <w:p w14:paraId="0E27C7A3" w14:textId="77777777" w:rsidR="00765FAF" w:rsidRPr="00765FAF" w:rsidRDefault="00765FAF" w:rsidP="00D17694">
            <w:pPr>
              <w:suppressAutoHyphens w:val="0"/>
              <w:spacing w:before="40" w:after="40" w:line="220" w:lineRule="exact"/>
              <w:jc w:val="right"/>
              <w:rPr>
                <w:b/>
                <w:bCs/>
                <w:sz w:val="18"/>
                <w:szCs w:val="18"/>
                <w:lang w:eastAsia="zh-CN"/>
              </w:rPr>
            </w:pPr>
          </w:p>
        </w:tc>
        <w:tc>
          <w:tcPr>
            <w:tcW w:w="940" w:type="dxa"/>
            <w:tcBorders>
              <w:top w:val="single" w:sz="4" w:space="0" w:color="000000"/>
              <w:bottom w:val="single" w:sz="4" w:space="0" w:color="000000"/>
            </w:tcBorders>
            <w:shd w:val="clear" w:color="auto" w:fill="auto"/>
            <w:vAlign w:val="bottom"/>
            <w:hideMark/>
          </w:tcPr>
          <w:p w14:paraId="27227A14" w14:textId="77777777" w:rsidR="00765FAF" w:rsidRPr="00765FAF" w:rsidRDefault="00765FAF" w:rsidP="00D17694">
            <w:pPr>
              <w:suppressAutoHyphens w:val="0"/>
              <w:spacing w:before="40" w:after="40" w:line="220" w:lineRule="exact"/>
              <w:jc w:val="right"/>
              <w:rPr>
                <w:b/>
                <w:bCs/>
                <w:sz w:val="18"/>
                <w:szCs w:val="18"/>
                <w:lang w:eastAsia="zh-CN"/>
              </w:rPr>
            </w:pPr>
            <w:r w:rsidRPr="00765FAF">
              <w:rPr>
                <w:b/>
                <w:bCs/>
                <w:sz w:val="18"/>
                <w:szCs w:val="18"/>
                <w:lang w:eastAsia="zh-CN"/>
              </w:rPr>
              <w:t>0%</w:t>
            </w:r>
          </w:p>
        </w:tc>
      </w:tr>
      <w:tr w:rsidR="00B1378B" w:rsidRPr="00D17694" w14:paraId="7F630691" w14:textId="77777777" w:rsidTr="00B1378B">
        <w:tc>
          <w:tcPr>
            <w:tcW w:w="1701" w:type="dxa"/>
            <w:tcBorders>
              <w:top w:val="single" w:sz="4" w:space="0" w:color="000000"/>
              <w:bottom w:val="single" w:sz="4" w:space="0" w:color="000000"/>
            </w:tcBorders>
            <w:shd w:val="clear" w:color="auto" w:fill="auto"/>
            <w:hideMark/>
          </w:tcPr>
          <w:p w14:paraId="7C3B32DA" w14:textId="77777777" w:rsidR="00765FAF" w:rsidRPr="00765FAF" w:rsidRDefault="00765FAF" w:rsidP="00D17694">
            <w:pPr>
              <w:suppressAutoHyphens w:val="0"/>
              <w:spacing w:before="40" w:after="40" w:line="220" w:lineRule="exact"/>
              <w:rPr>
                <w:sz w:val="18"/>
                <w:szCs w:val="18"/>
                <w:lang w:eastAsia="zh-CN"/>
              </w:rPr>
            </w:pPr>
            <w:r w:rsidRPr="00765FAF">
              <w:rPr>
                <w:sz w:val="18"/>
                <w:szCs w:val="18"/>
                <w:lang w:eastAsia="zh-CN"/>
              </w:rPr>
              <w:t>g. Working Party on Road Transport and subsidiary groups of experts</w:t>
            </w:r>
          </w:p>
        </w:tc>
        <w:tc>
          <w:tcPr>
            <w:tcW w:w="517" w:type="dxa"/>
            <w:tcBorders>
              <w:top w:val="single" w:sz="4" w:space="0" w:color="000000"/>
              <w:bottom w:val="single" w:sz="4" w:space="0" w:color="000000"/>
            </w:tcBorders>
            <w:shd w:val="clear" w:color="auto" w:fill="auto"/>
            <w:vAlign w:val="bottom"/>
            <w:hideMark/>
          </w:tcPr>
          <w:p w14:paraId="061AC511" w14:textId="77777777" w:rsidR="00765FAF" w:rsidRPr="00765FAF" w:rsidRDefault="00765FAF" w:rsidP="00D17694">
            <w:pPr>
              <w:suppressAutoHyphens w:val="0"/>
              <w:spacing w:before="40" w:after="40" w:line="220" w:lineRule="exact"/>
              <w:jc w:val="right"/>
              <w:rPr>
                <w:sz w:val="18"/>
                <w:szCs w:val="18"/>
                <w:lang w:eastAsia="zh-CN"/>
              </w:rPr>
            </w:pPr>
            <w:r w:rsidRPr="00765FAF">
              <w:rPr>
                <w:sz w:val="18"/>
                <w:szCs w:val="18"/>
                <w:lang w:eastAsia="zh-CN"/>
              </w:rPr>
              <w:t>6</w:t>
            </w:r>
          </w:p>
        </w:tc>
        <w:tc>
          <w:tcPr>
            <w:tcW w:w="641" w:type="dxa"/>
            <w:tcBorders>
              <w:top w:val="single" w:sz="4" w:space="0" w:color="000000"/>
              <w:bottom w:val="single" w:sz="4" w:space="0" w:color="000000"/>
            </w:tcBorders>
            <w:shd w:val="clear" w:color="auto" w:fill="auto"/>
            <w:vAlign w:val="bottom"/>
            <w:hideMark/>
          </w:tcPr>
          <w:p w14:paraId="4C06D7FE" w14:textId="77777777" w:rsidR="00765FAF" w:rsidRPr="00765FAF" w:rsidRDefault="00765FAF" w:rsidP="00D17694">
            <w:pPr>
              <w:suppressAutoHyphens w:val="0"/>
              <w:spacing w:before="40" w:after="40" w:line="220" w:lineRule="exact"/>
              <w:jc w:val="right"/>
              <w:rPr>
                <w:sz w:val="18"/>
                <w:szCs w:val="18"/>
                <w:lang w:eastAsia="zh-CN"/>
              </w:rPr>
            </w:pPr>
            <w:r w:rsidRPr="00765FAF">
              <w:rPr>
                <w:sz w:val="18"/>
                <w:szCs w:val="18"/>
                <w:lang w:eastAsia="zh-CN"/>
              </w:rPr>
              <w:t>12</w:t>
            </w:r>
          </w:p>
        </w:tc>
        <w:tc>
          <w:tcPr>
            <w:tcW w:w="1122" w:type="dxa"/>
            <w:tcBorders>
              <w:top w:val="single" w:sz="4" w:space="0" w:color="000000"/>
              <w:bottom w:val="single" w:sz="4" w:space="0" w:color="000000"/>
            </w:tcBorders>
            <w:shd w:val="clear" w:color="auto" w:fill="auto"/>
            <w:vAlign w:val="bottom"/>
            <w:hideMark/>
          </w:tcPr>
          <w:p w14:paraId="3D991BAB" w14:textId="77777777" w:rsidR="00765FAF" w:rsidRPr="00765FAF" w:rsidRDefault="00765FAF" w:rsidP="00D17694">
            <w:pPr>
              <w:suppressAutoHyphens w:val="0"/>
              <w:spacing w:before="40" w:after="40" w:line="220" w:lineRule="exact"/>
              <w:jc w:val="right"/>
              <w:rPr>
                <w:sz w:val="18"/>
                <w:szCs w:val="18"/>
                <w:lang w:eastAsia="zh-CN"/>
              </w:rPr>
            </w:pPr>
            <w:r w:rsidRPr="00765FAF">
              <w:rPr>
                <w:sz w:val="18"/>
                <w:szCs w:val="18"/>
                <w:lang w:eastAsia="zh-CN"/>
              </w:rPr>
              <w:t>11</w:t>
            </w:r>
          </w:p>
        </w:tc>
        <w:tc>
          <w:tcPr>
            <w:tcW w:w="1122" w:type="dxa"/>
            <w:tcBorders>
              <w:top w:val="single" w:sz="4" w:space="0" w:color="000000"/>
              <w:bottom w:val="single" w:sz="4" w:space="0" w:color="000000"/>
            </w:tcBorders>
            <w:shd w:val="clear" w:color="auto" w:fill="auto"/>
            <w:vAlign w:val="bottom"/>
            <w:hideMark/>
          </w:tcPr>
          <w:p w14:paraId="35C73448" w14:textId="77777777" w:rsidR="00765FAF" w:rsidRPr="00765FAF" w:rsidRDefault="00765FAF" w:rsidP="00D17694">
            <w:pPr>
              <w:suppressAutoHyphens w:val="0"/>
              <w:spacing w:before="40" w:after="40" w:line="220" w:lineRule="exact"/>
              <w:jc w:val="right"/>
              <w:rPr>
                <w:sz w:val="18"/>
                <w:szCs w:val="18"/>
                <w:lang w:eastAsia="zh-CN"/>
              </w:rPr>
            </w:pPr>
            <w:r w:rsidRPr="00765FAF">
              <w:rPr>
                <w:sz w:val="18"/>
                <w:szCs w:val="18"/>
                <w:lang w:eastAsia="zh-CN"/>
              </w:rPr>
              <w:t>1</w:t>
            </w:r>
          </w:p>
        </w:tc>
        <w:tc>
          <w:tcPr>
            <w:tcW w:w="1236" w:type="dxa"/>
            <w:tcBorders>
              <w:top w:val="single" w:sz="4" w:space="0" w:color="000000"/>
              <w:bottom w:val="single" w:sz="4" w:space="0" w:color="000000"/>
            </w:tcBorders>
            <w:shd w:val="clear" w:color="auto" w:fill="auto"/>
            <w:vAlign w:val="bottom"/>
            <w:hideMark/>
          </w:tcPr>
          <w:p w14:paraId="362D7ABC" w14:textId="77777777" w:rsidR="00765FAF" w:rsidRPr="00765FAF" w:rsidRDefault="00765FAF" w:rsidP="00D17694">
            <w:pPr>
              <w:suppressAutoHyphens w:val="0"/>
              <w:spacing w:before="40" w:after="40" w:line="220" w:lineRule="exact"/>
              <w:jc w:val="right"/>
              <w:rPr>
                <w:b/>
                <w:bCs/>
                <w:sz w:val="18"/>
                <w:szCs w:val="18"/>
                <w:lang w:eastAsia="zh-CN"/>
              </w:rPr>
            </w:pPr>
            <w:r w:rsidRPr="00765FAF">
              <w:rPr>
                <w:b/>
                <w:bCs/>
                <w:sz w:val="18"/>
                <w:szCs w:val="18"/>
                <w:lang w:eastAsia="zh-CN"/>
              </w:rPr>
              <w:t>200%</w:t>
            </w:r>
          </w:p>
        </w:tc>
        <w:tc>
          <w:tcPr>
            <w:tcW w:w="1236" w:type="dxa"/>
            <w:tcBorders>
              <w:top w:val="single" w:sz="4" w:space="0" w:color="000000"/>
              <w:bottom w:val="single" w:sz="4" w:space="0" w:color="000000"/>
            </w:tcBorders>
            <w:shd w:val="clear" w:color="auto" w:fill="auto"/>
            <w:vAlign w:val="bottom"/>
            <w:hideMark/>
          </w:tcPr>
          <w:p w14:paraId="09CA4A34" w14:textId="77777777" w:rsidR="00765FAF" w:rsidRPr="00765FAF" w:rsidRDefault="00765FAF" w:rsidP="00D17694">
            <w:pPr>
              <w:suppressAutoHyphens w:val="0"/>
              <w:spacing w:before="40" w:after="40" w:line="220" w:lineRule="exact"/>
              <w:jc w:val="right"/>
              <w:rPr>
                <w:b/>
                <w:bCs/>
                <w:sz w:val="18"/>
                <w:szCs w:val="18"/>
                <w:lang w:eastAsia="zh-CN"/>
              </w:rPr>
            </w:pPr>
            <w:r w:rsidRPr="00765FAF">
              <w:rPr>
                <w:b/>
                <w:bCs/>
                <w:sz w:val="18"/>
                <w:szCs w:val="18"/>
                <w:lang w:eastAsia="zh-CN"/>
              </w:rPr>
              <w:t>183%</w:t>
            </w:r>
          </w:p>
        </w:tc>
        <w:tc>
          <w:tcPr>
            <w:tcW w:w="1122" w:type="dxa"/>
            <w:tcBorders>
              <w:top w:val="single" w:sz="4" w:space="0" w:color="000000"/>
              <w:bottom w:val="single" w:sz="4" w:space="0" w:color="000000"/>
            </w:tcBorders>
            <w:shd w:val="clear" w:color="auto" w:fill="auto"/>
            <w:vAlign w:val="bottom"/>
            <w:hideMark/>
          </w:tcPr>
          <w:p w14:paraId="308D6071" w14:textId="77777777" w:rsidR="00765FAF" w:rsidRPr="00765FAF" w:rsidRDefault="00765FAF" w:rsidP="00D17694">
            <w:pPr>
              <w:suppressAutoHyphens w:val="0"/>
              <w:spacing w:before="40" w:after="40" w:line="220" w:lineRule="exact"/>
              <w:jc w:val="right"/>
              <w:rPr>
                <w:sz w:val="18"/>
                <w:szCs w:val="18"/>
                <w:lang w:eastAsia="zh-CN"/>
              </w:rPr>
            </w:pPr>
            <w:r w:rsidRPr="00765FAF">
              <w:rPr>
                <w:sz w:val="18"/>
                <w:szCs w:val="18"/>
                <w:lang w:eastAsia="zh-CN"/>
              </w:rPr>
              <w:t>4</w:t>
            </w:r>
          </w:p>
        </w:tc>
        <w:tc>
          <w:tcPr>
            <w:tcW w:w="940" w:type="dxa"/>
            <w:tcBorders>
              <w:top w:val="single" w:sz="4" w:space="0" w:color="000000"/>
              <w:bottom w:val="single" w:sz="4" w:space="0" w:color="000000"/>
            </w:tcBorders>
            <w:shd w:val="clear" w:color="auto" w:fill="auto"/>
            <w:vAlign w:val="bottom"/>
            <w:hideMark/>
          </w:tcPr>
          <w:p w14:paraId="3AB9A7B1" w14:textId="77777777" w:rsidR="00765FAF" w:rsidRPr="00765FAF" w:rsidRDefault="00765FAF" w:rsidP="00D17694">
            <w:pPr>
              <w:suppressAutoHyphens w:val="0"/>
              <w:spacing w:before="40" w:after="40" w:line="220" w:lineRule="exact"/>
              <w:jc w:val="right"/>
              <w:rPr>
                <w:b/>
                <w:bCs/>
                <w:sz w:val="18"/>
                <w:szCs w:val="18"/>
                <w:lang w:eastAsia="zh-CN"/>
              </w:rPr>
            </w:pPr>
            <w:r w:rsidRPr="00765FAF">
              <w:rPr>
                <w:b/>
                <w:bCs/>
                <w:sz w:val="18"/>
                <w:szCs w:val="18"/>
                <w:lang w:eastAsia="zh-CN"/>
              </w:rPr>
              <w:t>36%</w:t>
            </w:r>
          </w:p>
        </w:tc>
      </w:tr>
      <w:tr w:rsidR="00D17694" w:rsidRPr="00D17694" w14:paraId="226C024D" w14:textId="77777777" w:rsidTr="00B1378B">
        <w:tc>
          <w:tcPr>
            <w:tcW w:w="1701" w:type="dxa"/>
            <w:tcBorders>
              <w:top w:val="single" w:sz="4" w:space="0" w:color="000000"/>
              <w:bottom w:val="single" w:sz="4" w:space="0" w:color="000000"/>
            </w:tcBorders>
            <w:shd w:val="clear" w:color="auto" w:fill="auto"/>
            <w:hideMark/>
          </w:tcPr>
          <w:p w14:paraId="14FFDDA4" w14:textId="77777777" w:rsidR="00765FAF" w:rsidRPr="00765FAF" w:rsidRDefault="00765FAF" w:rsidP="00D17694">
            <w:pPr>
              <w:suppressAutoHyphens w:val="0"/>
              <w:spacing w:before="40" w:after="40" w:line="220" w:lineRule="exact"/>
              <w:rPr>
                <w:sz w:val="18"/>
                <w:szCs w:val="18"/>
                <w:lang w:eastAsia="zh-CN"/>
              </w:rPr>
            </w:pPr>
            <w:r w:rsidRPr="00765FAF">
              <w:rPr>
                <w:sz w:val="18"/>
                <w:szCs w:val="18"/>
                <w:lang w:eastAsia="zh-CN"/>
              </w:rPr>
              <w:t>h. Global Forum for Road Traffic Safety and subsidiary groups of experts</w:t>
            </w:r>
          </w:p>
        </w:tc>
        <w:tc>
          <w:tcPr>
            <w:tcW w:w="517" w:type="dxa"/>
            <w:tcBorders>
              <w:top w:val="single" w:sz="4" w:space="0" w:color="000000"/>
              <w:bottom w:val="single" w:sz="4" w:space="0" w:color="000000"/>
            </w:tcBorders>
            <w:shd w:val="clear" w:color="auto" w:fill="auto"/>
            <w:vAlign w:val="bottom"/>
            <w:hideMark/>
          </w:tcPr>
          <w:p w14:paraId="36E6A4E3" w14:textId="77777777" w:rsidR="00765FAF" w:rsidRPr="00765FAF" w:rsidRDefault="00765FAF" w:rsidP="00D17694">
            <w:pPr>
              <w:suppressAutoHyphens w:val="0"/>
              <w:spacing w:before="40" w:after="40" w:line="220" w:lineRule="exact"/>
              <w:jc w:val="right"/>
              <w:rPr>
                <w:sz w:val="18"/>
                <w:szCs w:val="18"/>
                <w:lang w:eastAsia="zh-CN"/>
              </w:rPr>
            </w:pPr>
            <w:r w:rsidRPr="00765FAF">
              <w:rPr>
                <w:sz w:val="18"/>
                <w:szCs w:val="18"/>
                <w:lang w:eastAsia="zh-CN"/>
              </w:rPr>
              <w:t>14</w:t>
            </w:r>
          </w:p>
        </w:tc>
        <w:tc>
          <w:tcPr>
            <w:tcW w:w="641" w:type="dxa"/>
            <w:tcBorders>
              <w:top w:val="single" w:sz="4" w:space="0" w:color="000000"/>
              <w:bottom w:val="single" w:sz="4" w:space="0" w:color="000000"/>
            </w:tcBorders>
            <w:shd w:val="clear" w:color="auto" w:fill="auto"/>
            <w:vAlign w:val="bottom"/>
            <w:hideMark/>
          </w:tcPr>
          <w:p w14:paraId="495056CE" w14:textId="77777777" w:rsidR="00765FAF" w:rsidRPr="00765FAF" w:rsidRDefault="00765FAF" w:rsidP="00D17694">
            <w:pPr>
              <w:suppressAutoHyphens w:val="0"/>
              <w:spacing w:before="40" w:after="40" w:line="220" w:lineRule="exact"/>
              <w:jc w:val="right"/>
              <w:rPr>
                <w:sz w:val="18"/>
                <w:szCs w:val="18"/>
                <w:lang w:eastAsia="zh-CN"/>
              </w:rPr>
            </w:pPr>
            <w:r w:rsidRPr="00765FAF">
              <w:rPr>
                <w:sz w:val="18"/>
                <w:szCs w:val="18"/>
                <w:lang w:eastAsia="zh-CN"/>
              </w:rPr>
              <w:t>24</w:t>
            </w:r>
          </w:p>
        </w:tc>
        <w:tc>
          <w:tcPr>
            <w:tcW w:w="1122" w:type="dxa"/>
            <w:tcBorders>
              <w:top w:val="single" w:sz="4" w:space="0" w:color="000000"/>
              <w:bottom w:val="single" w:sz="4" w:space="0" w:color="000000"/>
            </w:tcBorders>
            <w:shd w:val="clear" w:color="auto" w:fill="auto"/>
            <w:vAlign w:val="bottom"/>
            <w:hideMark/>
          </w:tcPr>
          <w:p w14:paraId="2A1EFB79" w14:textId="77777777" w:rsidR="00765FAF" w:rsidRPr="00765FAF" w:rsidRDefault="00765FAF" w:rsidP="00D17694">
            <w:pPr>
              <w:suppressAutoHyphens w:val="0"/>
              <w:spacing w:before="40" w:after="40" w:line="220" w:lineRule="exact"/>
              <w:jc w:val="right"/>
              <w:rPr>
                <w:sz w:val="18"/>
                <w:szCs w:val="18"/>
                <w:lang w:eastAsia="zh-CN"/>
              </w:rPr>
            </w:pPr>
            <w:r w:rsidRPr="00765FAF">
              <w:rPr>
                <w:sz w:val="18"/>
                <w:szCs w:val="18"/>
                <w:lang w:eastAsia="zh-CN"/>
              </w:rPr>
              <w:t>17</w:t>
            </w:r>
          </w:p>
        </w:tc>
        <w:tc>
          <w:tcPr>
            <w:tcW w:w="1122" w:type="dxa"/>
            <w:tcBorders>
              <w:top w:val="single" w:sz="4" w:space="0" w:color="000000"/>
              <w:bottom w:val="single" w:sz="4" w:space="0" w:color="000000"/>
            </w:tcBorders>
            <w:shd w:val="clear" w:color="auto" w:fill="auto"/>
            <w:vAlign w:val="bottom"/>
            <w:hideMark/>
          </w:tcPr>
          <w:p w14:paraId="01A2143F" w14:textId="77777777" w:rsidR="00765FAF" w:rsidRPr="00765FAF" w:rsidRDefault="00765FAF" w:rsidP="00D17694">
            <w:pPr>
              <w:suppressAutoHyphens w:val="0"/>
              <w:spacing w:before="40" w:after="40" w:line="220" w:lineRule="exact"/>
              <w:jc w:val="right"/>
              <w:rPr>
                <w:sz w:val="18"/>
                <w:szCs w:val="18"/>
                <w:lang w:eastAsia="zh-CN"/>
              </w:rPr>
            </w:pPr>
            <w:r w:rsidRPr="00765FAF">
              <w:rPr>
                <w:sz w:val="18"/>
                <w:szCs w:val="18"/>
                <w:lang w:eastAsia="zh-CN"/>
              </w:rPr>
              <w:t>7</w:t>
            </w:r>
          </w:p>
        </w:tc>
        <w:tc>
          <w:tcPr>
            <w:tcW w:w="1236" w:type="dxa"/>
            <w:tcBorders>
              <w:top w:val="single" w:sz="4" w:space="0" w:color="000000"/>
              <w:bottom w:val="single" w:sz="4" w:space="0" w:color="000000"/>
            </w:tcBorders>
            <w:shd w:val="clear" w:color="auto" w:fill="auto"/>
            <w:vAlign w:val="bottom"/>
            <w:hideMark/>
          </w:tcPr>
          <w:p w14:paraId="41EF6CB5" w14:textId="77777777" w:rsidR="00765FAF" w:rsidRPr="00765FAF" w:rsidRDefault="00765FAF" w:rsidP="00D17694">
            <w:pPr>
              <w:suppressAutoHyphens w:val="0"/>
              <w:spacing w:before="40" w:after="40" w:line="220" w:lineRule="exact"/>
              <w:jc w:val="right"/>
              <w:rPr>
                <w:b/>
                <w:bCs/>
                <w:sz w:val="18"/>
                <w:szCs w:val="18"/>
                <w:lang w:eastAsia="zh-CN"/>
              </w:rPr>
            </w:pPr>
            <w:r w:rsidRPr="00765FAF">
              <w:rPr>
                <w:b/>
                <w:bCs/>
                <w:sz w:val="18"/>
                <w:szCs w:val="18"/>
                <w:lang w:eastAsia="zh-CN"/>
              </w:rPr>
              <w:t>171%</w:t>
            </w:r>
          </w:p>
        </w:tc>
        <w:tc>
          <w:tcPr>
            <w:tcW w:w="1236" w:type="dxa"/>
            <w:tcBorders>
              <w:top w:val="single" w:sz="4" w:space="0" w:color="000000"/>
              <w:bottom w:val="single" w:sz="4" w:space="0" w:color="000000"/>
            </w:tcBorders>
            <w:shd w:val="clear" w:color="auto" w:fill="auto"/>
            <w:vAlign w:val="bottom"/>
            <w:hideMark/>
          </w:tcPr>
          <w:p w14:paraId="192A41F6" w14:textId="77777777" w:rsidR="00765FAF" w:rsidRPr="00765FAF" w:rsidRDefault="00765FAF" w:rsidP="00D17694">
            <w:pPr>
              <w:suppressAutoHyphens w:val="0"/>
              <w:spacing w:before="40" w:after="40" w:line="220" w:lineRule="exact"/>
              <w:jc w:val="right"/>
              <w:rPr>
                <w:b/>
                <w:bCs/>
                <w:sz w:val="18"/>
                <w:szCs w:val="18"/>
                <w:lang w:eastAsia="zh-CN"/>
              </w:rPr>
            </w:pPr>
            <w:r w:rsidRPr="00765FAF">
              <w:rPr>
                <w:b/>
                <w:bCs/>
                <w:sz w:val="18"/>
                <w:szCs w:val="18"/>
                <w:lang w:eastAsia="zh-CN"/>
              </w:rPr>
              <w:t>121%</w:t>
            </w:r>
          </w:p>
        </w:tc>
        <w:tc>
          <w:tcPr>
            <w:tcW w:w="1122" w:type="dxa"/>
            <w:tcBorders>
              <w:top w:val="single" w:sz="4" w:space="0" w:color="000000"/>
              <w:bottom w:val="single" w:sz="4" w:space="0" w:color="000000"/>
            </w:tcBorders>
            <w:shd w:val="clear" w:color="auto" w:fill="auto"/>
            <w:vAlign w:val="bottom"/>
            <w:hideMark/>
          </w:tcPr>
          <w:p w14:paraId="05313005" w14:textId="77777777" w:rsidR="00765FAF" w:rsidRPr="00765FAF" w:rsidRDefault="00765FAF" w:rsidP="00D17694">
            <w:pPr>
              <w:suppressAutoHyphens w:val="0"/>
              <w:spacing w:before="40" w:after="40" w:line="220" w:lineRule="exact"/>
              <w:jc w:val="right"/>
              <w:rPr>
                <w:sz w:val="18"/>
                <w:szCs w:val="18"/>
                <w:lang w:eastAsia="zh-CN"/>
              </w:rPr>
            </w:pPr>
            <w:r w:rsidRPr="00765FAF">
              <w:rPr>
                <w:sz w:val="18"/>
                <w:szCs w:val="18"/>
                <w:lang w:eastAsia="zh-CN"/>
              </w:rPr>
              <w:t>2</w:t>
            </w:r>
          </w:p>
        </w:tc>
        <w:tc>
          <w:tcPr>
            <w:tcW w:w="940" w:type="dxa"/>
            <w:tcBorders>
              <w:top w:val="single" w:sz="4" w:space="0" w:color="000000"/>
              <w:bottom w:val="single" w:sz="4" w:space="0" w:color="000000"/>
            </w:tcBorders>
            <w:shd w:val="clear" w:color="auto" w:fill="auto"/>
            <w:vAlign w:val="bottom"/>
            <w:hideMark/>
          </w:tcPr>
          <w:p w14:paraId="4B0BE564" w14:textId="77777777" w:rsidR="00765FAF" w:rsidRPr="00765FAF" w:rsidRDefault="00765FAF" w:rsidP="00D17694">
            <w:pPr>
              <w:suppressAutoHyphens w:val="0"/>
              <w:spacing w:before="40" w:after="40" w:line="220" w:lineRule="exact"/>
              <w:jc w:val="right"/>
              <w:rPr>
                <w:b/>
                <w:bCs/>
                <w:sz w:val="18"/>
                <w:szCs w:val="18"/>
                <w:lang w:eastAsia="zh-CN"/>
              </w:rPr>
            </w:pPr>
            <w:r w:rsidRPr="00765FAF">
              <w:rPr>
                <w:b/>
                <w:bCs/>
                <w:sz w:val="18"/>
                <w:szCs w:val="18"/>
                <w:lang w:eastAsia="zh-CN"/>
              </w:rPr>
              <w:t>12%</w:t>
            </w:r>
          </w:p>
        </w:tc>
      </w:tr>
      <w:tr w:rsidR="00B1378B" w:rsidRPr="00D17694" w14:paraId="27A3994B" w14:textId="77777777" w:rsidTr="00B1378B">
        <w:tc>
          <w:tcPr>
            <w:tcW w:w="1701" w:type="dxa"/>
            <w:tcBorders>
              <w:top w:val="single" w:sz="4" w:space="0" w:color="000000"/>
              <w:bottom w:val="single" w:sz="4" w:space="0" w:color="000000"/>
            </w:tcBorders>
            <w:shd w:val="clear" w:color="auto" w:fill="auto"/>
            <w:hideMark/>
          </w:tcPr>
          <w:p w14:paraId="24A0F6B3" w14:textId="77777777" w:rsidR="00765FAF" w:rsidRPr="00765FAF" w:rsidRDefault="00765FAF" w:rsidP="00D17694">
            <w:pPr>
              <w:suppressAutoHyphens w:val="0"/>
              <w:spacing w:before="40" w:after="40" w:line="220" w:lineRule="exact"/>
              <w:rPr>
                <w:sz w:val="18"/>
                <w:szCs w:val="18"/>
                <w:lang w:eastAsia="zh-CN"/>
              </w:rPr>
            </w:pPr>
            <w:r w:rsidRPr="00765FAF">
              <w:rPr>
                <w:sz w:val="18"/>
                <w:szCs w:val="18"/>
                <w:lang w:eastAsia="zh-CN"/>
              </w:rPr>
              <w:t>i. Working Party on Rail Transport and subsidiary groups of experts</w:t>
            </w:r>
          </w:p>
        </w:tc>
        <w:tc>
          <w:tcPr>
            <w:tcW w:w="517" w:type="dxa"/>
            <w:tcBorders>
              <w:top w:val="single" w:sz="4" w:space="0" w:color="000000"/>
              <w:bottom w:val="single" w:sz="4" w:space="0" w:color="000000"/>
            </w:tcBorders>
            <w:shd w:val="clear" w:color="auto" w:fill="auto"/>
            <w:vAlign w:val="bottom"/>
            <w:hideMark/>
          </w:tcPr>
          <w:p w14:paraId="4E2509BE" w14:textId="77777777" w:rsidR="00765FAF" w:rsidRPr="00765FAF" w:rsidRDefault="00765FAF" w:rsidP="00D17694">
            <w:pPr>
              <w:suppressAutoHyphens w:val="0"/>
              <w:spacing w:before="40" w:after="40" w:line="220" w:lineRule="exact"/>
              <w:jc w:val="right"/>
              <w:rPr>
                <w:sz w:val="18"/>
                <w:szCs w:val="18"/>
                <w:lang w:eastAsia="zh-CN"/>
              </w:rPr>
            </w:pPr>
            <w:r w:rsidRPr="00765FAF">
              <w:rPr>
                <w:sz w:val="18"/>
                <w:szCs w:val="18"/>
                <w:lang w:eastAsia="zh-CN"/>
              </w:rPr>
              <w:t>6</w:t>
            </w:r>
          </w:p>
        </w:tc>
        <w:tc>
          <w:tcPr>
            <w:tcW w:w="641" w:type="dxa"/>
            <w:tcBorders>
              <w:top w:val="single" w:sz="4" w:space="0" w:color="000000"/>
              <w:bottom w:val="single" w:sz="4" w:space="0" w:color="000000"/>
            </w:tcBorders>
            <w:shd w:val="clear" w:color="auto" w:fill="auto"/>
            <w:vAlign w:val="bottom"/>
            <w:hideMark/>
          </w:tcPr>
          <w:p w14:paraId="7DF39A42" w14:textId="77777777" w:rsidR="00765FAF" w:rsidRPr="00765FAF" w:rsidRDefault="00765FAF" w:rsidP="00D17694">
            <w:pPr>
              <w:suppressAutoHyphens w:val="0"/>
              <w:spacing w:before="40" w:after="40" w:line="220" w:lineRule="exact"/>
              <w:jc w:val="right"/>
              <w:rPr>
                <w:sz w:val="18"/>
                <w:szCs w:val="18"/>
                <w:lang w:eastAsia="zh-CN"/>
              </w:rPr>
            </w:pPr>
            <w:r w:rsidRPr="00765FAF">
              <w:rPr>
                <w:sz w:val="18"/>
                <w:szCs w:val="18"/>
                <w:lang w:eastAsia="zh-CN"/>
              </w:rPr>
              <w:t>26</w:t>
            </w:r>
          </w:p>
        </w:tc>
        <w:tc>
          <w:tcPr>
            <w:tcW w:w="1122" w:type="dxa"/>
            <w:tcBorders>
              <w:top w:val="single" w:sz="4" w:space="0" w:color="000000"/>
              <w:bottom w:val="single" w:sz="4" w:space="0" w:color="000000"/>
            </w:tcBorders>
            <w:shd w:val="clear" w:color="auto" w:fill="auto"/>
            <w:vAlign w:val="bottom"/>
            <w:hideMark/>
          </w:tcPr>
          <w:p w14:paraId="0571C6D3" w14:textId="77777777" w:rsidR="00765FAF" w:rsidRPr="00765FAF" w:rsidRDefault="00765FAF" w:rsidP="00D17694">
            <w:pPr>
              <w:suppressAutoHyphens w:val="0"/>
              <w:spacing w:before="40" w:after="40" w:line="220" w:lineRule="exact"/>
              <w:jc w:val="right"/>
              <w:rPr>
                <w:sz w:val="18"/>
                <w:szCs w:val="18"/>
                <w:lang w:eastAsia="zh-CN"/>
              </w:rPr>
            </w:pPr>
            <w:r w:rsidRPr="00765FAF">
              <w:rPr>
                <w:sz w:val="18"/>
                <w:szCs w:val="18"/>
                <w:lang w:eastAsia="zh-CN"/>
              </w:rPr>
              <w:t>26</w:t>
            </w:r>
          </w:p>
        </w:tc>
        <w:tc>
          <w:tcPr>
            <w:tcW w:w="1122" w:type="dxa"/>
            <w:tcBorders>
              <w:top w:val="single" w:sz="4" w:space="0" w:color="000000"/>
              <w:bottom w:val="single" w:sz="4" w:space="0" w:color="000000"/>
            </w:tcBorders>
            <w:shd w:val="clear" w:color="auto" w:fill="auto"/>
            <w:vAlign w:val="bottom"/>
            <w:hideMark/>
          </w:tcPr>
          <w:p w14:paraId="78E52F0B" w14:textId="77777777" w:rsidR="00765FAF" w:rsidRPr="00765FAF" w:rsidRDefault="00765FAF" w:rsidP="00D17694">
            <w:pPr>
              <w:suppressAutoHyphens w:val="0"/>
              <w:spacing w:before="40" w:after="40" w:line="220" w:lineRule="exact"/>
              <w:jc w:val="right"/>
              <w:rPr>
                <w:sz w:val="18"/>
                <w:szCs w:val="18"/>
                <w:lang w:eastAsia="zh-CN"/>
              </w:rPr>
            </w:pPr>
          </w:p>
        </w:tc>
        <w:tc>
          <w:tcPr>
            <w:tcW w:w="1236" w:type="dxa"/>
            <w:tcBorders>
              <w:top w:val="single" w:sz="4" w:space="0" w:color="000000"/>
              <w:bottom w:val="single" w:sz="4" w:space="0" w:color="000000"/>
            </w:tcBorders>
            <w:shd w:val="clear" w:color="auto" w:fill="auto"/>
            <w:vAlign w:val="bottom"/>
            <w:hideMark/>
          </w:tcPr>
          <w:p w14:paraId="0B4AA126" w14:textId="77777777" w:rsidR="00765FAF" w:rsidRPr="00765FAF" w:rsidRDefault="00765FAF" w:rsidP="00D17694">
            <w:pPr>
              <w:suppressAutoHyphens w:val="0"/>
              <w:spacing w:before="40" w:after="40" w:line="220" w:lineRule="exact"/>
              <w:jc w:val="right"/>
              <w:rPr>
                <w:b/>
                <w:bCs/>
                <w:sz w:val="18"/>
                <w:szCs w:val="18"/>
                <w:lang w:eastAsia="zh-CN"/>
              </w:rPr>
            </w:pPr>
            <w:r w:rsidRPr="00765FAF">
              <w:rPr>
                <w:b/>
                <w:bCs/>
                <w:sz w:val="18"/>
                <w:szCs w:val="18"/>
                <w:lang w:eastAsia="zh-CN"/>
              </w:rPr>
              <w:t>433%</w:t>
            </w:r>
          </w:p>
        </w:tc>
        <w:tc>
          <w:tcPr>
            <w:tcW w:w="1236" w:type="dxa"/>
            <w:tcBorders>
              <w:top w:val="single" w:sz="4" w:space="0" w:color="000000"/>
              <w:bottom w:val="single" w:sz="4" w:space="0" w:color="000000"/>
            </w:tcBorders>
            <w:shd w:val="clear" w:color="auto" w:fill="auto"/>
            <w:vAlign w:val="bottom"/>
            <w:hideMark/>
          </w:tcPr>
          <w:p w14:paraId="4914F4DD" w14:textId="77777777" w:rsidR="00765FAF" w:rsidRPr="00765FAF" w:rsidRDefault="00765FAF" w:rsidP="00D17694">
            <w:pPr>
              <w:suppressAutoHyphens w:val="0"/>
              <w:spacing w:before="40" w:after="40" w:line="220" w:lineRule="exact"/>
              <w:jc w:val="right"/>
              <w:rPr>
                <w:b/>
                <w:bCs/>
                <w:sz w:val="18"/>
                <w:szCs w:val="18"/>
                <w:lang w:eastAsia="zh-CN"/>
              </w:rPr>
            </w:pPr>
            <w:r w:rsidRPr="00765FAF">
              <w:rPr>
                <w:b/>
                <w:bCs/>
                <w:sz w:val="18"/>
                <w:szCs w:val="18"/>
                <w:lang w:eastAsia="zh-CN"/>
              </w:rPr>
              <w:t>433%</w:t>
            </w:r>
          </w:p>
        </w:tc>
        <w:tc>
          <w:tcPr>
            <w:tcW w:w="1122" w:type="dxa"/>
            <w:tcBorders>
              <w:top w:val="single" w:sz="4" w:space="0" w:color="000000"/>
              <w:bottom w:val="single" w:sz="4" w:space="0" w:color="000000"/>
            </w:tcBorders>
            <w:shd w:val="clear" w:color="auto" w:fill="auto"/>
            <w:vAlign w:val="bottom"/>
            <w:hideMark/>
          </w:tcPr>
          <w:p w14:paraId="440295C1" w14:textId="77777777" w:rsidR="00765FAF" w:rsidRPr="00765FAF" w:rsidRDefault="00765FAF" w:rsidP="00D17694">
            <w:pPr>
              <w:suppressAutoHyphens w:val="0"/>
              <w:spacing w:before="40" w:after="40" w:line="220" w:lineRule="exact"/>
              <w:jc w:val="right"/>
              <w:rPr>
                <w:sz w:val="18"/>
                <w:szCs w:val="18"/>
                <w:lang w:eastAsia="zh-CN"/>
              </w:rPr>
            </w:pPr>
            <w:r w:rsidRPr="00765FAF">
              <w:rPr>
                <w:sz w:val="18"/>
                <w:szCs w:val="18"/>
                <w:lang w:eastAsia="zh-CN"/>
              </w:rPr>
              <w:t>10</w:t>
            </w:r>
          </w:p>
        </w:tc>
        <w:tc>
          <w:tcPr>
            <w:tcW w:w="940" w:type="dxa"/>
            <w:tcBorders>
              <w:top w:val="single" w:sz="4" w:space="0" w:color="000000"/>
              <w:bottom w:val="single" w:sz="4" w:space="0" w:color="000000"/>
            </w:tcBorders>
            <w:shd w:val="clear" w:color="auto" w:fill="auto"/>
            <w:vAlign w:val="bottom"/>
            <w:hideMark/>
          </w:tcPr>
          <w:p w14:paraId="3237F44A" w14:textId="77777777" w:rsidR="00765FAF" w:rsidRPr="00765FAF" w:rsidRDefault="00765FAF" w:rsidP="00D17694">
            <w:pPr>
              <w:suppressAutoHyphens w:val="0"/>
              <w:spacing w:before="40" w:after="40" w:line="220" w:lineRule="exact"/>
              <w:jc w:val="right"/>
              <w:rPr>
                <w:b/>
                <w:bCs/>
                <w:sz w:val="18"/>
                <w:szCs w:val="18"/>
                <w:lang w:eastAsia="zh-CN"/>
              </w:rPr>
            </w:pPr>
            <w:r w:rsidRPr="00765FAF">
              <w:rPr>
                <w:b/>
                <w:bCs/>
                <w:sz w:val="18"/>
                <w:szCs w:val="18"/>
                <w:lang w:eastAsia="zh-CN"/>
              </w:rPr>
              <w:t>38%</w:t>
            </w:r>
          </w:p>
        </w:tc>
      </w:tr>
      <w:tr w:rsidR="00D17694" w:rsidRPr="00D17694" w14:paraId="6C13CFDB" w14:textId="77777777" w:rsidTr="00B1378B">
        <w:tc>
          <w:tcPr>
            <w:tcW w:w="1701" w:type="dxa"/>
            <w:tcBorders>
              <w:top w:val="single" w:sz="4" w:space="0" w:color="000000"/>
              <w:bottom w:val="single" w:sz="4" w:space="0" w:color="000000"/>
            </w:tcBorders>
            <w:shd w:val="clear" w:color="auto" w:fill="auto"/>
            <w:hideMark/>
          </w:tcPr>
          <w:p w14:paraId="4A3CA6FD" w14:textId="77777777" w:rsidR="00765FAF" w:rsidRPr="00765FAF" w:rsidRDefault="00765FAF" w:rsidP="00D17694">
            <w:pPr>
              <w:suppressAutoHyphens w:val="0"/>
              <w:spacing w:before="40" w:after="40" w:line="220" w:lineRule="exact"/>
              <w:rPr>
                <w:sz w:val="18"/>
                <w:szCs w:val="18"/>
                <w:lang w:eastAsia="zh-CN"/>
              </w:rPr>
            </w:pPr>
            <w:r w:rsidRPr="00765FAF">
              <w:rPr>
                <w:sz w:val="18"/>
                <w:szCs w:val="18"/>
                <w:lang w:eastAsia="zh-CN"/>
              </w:rPr>
              <w:t>j. Working Party on Intermodal Transport and Logistics</w:t>
            </w:r>
          </w:p>
        </w:tc>
        <w:tc>
          <w:tcPr>
            <w:tcW w:w="517" w:type="dxa"/>
            <w:tcBorders>
              <w:top w:val="single" w:sz="4" w:space="0" w:color="000000"/>
              <w:bottom w:val="single" w:sz="4" w:space="0" w:color="000000"/>
            </w:tcBorders>
            <w:shd w:val="clear" w:color="auto" w:fill="auto"/>
            <w:vAlign w:val="bottom"/>
            <w:hideMark/>
          </w:tcPr>
          <w:p w14:paraId="13DF2276" w14:textId="77777777" w:rsidR="00765FAF" w:rsidRPr="00765FAF" w:rsidRDefault="00765FAF" w:rsidP="00D17694">
            <w:pPr>
              <w:suppressAutoHyphens w:val="0"/>
              <w:spacing w:before="40" w:after="40" w:line="220" w:lineRule="exact"/>
              <w:jc w:val="right"/>
              <w:rPr>
                <w:sz w:val="18"/>
                <w:szCs w:val="18"/>
                <w:lang w:eastAsia="zh-CN"/>
              </w:rPr>
            </w:pPr>
            <w:r w:rsidRPr="00765FAF">
              <w:rPr>
                <w:sz w:val="18"/>
                <w:szCs w:val="18"/>
                <w:lang w:eastAsia="zh-CN"/>
              </w:rPr>
              <w:t>6</w:t>
            </w:r>
          </w:p>
        </w:tc>
        <w:tc>
          <w:tcPr>
            <w:tcW w:w="641" w:type="dxa"/>
            <w:tcBorders>
              <w:top w:val="single" w:sz="4" w:space="0" w:color="000000"/>
              <w:bottom w:val="single" w:sz="4" w:space="0" w:color="000000"/>
            </w:tcBorders>
            <w:shd w:val="clear" w:color="auto" w:fill="auto"/>
            <w:vAlign w:val="bottom"/>
            <w:hideMark/>
          </w:tcPr>
          <w:p w14:paraId="7239C794" w14:textId="77777777" w:rsidR="00765FAF" w:rsidRPr="00765FAF" w:rsidRDefault="00765FAF" w:rsidP="00D17694">
            <w:pPr>
              <w:suppressAutoHyphens w:val="0"/>
              <w:spacing w:before="40" w:after="40" w:line="220" w:lineRule="exact"/>
              <w:jc w:val="right"/>
              <w:rPr>
                <w:sz w:val="18"/>
                <w:szCs w:val="18"/>
                <w:lang w:eastAsia="zh-CN"/>
              </w:rPr>
            </w:pPr>
            <w:r w:rsidRPr="00765FAF">
              <w:rPr>
                <w:sz w:val="18"/>
                <w:szCs w:val="18"/>
                <w:lang w:eastAsia="zh-CN"/>
              </w:rPr>
              <w:t>14</w:t>
            </w:r>
          </w:p>
        </w:tc>
        <w:tc>
          <w:tcPr>
            <w:tcW w:w="1122" w:type="dxa"/>
            <w:tcBorders>
              <w:top w:val="single" w:sz="4" w:space="0" w:color="000000"/>
              <w:bottom w:val="single" w:sz="4" w:space="0" w:color="000000"/>
            </w:tcBorders>
            <w:shd w:val="clear" w:color="auto" w:fill="auto"/>
            <w:vAlign w:val="bottom"/>
            <w:hideMark/>
          </w:tcPr>
          <w:p w14:paraId="2DAA7A3E" w14:textId="77777777" w:rsidR="00765FAF" w:rsidRPr="00765FAF" w:rsidRDefault="00765FAF" w:rsidP="00D17694">
            <w:pPr>
              <w:suppressAutoHyphens w:val="0"/>
              <w:spacing w:before="40" w:after="40" w:line="220" w:lineRule="exact"/>
              <w:jc w:val="right"/>
              <w:rPr>
                <w:sz w:val="18"/>
                <w:szCs w:val="18"/>
                <w:lang w:eastAsia="zh-CN"/>
              </w:rPr>
            </w:pPr>
            <w:r w:rsidRPr="00765FAF">
              <w:rPr>
                <w:sz w:val="18"/>
                <w:szCs w:val="18"/>
                <w:lang w:eastAsia="zh-CN"/>
              </w:rPr>
              <w:t>6</w:t>
            </w:r>
          </w:p>
        </w:tc>
        <w:tc>
          <w:tcPr>
            <w:tcW w:w="1122" w:type="dxa"/>
            <w:tcBorders>
              <w:top w:val="single" w:sz="4" w:space="0" w:color="000000"/>
              <w:bottom w:val="single" w:sz="4" w:space="0" w:color="000000"/>
            </w:tcBorders>
            <w:shd w:val="clear" w:color="auto" w:fill="auto"/>
            <w:vAlign w:val="bottom"/>
            <w:hideMark/>
          </w:tcPr>
          <w:p w14:paraId="00207192" w14:textId="77777777" w:rsidR="00765FAF" w:rsidRPr="00765FAF" w:rsidRDefault="00765FAF" w:rsidP="00D17694">
            <w:pPr>
              <w:suppressAutoHyphens w:val="0"/>
              <w:spacing w:before="40" w:after="40" w:line="220" w:lineRule="exact"/>
              <w:jc w:val="right"/>
              <w:rPr>
                <w:sz w:val="18"/>
                <w:szCs w:val="18"/>
                <w:lang w:eastAsia="zh-CN"/>
              </w:rPr>
            </w:pPr>
          </w:p>
        </w:tc>
        <w:tc>
          <w:tcPr>
            <w:tcW w:w="1236" w:type="dxa"/>
            <w:tcBorders>
              <w:top w:val="single" w:sz="4" w:space="0" w:color="000000"/>
              <w:bottom w:val="single" w:sz="4" w:space="0" w:color="000000"/>
            </w:tcBorders>
            <w:shd w:val="clear" w:color="auto" w:fill="auto"/>
            <w:vAlign w:val="bottom"/>
            <w:hideMark/>
          </w:tcPr>
          <w:p w14:paraId="77B1A7BB" w14:textId="77777777" w:rsidR="00765FAF" w:rsidRPr="00765FAF" w:rsidRDefault="00765FAF" w:rsidP="00D17694">
            <w:pPr>
              <w:suppressAutoHyphens w:val="0"/>
              <w:spacing w:before="40" w:after="40" w:line="220" w:lineRule="exact"/>
              <w:jc w:val="right"/>
              <w:rPr>
                <w:b/>
                <w:bCs/>
                <w:sz w:val="18"/>
                <w:szCs w:val="18"/>
                <w:lang w:eastAsia="zh-CN"/>
              </w:rPr>
            </w:pPr>
            <w:r w:rsidRPr="00765FAF">
              <w:rPr>
                <w:b/>
                <w:bCs/>
                <w:sz w:val="18"/>
                <w:szCs w:val="18"/>
                <w:lang w:eastAsia="zh-CN"/>
              </w:rPr>
              <w:t>233%</w:t>
            </w:r>
          </w:p>
        </w:tc>
        <w:tc>
          <w:tcPr>
            <w:tcW w:w="1236" w:type="dxa"/>
            <w:tcBorders>
              <w:top w:val="single" w:sz="4" w:space="0" w:color="000000"/>
              <w:bottom w:val="single" w:sz="4" w:space="0" w:color="000000"/>
            </w:tcBorders>
            <w:shd w:val="clear" w:color="auto" w:fill="auto"/>
            <w:vAlign w:val="bottom"/>
            <w:hideMark/>
          </w:tcPr>
          <w:p w14:paraId="757CABE4" w14:textId="77777777" w:rsidR="00765FAF" w:rsidRPr="00765FAF" w:rsidRDefault="00765FAF" w:rsidP="00D17694">
            <w:pPr>
              <w:suppressAutoHyphens w:val="0"/>
              <w:spacing w:before="40" w:after="40" w:line="220" w:lineRule="exact"/>
              <w:jc w:val="right"/>
              <w:rPr>
                <w:b/>
                <w:bCs/>
                <w:sz w:val="18"/>
                <w:szCs w:val="18"/>
                <w:lang w:eastAsia="zh-CN"/>
              </w:rPr>
            </w:pPr>
            <w:r w:rsidRPr="00765FAF">
              <w:rPr>
                <w:b/>
                <w:bCs/>
                <w:sz w:val="18"/>
                <w:szCs w:val="18"/>
                <w:lang w:eastAsia="zh-CN"/>
              </w:rPr>
              <w:t>100%</w:t>
            </w:r>
          </w:p>
        </w:tc>
        <w:tc>
          <w:tcPr>
            <w:tcW w:w="1122" w:type="dxa"/>
            <w:tcBorders>
              <w:top w:val="single" w:sz="4" w:space="0" w:color="000000"/>
              <w:bottom w:val="single" w:sz="4" w:space="0" w:color="000000"/>
            </w:tcBorders>
            <w:shd w:val="clear" w:color="auto" w:fill="auto"/>
            <w:vAlign w:val="bottom"/>
            <w:hideMark/>
          </w:tcPr>
          <w:p w14:paraId="4ADB34E6" w14:textId="77777777" w:rsidR="00765FAF" w:rsidRPr="00765FAF" w:rsidRDefault="00765FAF" w:rsidP="00D17694">
            <w:pPr>
              <w:suppressAutoHyphens w:val="0"/>
              <w:spacing w:before="40" w:after="40" w:line="220" w:lineRule="exact"/>
              <w:jc w:val="right"/>
              <w:rPr>
                <w:sz w:val="18"/>
                <w:szCs w:val="18"/>
                <w:lang w:eastAsia="zh-CN"/>
              </w:rPr>
            </w:pPr>
            <w:r w:rsidRPr="00765FAF">
              <w:rPr>
                <w:sz w:val="18"/>
                <w:szCs w:val="18"/>
                <w:lang w:eastAsia="zh-CN"/>
              </w:rPr>
              <w:t>6</w:t>
            </w:r>
          </w:p>
        </w:tc>
        <w:tc>
          <w:tcPr>
            <w:tcW w:w="940" w:type="dxa"/>
            <w:tcBorders>
              <w:top w:val="single" w:sz="4" w:space="0" w:color="000000"/>
              <w:bottom w:val="single" w:sz="4" w:space="0" w:color="000000"/>
            </w:tcBorders>
            <w:shd w:val="clear" w:color="auto" w:fill="auto"/>
            <w:vAlign w:val="bottom"/>
            <w:hideMark/>
          </w:tcPr>
          <w:p w14:paraId="56894B1F" w14:textId="77777777" w:rsidR="00765FAF" w:rsidRPr="00765FAF" w:rsidRDefault="00765FAF" w:rsidP="00D17694">
            <w:pPr>
              <w:suppressAutoHyphens w:val="0"/>
              <w:spacing w:before="40" w:after="40" w:line="220" w:lineRule="exact"/>
              <w:jc w:val="right"/>
              <w:rPr>
                <w:b/>
                <w:bCs/>
                <w:sz w:val="18"/>
                <w:szCs w:val="18"/>
                <w:lang w:eastAsia="zh-CN"/>
              </w:rPr>
            </w:pPr>
            <w:r w:rsidRPr="00765FAF">
              <w:rPr>
                <w:b/>
                <w:bCs/>
                <w:sz w:val="18"/>
                <w:szCs w:val="18"/>
                <w:lang w:eastAsia="zh-CN"/>
              </w:rPr>
              <w:t>100%</w:t>
            </w:r>
          </w:p>
        </w:tc>
      </w:tr>
      <w:tr w:rsidR="00B1378B" w:rsidRPr="00D17694" w14:paraId="46853DC1" w14:textId="77777777" w:rsidTr="00B1378B">
        <w:tc>
          <w:tcPr>
            <w:tcW w:w="1701" w:type="dxa"/>
            <w:tcBorders>
              <w:top w:val="single" w:sz="4" w:space="0" w:color="000000"/>
              <w:bottom w:val="single" w:sz="4" w:space="0" w:color="000000"/>
            </w:tcBorders>
            <w:shd w:val="clear" w:color="auto" w:fill="auto"/>
            <w:hideMark/>
          </w:tcPr>
          <w:p w14:paraId="4F19FE77" w14:textId="77777777" w:rsidR="00765FAF" w:rsidRPr="00765FAF" w:rsidRDefault="00765FAF" w:rsidP="00D17694">
            <w:pPr>
              <w:suppressAutoHyphens w:val="0"/>
              <w:spacing w:before="40" w:after="40" w:line="220" w:lineRule="exact"/>
              <w:rPr>
                <w:sz w:val="18"/>
                <w:szCs w:val="18"/>
                <w:lang w:eastAsia="zh-CN"/>
              </w:rPr>
            </w:pPr>
            <w:r w:rsidRPr="00765FAF">
              <w:rPr>
                <w:sz w:val="18"/>
                <w:szCs w:val="18"/>
                <w:lang w:eastAsia="zh-CN"/>
              </w:rPr>
              <w:t>k. Working Party on Inland Water Transport</w:t>
            </w:r>
          </w:p>
        </w:tc>
        <w:tc>
          <w:tcPr>
            <w:tcW w:w="517" w:type="dxa"/>
            <w:tcBorders>
              <w:top w:val="single" w:sz="4" w:space="0" w:color="000000"/>
              <w:bottom w:val="single" w:sz="4" w:space="0" w:color="000000"/>
            </w:tcBorders>
            <w:shd w:val="clear" w:color="auto" w:fill="auto"/>
            <w:vAlign w:val="bottom"/>
            <w:hideMark/>
          </w:tcPr>
          <w:p w14:paraId="33440973" w14:textId="77777777" w:rsidR="00765FAF" w:rsidRPr="00765FAF" w:rsidRDefault="00765FAF" w:rsidP="00D17694">
            <w:pPr>
              <w:suppressAutoHyphens w:val="0"/>
              <w:spacing w:before="40" w:after="40" w:line="220" w:lineRule="exact"/>
              <w:jc w:val="right"/>
              <w:rPr>
                <w:sz w:val="18"/>
                <w:szCs w:val="18"/>
                <w:lang w:eastAsia="zh-CN"/>
              </w:rPr>
            </w:pPr>
            <w:r w:rsidRPr="00765FAF">
              <w:rPr>
                <w:sz w:val="18"/>
                <w:szCs w:val="18"/>
                <w:lang w:eastAsia="zh-CN"/>
              </w:rPr>
              <w:t>18</w:t>
            </w:r>
          </w:p>
        </w:tc>
        <w:tc>
          <w:tcPr>
            <w:tcW w:w="641" w:type="dxa"/>
            <w:tcBorders>
              <w:top w:val="single" w:sz="4" w:space="0" w:color="000000"/>
              <w:bottom w:val="single" w:sz="4" w:space="0" w:color="000000"/>
            </w:tcBorders>
            <w:shd w:val="clear" w:color="auto" w:fill="auto"/>
            <w:vAlign w:val="bottom"/>
            <w:hideMark/>
          </w:tcPr>
          <w:p w14:paraId="542B6209" w14:textId="77777777" w:rsidR="00765FAF" w:rsidRPr="00765FAF" w:rsidRDefault="00765FAF" w:rsidP="00D17694">
            <w:pPr>
              <w:suppressAutoHyphens w:val="0"/>
              <w:spacing w:before="40" w:after="40" w:line="220" w:lineRule="exact"/>
              <w:jc w:val="right"/>
              <w:rPr>
                <w:sz w:val="18"/>
                <w:szCs w:val="18"/>
                <w:lang w:eastAsia="zh-CN"/>
              </w:rPr>
            </w:pPr>
            <w:r w:rsidRPr="00765FAF">
              <w:rPr>
                <w:sz w:val="18"/>
                <w:szCs w:val="18"/>
                <w:lang w:eastAsia="zh-CN"/>
              </w:rPr>
              <w:t>14</w:t>
            </w:r>
          </w:p>
        </w:tc>
        <w:tc>
          <w:tcPr>
            <w:tcW w:w="1122" w:type="dxa"/>
            <w:tcBorders>
              <w:top w:val="single" w:sz="4" w:space="0" w:color="000000"/>
              <w:bottom w:val="single" w:sz="4" w:space="0" w:color="000000"/>
            </w:tcBorders>
            <w:shd w:val="clear" w:color="auto" w:fill="auto"/>
            <w:vAlign w:val="bottom"/>
            <w:hideMark/>
          </w:tcPr>
          <w:p w14:paraId="1F5CC445" w14:textId="77777777" w:rsidR="00765FAF" w:rsidRPr="00765FAF" w:rsidRDefault="00765FAF" w:rsidP="00D17694">
            <w:pPr>
              <w:suppressAutoHyphens w:val="0"/>
              <w:spacing w:before="40" w:after="40" w:line="220" w:lineRule="exact"/>
              <w:jc w:val="right"/>
              <w:rPr>
                <w:sz w:val="18"/>
                <w:szCs w:val="18"/>
                <w:lang w:eastAsia="zh-CN"/>
              </w:rPr>
            </w:pPr>
            <w:r w:rsidRPr="00765FAF">
              <w:rPr>
                <w:sz w:val="18"/>
                <w:szCs w:val="18"/>
                <w:lang w:eastAsia="zh-CN"/>
              </w:rPr>
              <w:t>14</w:t>
            </w:r>
          </w:p>
        </w:tc>
        <w:tc>
          <w:tcPr>
            <w:tcW w:w="1122" w:type="dxa"/>
            <w:tcBorders>
              <w:top w:val="single" w:sz="4" w:space="0" w:color="000000"/>
              <w:bottom w:val="single" w:sz="4" w:space="0" w:color="000000"/>
            </w:tcBorders>
            <w:shd w:val="clear" w:color="auto" w:fill="auto"/>
            <w:vAlign w:val="bottom"/>
            <w:hideMark/>
          </w:tcPr>
          <w:p w14:paraId="44E24C1B" w14:textId="77777777" w:rsidR="00765FAF" w:rsidRPr="00765FAF" w:rsidRDefault="00765FAF" w:rsidP="00D17694">
            <w:pPr>
              <w:suppressAutoHyphens w:val="0"/>
              <w:spacing w:before="40" w:after="40" w:line="220" w:lineRule="exact"/>
              <w:jc w:val="right"/>
              <w:rPr>
                <w:sz w:val="18"/>
                <w:szCs w:val="18"/>
                <w:lang w:eastAsia="zh-CN"/>
              </w:rPr>
            </w:pPr>
            <w:r w:rsidRPr="00765FAF">
              <w:rPr>
                <w:sz w:val="18"/>
                <w:szCs w:val="18"/>
                <w:lang w:eastAsia="zh-CN"/>
              </w:rPr>
              <w:t>4</w:t>
            </w:r>
          </w:p>
        </w:tc>
        <w:tc>
          <w:tcPr>
            <w:tcW w:w="1236" w:type="dxa"/>
            <w:tcBorders>
              <w:top w:val="single" w:sz="4" w:space="0" w:color="000000"/>
              <w:bottom w:val="single" w:sz="4" w:space="0" w:color="000000"/>
            </w:tcBorders>
            <w:shd w:val="clear" w:color="auto" w:fill="auto"/>
            <w:vAlign w:val="bottom"/>
            <w:hideMark/>
          </w:tcPr>
          <w:p w14:paraId="388E74C3" w14:textId="77777777" w:rsidR="00765FAF" w:rsidRPr="00765FAF" w:rsidRDefault="00765FAF" w:rsidP="00D17694">
            <w:pPr>
              <w:suppressAutoHyphens w:val="0"/>
              <w:spacing w:before="40" w:after="40" w:line="220" w:lineRule="exact"/>
              <w:jc w:val="right"/>
              <w:rPr>
                <w:b/>
                <w:bCs/>
                <w:sz w:val="18"/>
                <w:szCs w:val="18"/>
                <w:lang w:eastAsia="zh-CN"/>
              </w:rPr>
            </w:pPr>
            <w:r w:rsidRPr="00765FAF">
              <w:rPr>
                <w:b/>
                <w:bCs/>
                <w:sz w:val="18"/>
                <w:szCs w:val="18"/>
                <w:lang w:eastAsia="zh-CN"/>
              </w:rPr>
              <w:t>78%</w:t>
            </w:r>
          </w:p>
        </w:tc>
        <w:tc>
          <w:tcPr>
            <w:tcW w:w="1236" w:type="dxa"/>
            <w:tcBorders>
              <w:top w:val="single" w:sz="4" w:space="0" w:color="000000"/>
              <w:bottom w:val="single" w:sz="4" w:space="0" w:color="000000"/>
            </w:tcBorders>
            <w:shd w:val="clear" w:color="auto" w:fill="auto"/>
            <w:vAlign w:val="bottom"/>
            <w:hideMark/>
          </w:tcPr>
          <w:p w14:paraId="4C222538" w14:textId="77777777" w:rsidR="00765FAF" w:rsidRPr="00765FAF" w:rsidRDefault="00765FAF" w:rsidP="00D17694">
            <w:pPr>
              <w:suppressAutoHyphens w:val="0"/>
              <w:spacing w:before="40" w:after="40" w:line="220" w:lineRule="exact"/>
              <w:jc w:val="right"/>
              <w:rPr>
                <w:b/>
                <w:bCs/>
                <w:sz w:val="18"/>
                <w:szCs w:val="18"/>
                <w:lang w:eastAsia="zh-CN"/>
              </w:rPr>
            </w:pPr>
            <w:r w:rsidRPr="00765FAF">
              <w:rPr>
                <w:b/>
                <w:bCs/>
                <w:sz w:val="18"/>
                <w:szCs w:val="18"/>
                <w:lang w:eastAsia="zh-CN"/>
              </w:rPr>
              <w:t>78%</w:t>
            </w:r>
          </w:p>
        </w:tc>
        <w:tc>
          <w:tcPr>
            <w:tcW w:w="1122" w:type="dxa"/>
            <w:tcBorders>
              <w:top w:val="single" w:sz="4" w:space="0" w:color="000000"/>
              <w:bottom w:val="single" w:sz="4" w:space="0" w:color="000000"/>
            </w:tcBorders>
            <w:shd w:val="clear" w:color="auto" w:fill="auto"/>
            <w:vAlign w:val="bottom"/>
            <w:hideMark/>
          </w:tcPr>
          <w:p w14:paraId="54FAC104" w14:textId="77777777" w:rsidR="00765FAF" w:rsidRPr="00765FAF" w:rsidRDefault="00765FAF" w:rsidP="00D17694">
            <w:pPr>
              <w:suppressAutoHyphens w:val="0"/>
              <w:spacing w:before="40" w:after="40" w:line="220" w:lineRule="exact"/>
              <w:jc w:val="right"/>
              <w:rPr>
                <w:sz w:val="18"/>
                <w:szCs w:val="18"/>
                <w:lang w:eastAsia="zh-CN"/>
              </w:rPr>
            </w:pPr>
            <w:r w:rsidRPr="00765FAF">
              <w:rPr>
                <w:sz w:val="18"/>
                <w:szCs w:val="18"/>
                <w:lang w:eastAsia="zh-CN"/>
              </w:rPr>
              <w:t>6</w:t>
            </w:r>
          </w:p>
        </w:tc>
        <w:tc>
          <w:tcPr>
            <w:tcW w:w="940" w:type="dxa"/>
            <w:tcBorders>
              <w:top w:val="single" w:sz="4" w:space="0" w:color="000000"/>
              <w:bottom w:val="single" w:sz="4" w:space="0" w:color="000000"/>
            </w:tcBorders>
            <w:shd w:val="clear" w:color="auto" w:fill="auto"/>
            <w:vAlign w:val="bottom"/>
            <w:hideMark/>
          </w:tcPr>
          <w:p w14:paraId="32CB90F8" w14:textId="77777777" w:rsidR="00765FAF" w:rsidRPr="00765FAF" w:rsidRDefault="00765FAF" w:rsidP="00D17694">
            <w:pPr>
              <w:suppressAutoHyphens w:val="0"/>
              <w:spacing w:before="40" w:after="40" w:line="220" w:lineRule="exact"/>
              <w:jc w:val="right"/>
              <w:rPr>
                <w:b/>
                <w:bCs/>
                <w:sz w:val="18"/>
                <w:szCs w:val="18"/>
                <w:lang w:eastAsia="zh-CN"/>
              </w:rPr>
            </w:pPr>
            <w:r w:rsidRPr="00765FAF">
              <w:rPr>
                <w:b/>
                <w:bCs/>
                <w:sz w:val="18"/>
                <w:szCs w:val="18"/>
                <w:lang w:eastAsia="zh-CN"/>
              </w:rPr>
              <w:t>43%</w:t>
            </w:r>
          </w:p>
        </w:tc>
      </w:tr>
      <w:tr w:rsidR="00D17694" w:rsidRPr="00D17694" w14:paraId="74AFEFA0" w14:textId="77777777" w:rsidTr="00B1378B">
        <w:tc>
          <w:tcPr>
            <w:tcW w:w="1701" w:type="dxa"/>
            <w:tcBorders>
              <w:top w:val="single" w:sz="4" w:space="0" w:color="000000"/>
              <w:bottom w:val="single" w:sz="4" w:space="0" w:color="000000"/>
            </w:tcBorders>
            <w:shd w:val="clear" w:color="auto" w:fill="auto"/>
            <w:hideMark/>
          </w:tcPr>
          <w:p w14:paraId="009EEFC8" w14:textId="77777777" w:rsidR="00765FAF" w:rsidRPr="00765FAF" w:rsidRDefault="00765FAF" w:rsidP="00D17694">
            <w:pPr>
              <w:suppressAutoHyphens w:val="0"/>
              <w:spacing w:before="40" w:after="40" w:line="220" w:lineRule="exact"/>
              <w:rPr>
                <w:sz w:val="18"/>
                <w:szCs w:val="18"/>
                <w:lang w:eastAsia="zh-CN"/>
              </w:rPr>
            </w:pPr>
            <w:r w:rsidRPr="00765FAF">
              <w:rPr>
                <w:sz w:val="18"/>
                <w:szCs w:val="18"/>
                <w:lang w:eastAsia="zh-CN"/>
              </w:rPr>
              <w:t>l. Working Party on Customs Questions affecting Transport and subsidiary groups of experts</w:t>
            </w:r>
          </w:p>
        </w:tc>
        <w:tc>
          <w:tcPr>
            <w:tcW w:w="517" w:type="dxa"/>
            <w:tcBorders>
              <w:top w:val="single" w:sz="4" w:space="0" w:color="000000"/>
              <w:bottom w:val="single" w:sz="4" w:space="0" w:color="000000"/>
            </w:tcBorders>
            <w:shd w:val="clear" w:color="auto" w:fill="auto"/>
            <w:vAlign w:val="bottom"/>
            <w:hideMark/>
          </w:tcPr>
          <w:p w14:paraId="6C6176E3" w14:textId="77777777" w:rsidR="00765FAF" w:rsidRPr="00765FAF" w:rsidRDefault="00765FAF" w:rsidP="00D17694">
            <w:pPr>
              <w:suppressAutoHyphens w:val="0"/>
              <w:spacing w:before="40" w:after="40" w:line="220" w:lineRule="exact"/>
              <w:jc w:val="right"/>
              <w:rPr>
                <w:sz w:val="18"/>
                <w:szCs w:val="18"/>
                <w:lang w:eastAsia="zh-CN"/>
              </w:rPr>
            </w:pPr>
            <w:r w:rsidRPr="00765FAF">
              <w:rPr>
                <w:sz w:val="18"/>
                <w:szCs w:val="18"/>
                <w:lang w:eastAsia="zh-CN"/>
              </w:rPr>
              <w:t>46</w:t>
            </w:r>
          </w:p>
        </w:tc>
        <w:tc>
          <w:tcPr>
            <w:tcW w:w="641" w:type="dxa"/>
            <w:tcBorders>
              <w:top w:val="single" w:sz="4" w:space="0" w:color="000000"/>
              <w:bottom w:val="single" w:sz="4" w:space="0" w:color="000000"/>
            </w:tcBorders>
            <w:shd w:val="clear" w:color="auto" w:fill="auto"/>
            <w:vAlign w:val="bottom"/>
            <w:hideMark/>
          </w:tcPr>
          <w:p w14:paraId="721ADB3F" w14:textId="77777777" w:rsidR="00765FAF" w:rsidRPr="00765FAF" w:rsidRDefault="00765FAF" w:rsidP="00D17694">
            <w:pPr>
              <w:suppressAutoHyphens w:val="0"/>
              <w:spacing w:before="40" w:after="40" w:line="220" w:lineRule="exact"/>
              <w:jc w:val="right"/>
              <w:rPr>
                <w:sz w:val="18"/>
                <w:szCs w:val="18"/>
                <w:lang w:eastAsia="zh-CN"/>
              </w:rPr>
            </w:pPr>
            <w:r w:rsidRPr="00765FAF">
              <w:rPr>
                <w:sz w:val="18"/>
                <w:szCs w:val="18"/>
                <w:lang w:eastAsia="zh-CN"/>
              </w:rPr>
              <w:t>38</w:t>
            </w:r>
          </w:p>
        </w:tc>
        <w:tc>
          <w:tcPr>
            <w:tcW w:w="1122" w:type="dxa"/>
            <w:tcBorders>
              <w:top w:val="single" w:sz="4" w:space="0" w:color="000000"/>
              <w:bottom w:val="single" w:sz="4" w:space="0" w:color="000000"/>
            </w:tcBorders>
            <w:shd w:val="clear" w:color="auto" w:fill="auto"/>
            <w:vAlign w:val="bottom"/>
            <w:hideMark/>
          </w:tcPr>
          <w:p w14:paraId="0B5A0424" w14:textId="77777777" w:rsidR="00765FAF" w:rsidRPr="00765FAF" w:rsidRDefault="00765FAF" w:rsidP="00D17694">
            <w:pPr>
              <w:suppressAutoHyphens w:val="0"/>
              <w:spacing w:before="40" w:after="40" w:line="220" w:lineRule="exact"/>
              <w:jc w:val="right"/>
              <w:rPr>
                <w:sz w:val="18"/>
                <w:szCs w:val="18"/>
                <w:lang w:eastAsia="zh-CN"/>
              </w:rPr>
            </w:pPr>
            <w:r w:rsidRPr="00765FAF">
              <w:rPr>
                <w:sz w:val="18"/>
                <w:szCs w:val="18"/>
                <w:lang w:eastAsia="zh-CN"/>
              </w:rPr>
              <w:t>32</w:t>
            </w:r>
          </w:p>
        </w:tc>
        <w:tc>
          <w:tcPr>
            <w:tcW w:w="1122" w:type="dxa"/>
            <w:tcBorders>
              <w:top w:val="single" w:sz="4" w:space="0" w:color="000000"/>
              <w:bottom w:val="single" w:sz="4" w:space="0" w:color="000000"/>
            </w:tcBorders>
            <w:shd w:val="clear" w:color="auto" w:fill="auto"/>
            <w:vAlign w:val="bottom"/>
            <w:hideMark/>
          </w:tcPr>
          <w:p w14:paraId="175D7D1F" w14:textId="77777777" w:rsidR="00765FAF" w:rsidRPr="00765FAF" w:rsidRDefault="00765FAF" w:rsidP="00D17694">
            <w:pPr>
              <w:suppressAutoHyphens w:val="0"/>
              <w:spacing w:before="40" w:after="40" w:line="220" w:lineRule="exact"/>
              <w:jc w:val="right"/>
              <w:rPr>
                <w:sz w:val="18"/>
                <w:szCs w:val="18"/>
                <w:lang w:eastAsia="zh-CN"/>
              </w:rPr>
            </w:pPr>
            <w:r w:rsidRPr="00765FAF">
              <w:rPr>
                <w:sz w:val="18"/>
                <w:szCs w:val="18"/>
                <w:lang w:eastAsia="zh-CN"/>
              </w:rPr>
              <w:t>6</w:t>
            </w:r>
          </w:p>
        </w:tc>
        <w:tc>
          <w:tcPr>
            <w:tcW w:w="1236" w:type="dxa"/>
            <w:tcBorders>
              <w:top w:val="single" w:sz="4" w:space="0" w:color="000000"/>
              <w:bottom w:val="single" w:sz="4" w:space="0" w:color="000000"/>
            </w:tcBorders>
            <w:shd w:val="clear" w:color="auto" w:fill="auto"/>
            <w:vAlign w:val="bottom"/>
            <w:hideMark/>
          </w:tcPr>
          <w:p w14:paraId="7895CFE5" w14:textId="77777777" w:rsidR="00765FAF" w:rsidRPr="00765FAF" w:rsidRDefault="00765FAF" w:rsidP="00D17694">
            <w:pPr>
              <w:suppressAutoHyphens w:val="0"/>
              <w:spacing w:before="40" w:after="40" w:line="220" w:lineRule="exact"/>
              <w:jc w:val="right"/>
              <w:rPr>
                <w:b/>
                <w:bCs/>
                <w:sz w:val="18"/>
                <w:szCs w:val="18"/>
                <w:lang w:eastAsia="zh-CN"/>
              </w:rPr>
            </w:pPr>
            <w:r w:rsidRPr="00765FAF">
              <w:rPr>
                <w:b/>
                <w:bCs/>
                <w:sz w:val="18"/>
                <w:szCs w:val="18"/>
                <w:lang w:eastAsia="zh-CN"/>
              </w:rPr>
              <w:t>83%</w:t>
            </w:r>
          </w:p>
        </w:tc>
        <w:tc>
          <w:tcPr>
            <w:tcW w:w="1236" w:type="dxa"/>
            <w:tcBorders>
              <w:top w:val="single" w:sz="4" w:space="0" w:color="000000"/>
              <w:bottom w:val="single" w:sz="4" w:space="0" w:color="000000"/>
            </w:tcBorders>
            <w:shd w:val="clear" w:color="auto" w:fill="auto"/>
            <w:vAlign w:val="bottom"/>
            <w:hideMark/>
          </w:tcPr>
          <w:p w14:paraId="265588E4" w14:textId="77777777" w:rsidR="00765FAF" w:rsidRPr="00765FAF" w:rsidRDefault="00765FAF" w:rsidP="00D17694">
            <w:pPr>
              <w:suppressAutoHyphens w:val="0"/>
              <w:spacing w:before="40" w:after="40" w:line="220" w:lineRule="exact"/>
              <w:jc w:val="right"/>
              <w:rPr>
                <w:b/>
                <w:bCs/>
                <w:sz w:val="18"/>
                <w:szCs w:val="18"/>
                <w:lang w:eastAsia="zh-CN"/>
              </w:rPr>
            </w:pPr>
            <w:r w:rsidRPr="00765FAF">
              <w:rPr>
                <w:b/>
                <w:bCs/>
                <w:sz w:val="18"/>
                <w:szCs w:val="18"/>
                <w:lang w:eastAsia="zh-CN"/>
              </w:rPr>
              <w:t>70%</w:t>
            </w:r>
          </w:p>
        </w:tc>
        <w:tc>
          <w:tcPr>
            <w:tcW w:w="1122" w:type="dxa"/>
            <w:tcBorders>
              <w:top w:val="single" w:sz="4" w:space="0" w:color="000000"/>
              <w:bottom w:val="single" w:sz="4" w:space="0" w:color="000000"/>
            </w:tcBorders>
            <w:shd w:val="clear" w:color="auto" w:fill="auto"/>
            <w:vAlign w:val="bottom"/>
            <w:hideMark/>
          </w:tcPr>
          <w:p w14:paraId="3A7160AE" w14:textId="77777777" w:rsidR="00765FAF" w:rsidRPr="00765FAF" w:rsidRDefault="00765FAF" w:rsidP="00D17694">
            <w:pPr>
              <w:suppressAutoHyphens w:val="0"/>
              <w:spacing w:before="40" w:after="40" w:line="220" w:lineRule="exact"/>
              <w:jc w:val="right"/>
              <w:rPr>
                <w:b/>
                <w:bCs/>
                <w:sz w:val="18"/>
                <w:szCs w:val="18"/>
                <w:lang w:eastAsia="zh-CN"/>
              </w:rPr>
            </w:pPr>
          </w:p>
        </w:tc>
        <w:tc>
          <w:tcPr>
            <w:tcW w:w="940" w:type="dxa"/>
            <w:tcBorders>
              <w:top w:val="single" w:sz="4" w:space="0" w:color="000000"/>
              <w:bottom w:val="single" w:sz="4" w:space="0" w:color="000000"/>
            </w:tcBorders>
            <w:shd w:val="clear" w:color="auto" w:fill="auto"/>
            <w:vAlign w:val="bottom"/>
            <w:hideMark/>
          </w:tcPr>
          <w:p w14:paraId="2A96C27D" w14:textId="77777777" w:rsidR="00765FAF" w:rsidRPr="00765FAF" w:rsidRDefault="00765FAF" w:rsidP="00D17694">
            <w:pPr>
              <w:suppressAutoHyphens w:val="0"/>
              <w:spacing w:before="40" w:after="40" w:line="220" w:lineRule="exact"/>
              <w:jc w:val="right"/>
              <w:rPr>
                <w:b/>
                <w:bCs/>
                <w:sz w:val="18"/>
                <w:szCs w:val="18"/>
                <w:lang w:eastAsia="zh-CN"/>
              </w:rPr>
            </w:pPr>
            <w:r w:rsidRPr="00765FAF">
              <w:rPr>
                <w:b/>
                <w:bCs/>
                <w:sz w:val="18"/>
                <w:szCs w:val="18"/>
                <w:lang w:eastAsia="zh-CN"/>
              </w:rPr>
              <w:t>0%</w:t>
            </w:r>
          </w:p>
        </w:tc>
      </w:tr>
      <w:tr w:rsidR="00B1378B" w:rsidRPr="00D17694" w14:paraId="09FAE3B3" w14:textId="77777777" w:rsidTr="00B1378B">
        <w:tc>
          <w:tcPr>
            <w:tcW w:w="1701" w:type="dxa"/>
            <w:tcBorders>
              <w:top w:val="single" w:sz="4" w:space="0" w:color="000000"/>
              <w:bottom w:val="single" w:sz="4" w:space="0" w:color="000000"/>
            </w:tcBorders>
            <w:shd w:val="clear" w:color="auto" w:fill="auto"/>
            <w:hideMark/>
          </w:tcPr>
          <w:p w14:paraId="1C88D280" w14:textId="77777777" w:rsidR="00765FAF" w:rsidRPr="00765FAF" w:rsidRDefault="00765FAF" w:rsidP="00D17694">
            <w:pPr>
              <w:suppressAutoHyphens w:val="0"/>
              <w:spacing w:before="40" w:after="40" w:line="220" w:lineRule="exact"/>
              <w:rPr>
                <w:b/>
                <w:bCs/>
                <w:sz w:val="18"/>
                <w:szCs w:val="18"/>
                <w:lang w:eastAsia="zh-CN"/>
              </w:rPr>
            </w:pPr>
            <w:r w:rsidRPr="00765FAF">
              <w:rPr>
                <w:b/>
                <w:bCs/>
                <w:sz w:val="18"/>
                <w:szCs w:val="18"/>
                <w:lang w:eastAsia="zh-CN"/>
              </w:rPr>
              <w:t>5. The Economic and Social Council</w:t>
            </w:r>
          </w:p>
        </w:tc>
        <w:tc>
          <w:tcPr>
            <w:tcW w:w="517" w:type="dxa"/>
            <w:tcBorders>
              <w:top w:val="single" w:sz="4" w:space="0" w:color="000000"/>
              <w:bottom w:val="single" w:sz="4" w:space="0" w:color="000000"/>
            </w:tcBorders>
            <w:shd w:val="clear" w:color="auto" w:fill="auto"/>
            <w:vAlign w:val="bottom"/>
            <w:hideMark/>
          </w:tcPr>
          <w:p w14:paraId="48003844" w14:textId="77777777" w:rsidR="00765FAF" w:rsidRPr="00765FAF" w:rsidRDefault="00765FAF" w:rsidP="00D17694">
            <w:pPr>
              <w:suppressAutoHyphens w:val="0"/>
              <w:spacing w:before="40" w:after="40" w:line="220" w:lineRule="exact"/>
              <w:jc w:val="right"/>
              <w:rPr>
                <w:b/>
                <w:bCs/>
                <w:sz w:val="18"/>
                <w:szCs w:val="18"/>
                <w:lang w:eastAsia="zh-CN"/>
              </w:rPr>
            </w:pPr>
            <w:r w:rsidRPr="00765FAF">
              <w:rPr>
                <w:b/>
                <w:bCs/>
                <w:sz w:val="18"/>
                <w:szCs w:val="18"/>
                <w:lang w:eastAsia="zh-CN"/>
              </w:rPr>
              <w:t>35</w:t>
            </w:r>
          </w:p>
        </w:tc>
        <w:tc>
          <w:tcPr>
            <w:tcW w:w="641" w:type="dxa"/>
            <w:tcBorders>
              <w:top w:val="single" w:sz="4" w:space="0" w:color="000000"/>
              <w:bottom w:val="single" w:sz="4" w:space="0" w:color="000000"/>
            </w:tcBorders>
            <w:shd w:val="clear" w:color="auto" w:fill="auto"/>
            <w:vAlign w:val="bottom"/>
            <w:hideMark/>
          </w:tcPr>
          <w:p w14:paraId="4B7B5248" w14:textId="77777777" w:rsidR="00765FAF" w:rsidRPr="00765FAF" w:rsidRDefault="00765FAF" w:rsidP="00D17694">
            <w:pPr>
              <w:suppressAutoHyphens w:val="0"/>
              <w:spacing w:before="40" w:after="40" w:line="220" w:lineRule="exact"/>
              <w:jc w:val="right"/>
              <w:rPr>
                <w:b/>
                <w:bCs/>
                <w:sz w:val="18"/>
                <w:szCs w:val="18"/>
                <w:lang w:eastAsia="zh-CN"/>
              </w:rPr>
            </w:pPr>
            <w:r w:rsidRPr="00765FAF">
              <w:rPr>
                <w:b/>
                <w:bCs/>
                <w:sz w:val="18"/>
                <w:szCs w:val="18"/>
                <w:lang w:eastAsia="zh-CN"/>
              </w:rPr>
              <w:t>35</w:t>
            </w:r>
          </w:p>
        </w:tc>
        <w:tc>
          <w:tcPr>
            <w:tcW w:w="1122" w:type="dxa"/>
            <w:tcBorders>
              <w:top w:val="single" w:sz="4" w:space="0" w:color="000000"/>
              <w:bottom w:val="single" w:sz="4" w:space="0" w:color="000000"/>
            </w:tcBorders>
            <w:shd w:val="clear" w:color="auto" w:fill="auto"/>
            <w:vAlign w:val="bottom"/>
            <w:hideMark/>
          </w:tcPr>
          <w:p w14:paraId="55107C3B" w14:textId="77777777" w:rsidR="00765FAF" w:rsidRPr="00765FAF" w:rsidRDefault="00765FAF" w:rsidP="00D17694">
            <w:pPr>
              <w:suppressAutoHyphens w:val="0"/>
              <w:spacing w:before="40" w:after="40" w:line="220" w:lineRule="exact"/>
              <w:jc w:val="right"/>
              <w:rPr>
                <w:b/>
                <w:bCs/>
                <w:sz w:val="18"/>
                <w:szCs w:val="18"/>
                <w:lang w:eastAsia="zh-CN"/>
              </w:rPr>
            </w:pPr>
            <w:r w:rsidRPr="00765FAF">
              <w:rPr>
                <w:b/>
                <w:bCs/>
                <w:sz w:val="18"/>
                <w:szCs w:val="18"/>
                <w:lang w:eastAsia="zh-CN"/>
              </w:rPr>
              <w:t>35</w:t>
            </w:r>
          </w:p>
        </w:tc>
        <w:tc>
          <w:tcPr>
            <w:tcW w:w="1122" w:type="dxa"/>
            <w:tcBorders>
              <w:top w:val="single" w:sz="4" w:space="0" w:color="000000"/>
              <w:bottom w:val="single" w:sz="4" w:space="0" w:color="000000"/>
            </w:tcBorders>
            <w:shd w:val="clear" w:color="auto" w:fill="auto"/>
            <w:vAlign w:val="bottom"/>
            <w:hideMark/>
          </w:tcPr>
          <w:p w14:paraId="747AC8BC" w14:textId="77777777" w:rsidR="00765FAF" w:rsidRPr="00765FAF" w:rsidRDefault="00765FAF" w:rsidP="00D17694">
            <w:pPr>
              <w:suppressAutoHyphens w:val="0"/>
              <w:spacing w:before="40" w:after="40" w:line="220" w:lineRule="exact"/>
              <w:jc w:val="right"/>
              <w:rPr>
                <w:b/>
                <w:bCs/>
                <w:sz w:val="18"/>
                <w:szCs w:val="18"/>
                <w:lang w:eastAsia="zh-CN"/>
              </w:rPr>
            </w:pPr>
            <w:r w:rsidRPr="00765FAF">
              <w:rPr>
                <w:b/>
                <w:bCs/>
                <w:sz w:val="18"/>
                <w:szCs w:val="18"/>
                <w:lang w:eastAsia="zh-CN"/>
              </w:rPr>
              <w:t>0</w:t>
            </w:r>
          </w:p>
        </w:tc>
        <w:tc>
          <w:tcPr>
            <w:tcW w:w="1236" w:type="dxa"/>
            <w:tcBorders>
              <w:top w:val="single" w:sz="4" w:space="0" w:color="000000"/>
              <w:bottom w:val="single" w:sz="4" w:space="0" w:color="000000"/>
            </w:tcBorders>
            <w:shd w:val="clear" w:color="auto" w:fill="auto"/>
            <w:vAlign w:val="bottom"/>
            <w:hideMark/>
          </w:tcPr>
          <w:p w14:paraId="2573C451" w14:textId="77777777" w:rsidR="00765FAF" w:rsidRPr="00765FAF" w:rsidRDefault="00765FAF" w:rsidP="00D17694">
            <w:pPr>
              <w:suppressAutoHyphens w:val="0"/>
              <w:spacing w:before="40" w:after="40" w:line="220" w:lineRule="exact"/>
              <w:jc w:val="right"/>
              <w:rPr>
                <w:b/>
                <w:bCs/>
                <w:sz w:val="18"/>
                <w:szCs w:val="18"/>
                <w:lang w:eastAsia="zh-CN"/>
              </w:rPr>
            </w:pPr>
            <w:r w:rsidRPr="00765FAF">
              <w:rPr>
                <w:b/>
                <w:bCs/>
                <w:sz w:val="18"/>
                <w:szCs w:val="18"/>
                <w:lang w:eastAsia="zh-CN"/>
              </w:rPr>
              <w:t>100%</w:t>
            </w:r>
          </w:p>
        </w:tc>
        <w:tc>
          <w:tcPr>
            <w:tcW w:w="1236" w:type="dxa"/>
            <w:tcBorders>
              <w:top w:val="single" w:sz="4" w:space="0" w:color="000000"/>
              <w:bottom w:val="single" w:sz="4" w:space="0" w:color="000000"/>
            </w:tcBorders>
            <w:shd w:val="clear" w:color="auto" w:fill="auto"/>
            <w:vAlign w:val="bottom"/>
            <w:hideMark/>
          </w:tcPr>
          <w:p w14:paraId="653F202E" w14:textId="77777777" w:rsidR="00765FAF" w:rsidRPr="00765FAF" w:rsidRDefault="00765FAF" w:rsidP="00D17694">
            <w:pPr>
              <w:suppressAutoHyphens w:val="0"/>
              <w:spacing w:before="40" w:after="40" w:line="220" w:lineRule="exact"/>
              <w:jc w:val="right"/>
              <w:rPr>
                <w:b/>
                <w:bCs/>
                <w:sz w:val="18"/>
                <w:szCs w:val="18"/>
                <w:lang w:eastAsia="zh-CN"/>
              </w:rPr>
            </w:pPr>
            <w:r w:rsidRPr="00765FAF">
              <w:rPr>
                <w:b/>
                <w:bCs/>
                <w:sz w:val="18"/>
                <w:szCs w:val="18"/>
                <w:lang w:eastAsia="zh-CN"/>
              </w:rPr>
              <w:t>100%</w:t>
            </w:r>
          </w:p>
        </w:tc>
        <w:tc>
          <w:tcPr>
            <w:tcW w:w="1122" w:type="dxa"/>
            <w:tcBorders>
              <w:top w:val="single" w:sz="4" w:space="0" w:color="000000"/>
              <w:bottom w:val="single" w:sz="4" w:space="0" w:color="000000"/>
            </w:tcBorders>
            <w:shd w:val="clear" w:color="auto" w:fill="auto"/>
            <w:vAlign w:val="bottom"/>
            <w:hideMark/>
          </w:tcPr>
          <w:p w14:paraId="41C26CDD" w14:textId="77777777" w:rsidR="00765FAF" w:rsidRPr="00765FAF" w:rsidRDefault="00765FAF" w:rsidP="00D17694">
            <w:pPr>
              <w:suppressAutoHyphens w:val="0"/>
              <w:spacing w:before="40" w:after="40" w:line="220" w:lineRule="exact"/>
              <w:jc w:val="right"/>
              <w:rPr>
                <w:b/>
                <w:bCs/>
                <w:sz w:val="18"/>
                <w:szCs w:val="18"/>
                <w:lang w:eastAsia="zh-CN"/>
              </w:rPr>
            </w:pPr>
            <w:r w:rsidRPr="00765FAF">
              <w:rPr>
                <w:b/>
                <w:bCs/>
                <w:sz w:val="18"/>
                <w:szCs w:val="18"/>
                <w:lang w:eastAsia="zh-CN"/>
              </w:rPr>
              <w:t>9</w:t>
            </w:r>
          </w:p>
        </w:tc>
        <w:tc>
          <w:tcPr>
            <w:tcW w:w="940" w:type="dxa"/>
            <w:tcBorders>
              <w:top w:val="single" w:sz="4" w:space="0" w:color="000000"/>
              <w:bottom w:val="single" w:sz="4" w:space="0" w:color="000000"/>
            </w:tcBorders>
            <w:shd w:val="clear" w:color="auto" w:fill="auto"/>
            <w:vAlign w:val="bottom"/>
            <w:hideMark/>
          </w:tcPr>
          <w:p w14:paraId="5AD72031" w14:textId="77777777" w:rsidR="00765FAF" w:rsidRPr="00765FAF" w:rsidRDefault="00765FAF" w:rsidP="00D17694">
            <w:pPr>
              <w:suppressAutoHyphens w:val="0"/>
              <w:spacing w:before="40" w:after="40" w:line="220" w:lineRule="exact"/>
              <w:jc w:val="right"/>
              <w:rPr>
                <w:b/>
                <w:bCs/>
                <w:sz w:val="18"/>
                <w:szCs w:val="18"/>
                <w:lang w:eastAsia="zh-CN"/>
              </w:rPr>
            </w:pPr>
            <w:r w:rsidRPr="00765FAF">
              <w:rPr>
                <w:b/>
                <w:bCs/>
                <w:sz w:val="18"/>
                <w:szCs w:val="18"/>
                <w:lang w:eastAsia="zh-CN"/>
              </w:rPr>
              <w:t>26%</w:t>
            </w:r>
          </w:p>
        </w:tc>
      </w:tr>
      <w:tr w:rsidR="00D17694" w:rsidRPr="00D17694" w14:paraId="2A9E8152" w14:textId="77777777" w:rsidTr="00B1378B">
        <w:tc>
          <w:tcPr>
            <w:tcW w:w="1701" w:type="dxa"/>
            <w:tcBorders>
              <w:top w:val="single" w:sz="4" w:space="0" w:color="000000"/>
              <w:bottom w:val="single" w:sz="4" w:space="0" w:color="000000"/>
            </w:tcBorders>
            <w:shd w:val="clear" w:color="auto" w:fill="auto"/>
            <w:hideMark/>
          </w:tcPr>
          <w:p w14:paraId="78FE1314" w14:textId="77777777" w:rsidR="00765FAF" w:rsidRPr="00765FAF" w:rsidRDefault="00765FAF" w:rsidP="00D17694">
            <w:pPr>
              <w:suppressAutoHyphens w:val="0"/>
              <w:spacing w:before="40" w:after="40" w:line="220" w:lineRule="exact"/>
              <w:rPr>
                <w:sz w:val="18"/>
                <w:szCs w:val="18"/>
                <w:lang w:eastAsia="zh-CN"/>
              </w:rPr>
            </w:pPr>
            <w:r w:rsidRPr="00765FAF">
              <w:rPr>
                <w:sz w:val="18"/>
                <w:szCs w:val="18"/>
                <w:lang w:eastAsia="zh-CN"/>
              </w:rPr>
              <w:t xml:space="preserve">a. Committee of Experts on the </w:t>
            </w:r>
            <w:r w:rsidRPr="00765FAF">
              <w:rPr>
                <w:sz w:val="18"/>
                <w:szCs w:val="18"/>
                <w:lang w:eastAsia="zh-CN"/>
              </w:rPr>
              <w:lastRenderedPageBreak/>
              <w:t>Transport of Dangerous Goods and on the Globally Harmonized System of Classification and Labelling of Chemicals</w:t>
            </w:r>
          </w:p>
        </w:tc>
        <w:tc>
          <w:tcPr>
            <w:tcW w:w="517" w:type="dxa"/>
            <w:tcBorders>
              <w:top w:val="single" w:sz="4" w:space="0" w:color="000000"/>
              <w:bottom w:val="single" w:sz="4" w:space="0" w:color="000000"/>
            </w:tcBorders>
            <w:shd w:val="clear" w:color="auto" w:fill="auto"/>
            <w:vAlign w:val="bottom"/>
            <w:hideMark/>
          </w:tcPr>
          <w:p w14:paraId="462EEA4A" w14:textId="77777777" w:rsidR="00765FAF" w:rsidRPr="00765FAF" w:rsidRDefault="00765FAF" w:rsidP="00D17694">
            <w:pPr>
              <w:suppressAutoHyphens w:val="0"/>
              <w:spacing w:before="40" w:after="40" w:line="220" w:lineRule="exact"/>
              <w:jc w:val="right"/>
              <w:rPr>
                <w:sz w:val="18"/>
                <w:szCs w:val="18"/>
                <w:lang w:eastAsia="zh-CN"/>
              </w:rPr>
            </w:pPr>
            <w:r w:rsidRPr="00765FAF">
              <w:rPr>
                <w:sz w:val="18"/>
                <w:szCs w:val="18"/>
                <w:lang w:eastAsia="zh-CN"/>
              </w:rPr>
              <w:lastRenderedPageBreak/>
              <w:t>0</w:t>
            </w:r>
          </w:p>
        </w:tc>
        <w:tc>
          <w:tcPr>
            <w:tcW w:w="641" w:type="dxa"/>
            <w:tcBorders>
              <w:top w:val="single" w:sz="4" w:space="0" w:color="000000"/>
              <w:bottom w:val="single" w:sz="4" w:space="0" w:color="000000"/>
            </w:tcBorders>
            <w:shd w:val="clear" w:color="auto" w:fill="auto"/>
            <w:vAlign w:val="bottom"/>
            <w:hideMark/>
          </w:tcPr>
          <w:p w14:paraId="10DEF4D3" w14:textId="77777777" w:rsidR="00765FAF" w:rsidRPr="00765FAF" w:rsidRDefault="00765FAF" w:rsidP="00D17694">
            <w:pPr>
              <w:suppressAutoHyphens w:val="0"/>
              <w:spacing w:before="40" w:after="40" w:line="220" w:lineRule="exact"/>
              <w:jc w:val="right"/>
              <w:rPr>
                <w:sz w:val="18"/>
                <w:szCs w:val="18"/>
                <w:lang w:eastAsia="zh-CN"/>
              </w:rPr>
            </w:pPr>
            <w:r w:rsidRPr="00765FAF">
              <w:rPr>
                <w:sz w:val="18"/>
                <w:szCs w:val="18"/>
                <w:lang w:eastAsia="zh-CN"/>
              </w:rPr>
              <w:t>0</w:t>
            </w:r>
          </w:p>
        </w:tc>
        <w:tc>
          <w:tcPr>
            <w:tcW w:w="1122" w:type="dxa"/>
            <w:tcBorders>
              <w:top w:val="single" w:sz="4" w:space="0" w:color="000000"/>
              <w:bottom w:val="single" w:sz="4" w:space="0" w:color="000000"/>
            </w:tcBorders>
            <w:shd w:val="clear" w:color="auto" w:fill="auto"/>
            <w:vAlign w:val="bottom"/>
            <w:hideMark/>
          </w:tcPr>
          <w:p w14:paraId="5462F142" w14:textId="77777777" w:rsidR="00765FAF" w:rsidRPr="00765FAF" w:rsidRDefault="00765FAF" w:rsidP="00D17694">
            <w:pPr>
              <w:suppressAutoHyphens w:val="0"/>
              <w:spacing w:before="40" w:after="40" w:line="220" w:lineRule="exact"/>
              <w:jc w:val="right"/>
              <w:rPr>
                <w:sz w:val="18"/>
                <w:szCs w:val="18"/>
                <w:lang w:eastAsia="zh-CN"/>
              </w:rPr>
            </w:pPr>
            <w:r w:rsidRPr="00765FAF">
              <w:rPr>
                <w:sz w:val="18"/>
                <w:szCs w:val="18"/>
                <w:lang w:eastAsia="zh-CN"/>
              </w:rPr>
              <w:t>0</w:t>
            </w:r>
          </w:p>
        </w:tc>
        <w:tc>
          <w:tcPr>
            <w:tcW w:w="1122" w:type="dxa"/>
            <w:tcBorders>
              <w:top w:val="single" w:sz="4" w:space="0" w:color="000000"/>
              <w:bottom w:val="single" w:sz="4" w:space="0" w:color="000000"/>
            </w:tcBorders>
            <w:shd w:val="clear" w:color="auto" w:fill="auto"/>
            <w:vAlign w:val="bottom"/>
            <w:hideMark/>
          </w:tcPr>
          <w:p w14:paraId="72CE4A10" w14:textId="77777777" w:rsidR="00765FAF" w:rsidRPr="00765FAF" w:rsidRDefault="00765FAF" w:rsidP="00D17694">
            <w:pPr>
              <w:suppressAutoHyphens w:val="0"/>
              <w:spacing w:before="40" w:after="40" w:line="220" w:lineRule="exact"/>
              <w:jc w:val="right"/>
              <w:rPr>
                <w:sz w:val="18"/>
                <w:szCs w:val="18"/>
                <w:lang w:eastAsia="zh-CN"/>
              </w:rPr>
            </w:pPr>
          </w:p>
        </w:tc>
        <w:tc>
          <w:tcPr>
            <w:tcW w:w="1236" w:type="dxa"/>
            <w:tcBorders>
              <w:top w:val="single" w:sz="4" w:space="0" w:color="000000"/>
              <w:bottom w:val="single" w:sz="4" w:space="0" w:color="000000"/>
            </w:tcBorders>
            <w:shd w:val="clear" w:color="auto" w:fill="auto"/>
            <w:vAlign w:val="bottom"/>
            <w:hideMark/>
          </w:tcPr>
          <w:p w14:paraId="6EFC46E3" w14:textId="77777777" w:rsidR="00765FAF" w:rsidRPr="00765FAF" w:rsidRDefault="00765FAF" w:rsidP="00D17694">
            <w:pPr>
              <w:suppressAutoHyphens w:val="0"/>
              <w:spacing w:before="40" w:after="40" w:line="220" w:lineRule="exact"/>
              <w:jc w:val="right"/>
              <w:rPr>
                <w:sz w:val="18"/>
                <w:szCs w:val="18"/>
                <w:lang w:eastAsia="zh-CN"/>
              </w:rPr>
            </w:pPr>
          </w:p>
        </w:tc>
        <w:tc>
          <w:tcPr>
            <w:tcW w:w="1236" w:type="dxa"/>
            <w:tcBorders>
              <w:top w:val="single" w:sz="4" w:space="0" w:color="000000"/>
              <w:bottom w:val="single" w:sz="4" w:space="0" w:color="000000"/>
            </w:tcBorders>
            <w:shd w:val="clear" w:color="auto" w:fill="auto"/>
            <w:vAlign w:val="bottom"/>
            <w:hideMark/>
          </w:tcPr>
          <w:p w14:paraId="5F387510" w14:textId="77777777" w:rsidR="00765FAF" w:rsidRPr="00765FAF" w:rsidRDefault="00765FAF" w:rsidP="00D17694">
            <w:pPr>
              <w:suppressAutoHyphens w:val="0"/>
              <w:spacing w:before="40" w:after="40" w:line="220" w:lineRule="exact"/>
              <w:jc w:val="right"/>
              <w:rPr>
                <w:sz w:val="18"/>
                <w:szCs w:val="18"/>
                <w:lang w:eastAsia="zh-CN"/>
              </w:rPr>
            </w:pPr>
          </w:p>
        </w:tc>
        <w:tc>
          <w:tcPr>
            <w:tcW w:w="1122" w:type="dxa"/>
            <w:tcBorders>
              <w:top w:val="single" w:sz="4" w:space="0" w:color="000000"/>
              <w:bottom w:val="single" w:sz="4" w:space="0" w:color="000000"/>
            </w:tcBorders>
            <w:shd w:val="clear" w:color="auto" w:fill="auto"/>
            <w:vAlign w:val="bottom"/>
            <w:hideMark/>
          </w:tcPr>
          <w:p w14:paraId="13EFD7BC" w14:textId="77777777" w:rsidR="00765FAF" w:rsidRPr="00765FAF" w:rsidRDefault="00765FAF" w:rsidP="00D17694">
            <w:pPr>
              <w:suppressAutoHyphens w:val="0"/>
              <w:spacing w:before="40" w:after="40" w:line="220" w:lineRule="exact"/>
              <w:jc w:val="right"/>
              <w:rPr>
                <w:sz w:val="18"/>
                <w:szCs w:val="18"/>
                <w:lang w:eastAsia="zh-CN"/>
              </w:rPr>
            </w:pPr>
          </w:p>
        </w:tc>
        <w:tc>
          <w:tcPr>
            <w:tcW w:w="940" w:type="dxa"/>
            <w:tcBorders>
              <w:top w:val="single" w:sz="4" w:space="0" w:color="000000"/>
              <w:bottom w:val="single" w:sz="4" w:space="0" w:color="000000"/>
            </w:tcBorders>
            <w:shd w:val="clear" w:color="auto" w:fill="auto"/>
            <w:vAlign w:val="bottom"/>
            <w:hideMark/>
          </w:tcPr>
          <w:p w14:paraId="7333F081" w14:textId="77777777" w:rsidR="00765FAF" w:rsidRPr="00765FAF" w:rsidRDefault="00765FAF" w:rsidP="00D17694">
            <w:pPr>
              <w:suppressAutoHyphens w:val="0"/>
              <w:spacing w:before="40" w:after="40" w:line="220" w:lineRule="exact"/>
              <w:jc w:val="right"/>
              <w:rPr>
                <w:sz w:val="18"/>
                <w:szCs w:val="18"/>
                <w:lang w:eastAsia="zh-CN"/>
              </w:rPr>
            </w:pPr>
          </w:p>
        </w:tc>
      </w:tr>
      <w:tr w:rsidR="00B1378B" w:rsidRPr="00D17694" w14:paraId="74E36BFA" w14:textId="77777777" w:rsidTr="00B1378B">
        <w:tc>
          <w:tcPr>
            <w:tcW w:w="1701" w:type="dxa"/>
            <w:tcBorders>
              <w:top w:val="single" w:sz="4" w:space="0" w:color="000000"/>
              <w:bottom w:val="single" w:sz="4" w:space="0" w:color="000000"/>
            </w:tcBorders>
            <w:shd w:val="clear" w:color="auto" w:fill="auto"/>
            <w:hideMark/>
          </w:tcPr>
          <w:p w14:paraId="1DD3F564" w14:textId="77777777" w:rsidR="00765FAF" w:rsidRPr="00765FAF" w:rsidRDefault="00765FAF" w:rsidP="00D17694">
            <w:pPr>
              <w:suppressAutoHyphens w:val="0"/>
              <w:spacing w:before="40" w:after="40" w:line="220" w:lineRule="exact"/>
              <w:rPr>
                <w:sz w:val="18"/>
                <w:szCs w:val="18"/>
                <w:lang w:eastAsia="zh-CN"/>
              </w:rPr>
            </w:pPr>
            <w:r w:rsidRPr="00765FAF">
              <w:rPr>
                <w:sz w:val="18"/>
                <w:szCs w:val="18"/>
                <w:lang w:eastAsia="zh-CN"/>
              </w:rPr>
              <w:t>b. Subcommittee of Experts on the Transport of Dangerous Goods</w:t>
            </w:r>
          </w:p>
        </w:tc>
        <w:tc>
          <w:tcPr>
            <w:tcW w:w="517" w:type="dxa"/>
            <w:tcBorders>
              <w:top w:val="single" w:sz="4" w:space="0" w:color="000000"/>
              <w:bottom w:val="single" w:sz="4" w:space="0" w:color="000000"/>
            </w:tcBorders>
            <w:shd w:val="clear" w:color="auto" w:fill="auto"/>
            <w:vAlign w:val="bottom"/>
            <w:hideMark/>
          </w:tcPr>
          <w:p w14:paraId="6779C58F" w14:textId="77777777" w:rsidR="00765FAF" w:rsidRPr="00765FAF" w:rsidRDefault="00765FAF" w:rsidP="00D17694">
            <w:pPr>
              <w:suppressAutoHyphens w:val="0"/>
              <w:spacing w:before="40" w:after="40" w:line="220" w:lineRule="exact"/>
              <w:jc w:val="right"/>
              <w:rPr>
                <w:sz w:val="18"/>
                <w:szCs w:val="18"/>
                <w:lang w:eastAsia="zh-CN"/>
              </w:rPr>
            </w:pPr>
            <w:r w:rsidRPr="00765FAF">
              <w:rPr>
                <w:sz w:val="18"/>
                <w:szCs w:val="18"/>
                <w:lang w:eastAsia="zh-CN"/>
              </w:rPr>
              <w:t>25</w:t>
            </w:r>
          </w:p>
        </w:tc>
        <w:tc>
          <w:tcPr>
            <w:tcW w:w="641" w:type="dxa"/>
            <w:tcBorders>
              <w:top w:val="single" w:sz="4" w:space="0" w:color="000000"/>
              <w:bottom w:val="single" w:sz="4" w:space="0" w:color="000000"/>
            </w:tcBorders>
            <w:shd w:val="clear" w:color="auto" w:fill="auto"/>
            <w:vAlign w:val="bottom"/>
            <w:hideMark/>
          </w:tcPr>
          <w:p w14:paraId="459CDCAF" w14:textId="77777777" w:rsidR="00765FAF" w:rsidRPr="00765FAF" w:rsidRDefault="00765FAF" w:rsidP="00D17694">
            <w:pPr>
              <w:suppressAutoHyphens w:val="0"/>
              <w:spacing w:before="40" w:after="40" w:line="220" w:lineRule="exact"/>
              <w:jc w:val="right"/>
              <w:rPr>
                <w:sz w:val="18"/>
                <w:szCs w:val="18"/>
                <w:lang w:eastAsia="zh-CN"/>
              </w:rPr>
            </w:pPr>
            <w:r w:rsidRPr="00765FAF">
              <w:rPr>
                <w:sz w:val="18"/>
                <w:szCs w:val="18"/>
                <w:lang w:eastAsia="zh-CN"/>
              </w:rPr>
              <w:t>25</w:t>
            </w:r>
          </w:p>
        </w:tc>
        <w:tc>
          <w:tcPr>
            <w:tcW w:w="1122" w:type="dxa"/>
            <w:tcBorders>
              <w:top w:val="single" w:sz="4" w:space="0" w:color="000000"/>
              <w:bottom w:val="single" w:sz="4" w:space="0" w:color="000000"/>
            </w:tcBorders>
            <w:shd w:val="clear" w:color="auto" w:fill="auto"/>
            <w:vAlign w:val="bottom"/>
            <w:hideMark/>
          </w:tcPr>
          <w:p w14:paraId="2DCB0855" w14:textId="77777777" w:rsidR="00765FAF" w:rsidRPr="00765FAF" w:rsidRDefault="00765FAF" w:rsidP="00D17694">
            <w:pPr>
              <w:suppressAutoHyphens w:val="0"/>
              <w:spacing w:before="40" w:after="40" w:line="220" w:lineRule="exact"/>
              <w:jc w:val="right"/>
              <w:rPr>
                <w:sz w:val="18"/>
                <w:szCs w:val="18"/>
                <w:lang w:eastAsia="zh-CN"/>
              </w:rPr>
            </w:pPr>
            <w:r w:rsidRPr="00765FAF">
              <w:rPr>
                <w:sz w:val="18"/>
                <w:szCs w:val="18"/>
                <w:lang w:eastAsia="zh-CN"/>
              </w:rPr>
              <w:t>25</w:t>
            </w:r>
          </w:p>
        </w:tc>
        <w:tc>
          <w:tcPr>
            <w:tcW w:w="1122" w:type="dxa"/>
            <w:tcBorders>
              <w:top w:val="single" w:sz="4" w:space="0" w:color="000000"/>
              <w:bottom w:val="single" w:sz="4" w:space="0" w:color="000000"/>
            </w:tcBorders>
            <w:shd w:val="clear" w:color="auto" w:fill="auto"/>
            <w:vAlign w:val="bottom"/>
            <w:hideMark/>
          </w:tcPr>
          <w:p w14:paraId="610B67CA" w14:textId="77777777" w:rsidR="00765FAF" w:rsidRPr="00765FAF" w:rsidRDefault="00765FAF" w:rsidP="00D17694">
            <w:pPr>
              <w:suppressAutoHyphens w:val="0"/>
              <w:spacing w:before="40" w:after="40" w:line="220" w:lineRule="exact"/>
              <w:jc w:val="right"/>
              <w:rPr>
                <w:sz w:val="18"/>
                <w:szCs w:val="18"/>
                <w:lang w:eastAsia="zh-CN"/>
              </w:rPr>
            </w:pPr>
          </w:p>
        </w:tc>
        <w:tc>
          <w:tcPr>
            <w:tcW w:w="1236" w:type="dxa"/>
            <w:tcBorders>
              <w:top w:val="single" w:sz="4" w:space="0" w:color="000000"/>
              <w:bottom w:val="single" w:sz="4" w:space="0" w:color="000000"/>
            </w:tcBorders>
            <w:shd w:val="clear" w:color="auto" w:fill="auto"/>
            <w:vAlign w:val="bottom"/>
            <w:hideMark/>
          </w:tcPr>
          <w:p w14:paraId="0D999218" w14:textId="77777777" w:rsidR="00765FAF" w:rsidRPr="00765FAF" w:rsidRDefault="00765FAF" w:rsidP="00D17694">
            <w:pPr>
              <w:suppressAutoHyphens w:val="0"/>
              <w:spacing w:before="40" w:after="40" w:line="220" w:lineRule="exact"/>
              <w:jc w:val="right"/>
              <w:rPr>
                <w:b/>
                <w:bCs/>
                <w:sz w:val="18"/>
                <w:szCs w:val="18"/>
                <w:lang w:eastAsia="zh-CN"/>
              </w:rPr>
            </w:pPr>
            <w:r w:rsidRPr="00765FAF">
              <w:rPr>
                <w:b/>
                <w:bCs/>
                <w:sz w:val="18"/>
                <w:szCs w:val="18"/>
                <w:lang w:eastAsia="zh-CN"/>
              </w:rPr>
              <w:t>100%</w:t>
            </w:r>
          </w:p>
        </w:tc>
        <w:tc>
          <w:tcPr>
            <w:tcW w:w="1236" w:type="dxa"/>
            <w:tcBorders>
              <w:top w:val="single" w:sz="4" w:space="0" w:color="000000"/>
              <w:bottom w:val="single" w:sz="4" w:space="0" w:color="000000"/>
            </w:tcBorders>
            <w:shd w:val="clear" w:color="auto" w:fill="auto"/>
            <w:vAlign w:val="bottom"/>
            <w:hideMark/>
          </w:tcPr>
          <w:p w14:paraId="578650CC" w14:textId="77777777" w:rsidR="00765FAF" w:rsidRPr="00765FAF" w:rsidRDefault="00765FAF" w:rsidP="00D17694">
            <w:pPr>
              <w:suppressAutoHyphens w:val="0"/>
              <w:spacing w:before="40" w:after="40" w:line="220" w:lineRule="exact"/>
              <w:jc w:val="right"/>
              <w:rPr>
                <w:b/>
                <w:bCs/>
                <w:sz w:val="18"/>
                <w:szCs w:val="18"/>
                <w:lang w:eastAsia="zh-CN"/>
              </w:rPr>
            </w:pPr>
            <w:r w:rsidRPr="00765FAF">
              <w:rPr>
                <w:b/>
                <w:bCs/>
                <w:sz w:val="18"/>
                <w:szCs w:val="18"/>
                <w:lang w:eastAsia="zh-CN"/>
              </w:rPr>
              <w:t>100%</w:t>
            </w:r>
          </w:p>
        </w:tc>
        <w:tc>
          <w:tcPr>
            <w:tcW w:w="1122" w:type="dxa"/>
            <w:tcBorders>
              <w:top w:val="single" w:sz="4" w:space="0" w:color="000000"/>
              <w:bottom w:val="single" w:sz="4" w:space="0" w:color="000000"/>
            </w:tcBorders>
            <w:shd w:val="clear" w:color="auto" w:fill="auto"/>
            <w:vAlign w:val="bottom"/>
            <w:hideMark/>
          </w:tcPr>
          <w:p w14:paraId="56D69725" w14:textId="77777777" w:rsidR="00765FAF" w:rsidRPr="00765FAF" w:rsidRDefault="00765FAF" w:rsidP="00D17694">
            <w:pPr>
              <w:suppressAutoHyphens w:val="0"/>
              <w:spacing w:before="40" w:after="40" w:line="220" w:lineRule="exact"/>
              <w:jc w:val="right"/>
              <w:rPr>
                <w:sz w:val="18"/>
                <w:szCs w:val="18"/>
                <w:lang w:eastAsia="zh-CN"/>
              </w:rPr>
            </w:pPr>
            <w:r w:rsidRPr="00765FAF">
              <w:rPr>
                <w:sz w:val="18"/>
                <w:szCs w:val="18"/>
                <w:lang w:eastAsia="zh-CN"/>
              </w:rPr>
              <w:t>9</w:t>
            </w:r>
          </w:p>
        </w:tc>
        <w:tc>
          <w:tcPr>
            <w:tcW w:w="940" w:type="dxa"/>
            <w:tcBorders>
              <w:top w:val="single" w:sz="4" w:space="0" w:color="000000"/>
              <w:bottom w:val="single" w:sz="4" w:space="0" w:color="000000"/>
            </w:tcBorders>
            <w:shd w:val="clear" w:color="auto" w:fill="auto"/>
            <w:vAlign w:val="bottom"/>
            <w:hideMark/>
          </w:tcPr>
          <w:p w14:paraId="01715C02" w14:textId="77777777" w:rsidR="00765FAF" w:rsidRPr="00765FAF" w:rsidRDefault="00765FAF" w:rsidP="00D17694">
            <w:pPr>
              <w:suppressAutoHyphens w:val="0"/>
              <w:spacing w:before="40" w:after="40" w:line="220" w:lineRule="exact"/>
              <w:jc w:val="right"/>
              <w:rPr>
                <w:b/>
                <w:bCs/>
                <w:sz w:val="18"/>
                <w:szCs w:val="18"/>
                <w:lang w:eastAsia="zh-CN"/>
              </w:rPr>
            </w:pPr>
            <w:r w:rsidRPr="00765FAF">
              <w:rPr>
                <w:b/>
                <w:bCs/>
                <w:sz w:val="18"/>
                <w:szCs w:val="18"/>
                <w:lang w:eastAsia="zh-CN"/>
              </w:rPr>
              <w:t>36%</w:t>
            </w:r>
          </w:p>
        </w:tc>
      </w:tr>
      <w:tr w:rsidR="00D17694" w:rsidRPr="00D17694" w14:paraId="66718703" w14:textId="77777777" w:rsidTr="00B1378B">
        <w:tc>
          <w:tcPr>
            <w:tcW w:w="1701" w:type="dxa"/>
            <w:tcBorders>
              <w:top w:val="single" w:sz="4" w:space="0" w:color="000000"/>
              <w:bottom w:val="single" w:sz="4" w:space="0" w:color="000000"/>
            </w:tcBorders>
            <w:shd w:val="clear" w:color="auto" w:fill="auto"/>
            <w:hideMark/>
          </w:tcPr>
          <w:p w14:paraId="53B238F3" w14:textId="77777777" w:rsidR="00765FAF" w:rsidRPr="00765FAF" w:rsidRDefault="00765FAF" w:rsidP="00D17694">
            <w:pPr>
              <w:suppressAutoHyphens w:val="0"/>
              <w:spacing w:before="40" w:after="40" w:line="220" w:lineRule="exact"/>
              <w:rPr>
                <w:sz w:val="18"/>
                <w:szCs w:val="18"/>
                <w:lang w:eastAsia="zh-CN"/>
              </w:rPr>
            </w:pPr>
            <w:r w:rsidRPr="00765FAF">
              <w:rPr>
                <w:sz w:val="18"/>
                <w:szCs w:val="18"/>
                <w:lang w:eastAsia="zh-CN"/>
              </w:rPr>
              <w:t>c. Sub-Committee of Experts on the Globally Harmonized System of Classification and Labelling of Chemicals</w:t>
            </w:r>
          </w:p>
        </w:tc>
        <w:tc>
          <w:tcPr>
            <w:tcW w:w="517" w:type="dxa"/>
            <w:tcBorders>
              <w:top w:val="single" w:sz="4" w:space="0" w:color="000000"/>
              <w:bottom w:val="single" w:sz="4" w:space="0" w:color="000000"/>
            </w:tcBorders>
            <w:shd w:val="clear" w:color="auto" w:fill="auto"/>
            <w:vAlign w:val="bottom"/>
            <w:hideMark/>
          </w:tcPr>
          <w:p w14:paraId="773FB3A4" w14:textId="77777777" w:rsidR="00765FAF" w:rsidRPr="00765FAF" w:rsidRDefault="00765FAF" w:rsidP="00D17694">
            <w:pPr>
              <w:suppressAutoHyphens w:val="0"/>
              <w:spacing w:before="40" w:after="40" w:line="220" w:lineRule="exact"/>
              <w:jc w:val="right"/>
              <w:rPr>
                <w:sz w:val="18"/>
                <w:szCs w:val="18"/>
                <w:lang w:eastAsia="zh-CN"/>
              </w:rPr>
            </w:pPr>
            <w:r w:rsidRPr="00765FAF">
              <w:rPr>
                <w:sz w:val="18"/>
                <w:szCs w:val="18"/>
                <w:lang w:eastAsia="zh-CN"/>
              </w:rPr>
              <w:t>10</w:t>
            </w:r>
          </w:p>
        </w:tc>
        <w:tc>
          <w:tcPr>
            <w:tcW w:w="641" w:type="dxa"/>
            <w:tcBorders>
              <w:top w:val="single" w:sz="4" w:space="0" w:color="000000"/>
              <w:bottom w:val="single" w:sz="4" w:space="0" w:color="000000"/>
            </w:tcBorders>
            <w:shd w:val="clear" w:color="auto" w:fill="auto"/>
            <w:vAlign w:val="bottom"/>
            <w:hideMark/>
          </w:tcPr>
          <w:p w14:paraId="61DB93F6" w14:textId="77777777" w:rsidR="00765FAF" w:rsidRPr="00765FAF" w:rsidRDefault="00765FAF" w:rsidP="00D17694">
            <w:pPr>
              <w:suppressAutoHyphens w:val="0"/>
              <w:spacing w:before="40" w:after="40" w:line="220" w:lineRule="exact"/>
              <w:jc w:val="right"/>
              <w:rPr>
                <w:sz w:val="18"/>
                <w:szCs w:val="18"/>
                <w:lang w:eastAsia="zh-CN"/>
              </w:rPr>
            </w:pPr>
            <w:r w:rsidRPr="00765FAF">
              <w:rPr>
                <w:sz w:val="18"/>
                <w:szCs w:val="18"/>
                <w:lang w:eastAsia="zh-CN"/>
              </w:rPr>
              <w:t>10</w:t>
            </w:r>
          </w:p>
        </w:tc>
        <w:tc>
          <w:tcPr>
            <w:tcW w:w="1122" w:type="dxa"/>
            <w:tcBorders>
              <w:top w:val="single" w:sz="4" w:space="0" w:color="000000"/>
              <w:bottom w:val="single" w:sz="4" w:space="0" w:color="000000"/>
            </w:tcBorders>
            <w:shd w:val="clear" w:color="auto" w:fill="auto"/>
            <w:vAlign w:val="bottom"/>
            <w:hideMark/>
          </w:tcPr>
          <w:p w14:paraId="3FC82819" w14:textId="77777777" w:rsidR="00765FAF" w:rsidRPr="00765FAF" w:rsidRDefault="00765FAF" w:rsidP="00D17694">
            <w:pPr>
              <w:suppressAutoHyphens w:val="0"/>
              <w:spacing w:before="40" w:after="40" w:line="220" w:lineRule="exact"/>
              <w:jc w:val="right"/>
              <w:rPr>
                <w:sz w:val="18"/>
                <w:szCs w:val="18"/>
                <w:lang w:eastAsia="zh-CN"/>
              </w:rPr>
            </w:pPr>
            <w:r w:rsidRPr="00765FAF">
              <w:rPr>
                <w:sz w:val="18"/>
                <w:szCs w:val="18"/>
                <w:lang w:eastAsia="zh-CN"/>
              </w:rPr>
              <w:t>10</w:t>
            </w:r>
          </w:p>
        </w:tc>
        <w:tc>
          <w:tcPr>
            <w:tcW w:w="1122" w:type="dxa"/>
            <w:tcBorders>
              <w:top w:val="single" w:sz="4" w:space="0" w:color="000000"/>
              <w:bottom w:val="single" w:sz="4" w:space="0" w:color="000000"/>
            </w:tcBorders>
            <w:shd w:val="clear" w:color="auto" w:fill="auto"/>
            <w:vAlign w:val="bottom"/>
            <w:hideMark/>
          </w:tcPr>
          <w:p w14:paraId="7CB717DA" w14:textId="77777777" w:rsidR="00765FAF" w:rsidRPr="00765FAF" w:rsidRDefault="00765FAF" w:rsidP="00D17694">
            <w:pPr>
              <w:suppressAutoHyphens w:val="0"/>
              <w:spacing w:before="40" w:after="40" w:line="220" w:lineRule="exact"/>
              <w:jc w:val="right"/>
              <w:rPr>
                <w:sz w:val="18"/>
                <w:szCs w:val="18"/>
                <w:lang w:eastAsia="zh-CN"/>
              </w:rPr>
            </w:pPr>
          </w:p>
        </w:tc>
        <w:tc>
          <w:tcPr>
            <w:tcW w:w="1236" w:type="dxa"/>
            <w:tcBorders>
              <w:top w:val="single" w:sz="4" w:space="0" w:color="000000"/>
              <w:bottom w:val="single" w:sz="4" w:space="0" w:color="000000"/>
            </w:tcBorders>
            <w:shd w:val="clear" w:color="auto" w:fill="auto"/>
            <w:vAlign w:val="bottom"/>
            <w:hideMark/>
          </w:tcPr>
          <w:p w14:paraId="171AFF0F" w14:textId="77777777" w:rsidR="00765FAF" w:rsidRPr="00765FAF" w:rsidRDefault="00765FAF" w:rsidP="00D17694">
            <w:pPr>
              <w:suppressAutoHyphens w:val="0"/>
              <w:spacing w:before="40" w:after="40" w:line="220" w:lineRule="exact"/>
              <w:jc w:val="right"/>
              <w:rPr>
                <w:b/>
                <w:bCs/>
                <w:sz w:val="18"/>
                <w:szCs w:val="18"/>
                <w:lang w:eastAsia="zh-CN"/>
              </w:rPr>
            </w:pPr>
            <w:r w:rsidRPr="00765FAF">
              <w:rPr>
                <w:b/>
                <w:bCs/>
                <w:sz w:val="18"/>
                <w:szCs w:val="18"/>
                <w:lang w:eastAsia="zh-CN"/>
              </w:rPr>
              <w:t>100%</w:t>
            </w:r>
          </w:p>
        </w:tc>
        <w:tc>
          <w:tcPr>
            <w:tcW w:w="1236" w:type="dxa"/>
            <w:tcBorders>
              <w:top w:val="single" w:sz="4" w:space="0" w:color="000000"/>
              <w:bottom w:val="single" w:sz="4" w:space="0" w:color="000000"/>
            </w:tcBorders>
            <w:shd w:val="clear" w:color="auto" w:fill="auto"/>
            <w:vAlign w:val="bottom"/>
            <w:hideMark/>
          </w:tcPr>
          <w:p w14:paraId="01B7957B" w14:textId="77777777" w:rsidR="00765FAF" w:rsidRPr="00765FAF" w:rsidRDefault="00765FAF" w:rsidP="00D17694">
            <w:pPr>
              <w:suppressAutoHyphens w:val="0"/>
              <w:spacing w:before="40" w:after="40" w:line="220" w:lineRule="exact"/>
              <w:jc w:val="right"/>
              <w:rPr>
                <w:b/>
                <w:bCs/>
                <w:sz w:val="18"/>
                <w:szCs w:val="18"/>
                <w:lang w:eastAsia="zh-CN"/>
              </w:rPr>
            </w:pPr>
            <w:r w:rsidRPr="00765FAF">
              <w:rPr>
                <w:b/>
                <w:bCs/>
                <w:sz w:val="18"/>
                <w:szCs w:val="18"/>
                <w:lang w:eastAsia="zh-CN"/>
              </w:rPr>
              <w:t>100%</w:t>
            </w:r>
          </w:p>
        </w:tc>
        <w:tc>
          <w:tcPr>
            <w:tcW w:w="1122" w:type="dxa"/>
            <w:tcBorders>
              <w:top w:val="single" w:sz="4" w:space="0" w:color="000000"/>
              <w:bottom w:val="single" w:sz="4" w:space="0" w:color="000000"/>
            </w:tcBorders>
            <w:shd w:val="clear" w:color="auto" w:fill="auto"/>
            <w:vAlign w:val="bottom"/>
            <w:hideMark/>
          </w:tcPr>
          <w:p w14:paraId="7AEE378B" w14:textId="77777777" w:rsidR="00765FAF" w:rsidRPr="00765FAF" w:rsidRDefault="00765FAF" w:rsidP="00D17694">
            <w:pPr>
              <w:suppressAutoHyphens w:val="0"/>
              <w:spacing w:before="40" w:after="40" w:line="220" w:lineRule="exact"/>
              <w:jc w:val="right"/>
              <w:rPr>
                <w:b/>
                <w:bCs/>
                <w:sz w:val="18"/>
                <w:szCs w:val="18"/>
                <w:lang w:eastAsia="zh-CN"/>
              </w:rPr>
            </w:pPr>
          </w:p>
        </w:tc>
        <w:tc>
          <w:tcPr>
            <w:tcW w:w="940" w:type="dxa"/>
            <w:tcBorders>
              <w:top w:val="single" w:sz="4" w:space="0" w:color="000000"/>
              <w:bottom w:val="single" w:sz="4" w:space="0" w:color="000000"/>
            </w:tcBorders>
            <w:shd w:val="clear" w:color="auto" w:fill="auto"/>
            <w:vAlign w:val="bottom"/>
            <w:hideMark/>
          </w:tcPr>
          <w:p w14:paraId="1FD5C19E" w14:textId="77777777" w:rsidR="00765FAF" w:rsidRPr="00765FAF" w:rsidRDefault="00765FAF" w:rsidP="00D17694">
            <w:pPr>
              <w:suppressAutoHyphens w:val="0"/>
              <w:spacing w:before="40" w:after="40" w:line="220" w:lineRule="exact"/>
              <w:jc w:val="right"/>
              <w:rPr>
                <w:b/>
                <w:bCs/>
                <w:sz w:val="18"/>
                <w:szCs w:val="18"/>
                <w:lang w:eastAsia="zh-CN"/>
              </w:rPr>
            </w:pPr>
            <w:r w:rsidRPr="00765FAF">
              <w:rPr>
                <w:b/>
                <w:bCs/>
                <w:sz w:val="18"/>
                <w:szCs w:val="18"/>
                <w:lang w:eastAsia="zh-CN"/>
              </w:rPr>
              <w:t>0%</w:t>
            </w:r>
          </w:p>
        </w:tc>
      </w:tr>
      <w:tr w:rsidR="00374ECF" w:rsidRPr="00D17694" w14:paraId="18B6B08F" w14:textId="77777777" w:rsidTr="00B1378B">
        <w:tc>
          <w:tcPr>
            <w:tcW w:w="1701" w:type="dxa"/>
            <w:tcBorders>
              <w:top w:val="single" w:sz="4" w:space="0" w:color="000000"/>
              <w:bottom w:val="single" w:sz="12" w:space="0" w:color="000000"/>
            </w:tcBorders>
            <w:shd w:val="clear" w:color="auto" w:fill="auto"/>
            <w:hideMark/>
          </w:tcPr>
          <w:p w14:paraId="2C557C45" w14:textId="77777777" w:rsidR="00765FAF" w:rsidRPr="00765FAF" w:rsidRDefault="00765FAF" w:rsidP="00D17694">
            <w:pPr>
              <w:suppressAutoHyphens w:val="0"/>
              <w:spacing w:before="40" w:after="40" w:line="220" w:lineRule="exact"/>
              <w:rPr>
                <w:b/>
                <w:bCs/>
                <w:sz w:val="18"/>
                <w:szCs w:val="18"/>
                <w:lang w:eastAsia="zh-CN"/>
              </w:rPr>
            </w:pPr>
            <w:r w:rsidRPr="00765FAF">
              <w:rPr>
                <w:b/>
                <w:bCs/>
                <w:sz w:val="18"/>
                <w:szCs w:val="18"/>
                <w:lang w:eastAsia="zh-CN"/>
              </w:rPr>
              <w:t>6. The High-level Meeting on Transport, Health and Environment</w:t>
            </w:r>
          </w:p>
        </w:tc>
        <w:tc>
          <w:tcPr>
            <w:tcW w:w="517" w:type="dxa"/>
            <w:tcBorders>
              <w:top w:val="single" w:sz="4" w:space="0" w:color="000000"/>
              <w:bottom w:val="single" w:sz="12" w:space="0" w:color="000000"/>
            </w:tcBorders>
            <w:shd w:val="clear" w:color="auto" w:fill="auto"/>
            <w:vAlign w:val="bottom"/>
            <w:hideMark/>
          </w:tcPr>
          <w:p w14:paraId="668D3868" w14:textId="77777777" w:rsidR="00765FAF" w:rsidRPr="00765FAF" w:rsidRDefault="00765FAF" w:rsidP="00D17694">
            <w:pPr>
              <w:suppressAutoHyphens w:val="0"/>
              <w:spacing w:before="40" w:after="40" w:line="220" w:lineRule="exact"/>
              <w:jc w:val="right"/>
              <w:rPr>
                <w:b/>
                <w:bCs/>
                <w:sz w:val="18"/>
                <w:szCs w:val="18"/>
                <w:lang w:eastAsia="zh-CN"/>
              </w:rPr>
            </w:pPr>
            <w:r w:rsidRPr="00765FAF">
              <w:rPr>
                <w:b/>
                <w:bCs/>
                <w:sz w:val="18"/>
                <w:szCs w:val="18"/>
                <w:lang w:eastAsia="zh-CN"/>
              </w:rPr>
              <w:t>2</w:t>
            </w:r>
          </w:p>
        </w:tc>
        <w:tc>
          <w:tcPr>
            <w:tcW w:w="641" w:type="dxa"/>
            <w:tcBorders>
              <w:top w:val="single" w:sz="4" w:space="0" w:color="000000"/>
              <w:bottom w:val="single" w:sz="12" w:space="0" w:color="000000"/>
            </w:tcBorders>
            <w:shd w:val="clear" w:color="auto" w:fill="auto"/>
            <w:vAlign w:val="bottom"/>
            <w:hideMark/>
          </w:tcPr>
          <w:p w14:paraId="52B9E9B6" w14:textId="77777777" w:rsidR="00765FAF" w:rsidRPr="00765FAF" w:rsidRDefault="00765FAF" w:rsidP="00D17694">
            <w:pPr>
              <w:suppressAutoHyphens w:val="0"/>
              <w:spacing w:before="40" w:after="40" w:line="220" w:lineRule="exact"/>
              <w:jc w:val="right"/>
              <w:rPr>
                <w:b/>
                <w:bCs/>
                <w:sz w:val="18"/>
                <w:szCs w:val="18"/>
                <w:lang w:eastAsia="zh-CN"/>
              </w:rPr>
            </w:pPr>
            <w:r w:rsidRPr="00765FAF">
              <w:rPr>
                <w:b/>
                <w:bCs/>
                <w:sz w:val="18"/>
                <w:szCs w:val="18"/>
                <w:lang w:eastAsia="zh-CN"/>
              </w:rPr>
              <w:t>2</w:t>
            </w:r>
          </w:p>
        </w:tc>
        <w:tc>
          <w:tcPr>
            <w:tcW w:w="1122" w:type="dxa"/>
            <w:tcBorders>
              <w:top w:val="single" w:sz="4" w:space="0" w:color="000000"/>
              <w:bottom w:val="single" w:sz="12" w:space="0" w:color="000000"/>
            </w:tcBorders>
            <w:shd w:val="clear" w:color="auto" w:fill="auto"/>
            <w:vAlign w:val="bottom"/>
            <w:hideMark/>
          </w:tcPr>
          <w:p w14:paraId="4147D597" w14:textId="77777777" w:rsidR="00765FAF" w:rsidRPr="00765FAF" w:rsidRDefault="00765FAF" w:rsidP="00D17694">
            <w:pPr>
              <w:suppressAutoHyphens w:val="0"/>
              <w:spacing w:before="40" w:after="40" w:line="220" w:lineRule="exact"/>
              <w:jc w:val="right"/>
              <w:rPr>
                <w:b/>
                <w:bCs/>
                <w:sz w:val="18"/>
                <w:szCs w:val="18"/>
                <w:lang w:eastAsia="zh-CN"/>
              </w:rPr>
            </w:pPr>
            <w:r w:rsidRPr="00765FAF">
              <w:rPr>
                <w:b/>
                <w:bCs/>
                <w:sz w:val="18"/>
                <w:szCs w:val="18"/>
                <w:lang w:eastAsia="zh-CN"/>
              </w:rPr>
              <w:t>2</w:t>
            </w:r>
          </w:p>
        </w:tc>
        <w:tc>
          <w:tcPr>
            <w:tcW w:w="1122" w:type="dxa"/>
            <w:tcBorders>
              <w:top w:val="single" w:sz="4" w:space="0" w:color="000000"/>
              <w:bottom w:val="single" w:sz="12" w:space="0" w:color="000000"/>
            </w:tcBorders>
            <w:shd w:val="clear" w:color="auto" w:fill="auto"/>
            <w:vAlign w:val="bottom"/>
            <w:hideMark/>
          </w:tcPr>
          <w:p w14:paraId="7BD9DFF6" w14:textId="77777777" w:rsidR="00765FAF" w:rsidRPr="00765FAF" w:rsidRDefault="00765FAF" w:rsidP="00D17694">
            <w:pPr>
              <w:suppressAutoHyphens w:val="0"/>
              <w:spacing w:before="40" w:after="40" w:line="220" w:lineRule="exact"/>
              <w:jc w:val="right"/>
              <w:rPr>
                <w:b/>
                <w:bCs/>
                <w:sz w:val="18"/>
                <w:szCs w:val="18"/>
                <w:lang w:eastAsia="zh-CN"/>
              </w:rPr>
            </w:pPr>
          </w:p>
        </w:tc>
        <w:tc>
          <w:tcPr>
            <w:tcW w:w="1236" w:type="dxa"/>
            <w:tcBorders>
              <w:top w:val="single" w:sz="4" w:space="0" w:color="000000"/>
              <w:bottom w:val="single" w:sz="12" w:space="0" w:color="000000"/>
            </w:tcBorders>
            <w:shd w:val="clear" w:color="auto" w:fill="auto"/>
            <w:vAlign w:val="bottom"/>
            <w:hideMark/>
          </w:tcPr>
          <w:p w14:paraId="7071E5F6" w14:textId="77777777" w:rsidR="00765FAF" w:rsidRPr="00765FAF" w:rsidRDefault="00765FAF" w:rsidP="00D17694">
            <w:pPr>
              <w:suppressAutoHyphens w:val="0"/>
              <w:spacing w:before="40" w:after="40" w:line="220" w:lineRule="exact"/>
              <w:jc w:val="right"/>
              <w:rPr>
                <w:b/>
                <w:bCs/>
                <w:sz w:val="18"/>
                <w:szCs w:val="18"/>
                <w:lang w:eastAsia="zh-CN"/>
              </w:rPr>
            </w:pPr>
            <w:r w:rsidRPr="00765FAF">
              <w:rPr>
                <w:b/>
                <w:bCs/>
                <w:sz w:val="18"/>
                <w:szCs w:val="18"/>
                <w:lang w:eastAsia="zh-CN"/>
              </w:rPr>
              <w:t>100%</w:t>
            </w:r>
          </w:p>
        </w:tc>
        <w:tc>
          <w:tcPr>
            <w:tcW w:w="1236" w:type="dxa"/>
            <w:tcBorders>
              <w:top w:val="single" w:sz="4" w:space="0" w:color="000000"/>
              <w:bottom w:val="single" w:sz="12" w:space="0" w:color="000000"/>
            </w:tcBorders>
            <w:shd w:val="clear" w:color="auto" w:fill="auto"/>
            <w:vAlign w:val="bottom"/>
            <w:hideMark/>
          </w:tcPr>
          <w:p w14:paraId="5C900979" w14:textId="77777777" w:rsidR="00765FAF" w:rsidRPr="00765FAF" w:rsidRDefault="00765FAF" w:rsidP="00D17694">
            <w:pPr>
              <w:suppressAutoHyphens w:val="0"/>
              <w:spacing w:before="40" w:after="40" w:line="220" w:lineRule="exact"/>
              <w:jc w:val="right"/>
              <w:rPr>
                <w:b/>
                <w:bCs/>
                <w:sz w:val="18"/>
                <w:szCs w:val="18"/>
                <w:lang w:eastAsia="zh-CN"/>
              </w:rPr>
            </w:pPr>
          </w:p>
        </w:tc>
        <w:tc>
          <w:tcPr>
            <w:tcW w:w="1122" w:type="dxa"/>
            <w:tcBorders>
              <w:top w:val="single" w:sz="4" w:space="0" w:color="000000"/>
              <w:bottom w:val="single" w:sz="12" w:space="0" w:color="000000"/>
            </w:tcBorders>
            <w:shd w:val="clear" w:color="auto" w:fill="auto"/>
            <w:vAlign w:val="bottom"/>
            <w:hideMark/>
          </w:tcPr>
          <w:p w14:paraId="1CC85195" w14:textId="77777777" w:rsidR="00765FAF" w:rsidRPr="00765FAF" w:rsidRDefault="00765FAF" w:rsidP="00D17694">
            <w:pPr>
              <w:suppressAutoHyphens w:val="0"/>
              <w:spacing w:before="40" w:after="40" w:line="220" w:lineRule="exact"/>
              <w:jc w:val="right"/>
              <w:rPr>
                <w:b/>
                <w:bCs/>
                <w:sz w:val="18"/>
                <w:szCs w:val="18"/>
                <w:lang w:eastAsia="zh-CN"/>
              </w:rPr>
            </w:pPr>
            <w:r w:rsidRPr="00765FAF">
              <w:rPr>
                <w:b/>
                <w:bCs/>
                <w:sz w:val="18"/>
                <w:szCs w:val="18"/>
                <w:lang w:eastAsia="zh-CN"/>
              </w:rPr>
              <w:t>0</w:t>
            </w:r>
          </w:p>
        </w:tc>
        <w:tc>
          <w:tcPr>
            <w:tcW w:w="940" w:type="dxa"/>
            <w:tcBorders>
              <w:top w:val="single" w:sz="4" w:space="0" w:color="000000"/>
              <w:bottom w:val="single" w:sz="12" w:space="0" w:color="000000"/>
            </w:tcBorders>
            <w:shd w:val="clear" w:color="auto" w:fill="auto"/>
            <w:vAlign w:val="bottom"/>
            <w:hideMark/>
          </w:tcPr>
          <w:p w14:paraId="4BEE86D0" w14:textId="77777777" w:rsidR="00765FAF" w:rsidRPr="00765FAF" w:rsidRDefault="00765FAF" w:rsidP="00D17694">
            <w:pPr>
              <w:suppressAutoHyphens w:val="0"/>
              <w:spacing w:before="40" w:after="40" w:line="220" w:lineRule="exact"/>
              <w:jc w:val="right"/>
              <w:rPr>
                <w:b/>
                <w:bCs/>
                <w:sz w:val="18"/>
                <w:szCs w:val="18"/>
                <w:lang w:eastAsia="zh-CN"/>
              </w:rPr>
            </w:pPr>
            <w:r w:rsidRPr="00765FAF">
              <w:rPr>
                <w:b/>
                <w:bCs/>
                <w:sz w:val="18"/>
                <w:szCs w:val="18"/>
                <w:lang w:eastAsia="zh-CN"/>
              </w:rPr>
              <w:t>0%</w:t>
            </w:r>
          </w:p>
        </w:tc>
      </w:tr>
    </w:tbl>
    <w:p w14:paraId="467EEAEF" w14:textId="77777777" w:rsidR="005430F7" w:rsidRPr="0044264B" w:rsidRDefault="005430F7" w:rsidP="005430F7">
      <w:pPr>
        <w:pStyle w:val="H23G"/>
      </w:pPr>
      <w:r>
        <w:tab/>
      </w:r>
      <w:r w:rsidRPr="0044264B">
        <w:t>2.</w:t>
      </w:r>
      <w:r w:rsidRPr="0044264B">
        <w:tab/>
        <w:t>Impact</w:t>
      </w:r>
      <w:r>
        <w:t>s</w:t>
      </w:r>
      <w:r w:rsidRPr="0044264B">
        <w:t xml:space="preserve"> on </w:t>
      </w:r>
      <w:r>
        <w:t xml:space="preserve">meetings </w:t>
      </w:r>
      <w:r w:rsidRPr="0044264B">
        <w:t>of Teams of Specialists (Groups of Experts)</w:t>
      </w:r>
    </w:p>
    <w:p w14:paraId="0E07B55C" w14:textId="77777777" w:rsidR="005430F7" w:rsidRDefault="005430F7" w:rsidP="005430F7">
      <w:pPr>
        <w:pStyle w:val="SingleTxtG"/>
      </w:pPr>
      <w:r>
        <w:t>19.</w:t>
      </w:r>
      <w:r>
        <w:tab/>
        <w:t>The delivery of meetings of Groups of Experts is treated separately in this document, due to the finite mandates of these bodies. Table 2 summarizes the known implementation on their planned meetings in 2021, as reflected in Annex III of the 2021 Programme of Work of the Transport subprogramme. According to table 2, not less than 85 per cent of planned meetings are expected to be delivered in 2021 with full interpretation. By contrast, in 2020, less than 30 per cent of meetings planned under the workplans of the Groups of Experts were implemented.</w:t>
      </w:r>
    </w:p>
    <w:p w14:paraId="58C5386D" w14:textId="4C5FF1BF" w:rsidR="005430F7" w:rsidRDefault="005430F7" w:rsidP="005430F7">
      <w:pPr>
        <w:pStyle w:val="SingleTxtG"/>
        <w:rPr>
          <w:b/>
          <w:bCs/>
          <w:sz w:val="24"/>
          <w:szCs w:val="24"/>
        </w:rPr>
      </w:pPr>
      <w:r>
        <w:t>20.</w:t>
      </w:r>
      <w:r>
        <w:tab/>
        <w:t xml:space="preserve">To ensure this level of implementation however, </w:t>
      </w:r>
      <w:r w:rsidRPr="00573109">
        <w:t xml:space="preserve">Division staff were re-deployed in order to support the technical moderation of the meetings by UNOG. Overall, </w:t>
      </w:r>
      <w:r>
        <w:t>30</w:t>
      </w:r>
      <w:r w:rsidRPr="00573109">
        <w:t xml:space="preserve"> per cent of meetings</w:t>
      </w:r>
      <w:r>
        <w:t xml:space="preserve"> of Groups of Experts</w:t>
      </w:r>
      <w:r w:rsidRPr="00573109">
        <w:t xml:space="preserve"> with interpretation are </w:t>
      </w:r>
      <w:r w:rsidR="00A86A43">
        <w:t xml:space="preserve">expected to be </w:t>
      </w:r>
      <w:r w:rsidRPr="00573109">
        <w:t xml:space="preserve">technically moderated by the Division’s staff, despite the fact that this requirement was enacted only in the </w:t>
      </w:r>
      <w:r w:rsidR="00A86A43">
        <w:t>final third (September-December)</w:t>
      </w:r>
      <w:r w:rsidRPr="00573109">
        <w:t xml:space="preserve"> of 2021. </w:t>
      </w:r>
    </w:p>
    <w:p w14:paraId="21129BAB" w14:textId="77777777" w:rsidR="005430F7" w:rsidRDefault="005430F7" w:rsidP="00231128">
      <w:pPr>
        <w:pStyle w:val="Heading1"/>
        <w:keepNext/>
        <w:keepLines/>
      </w:pPr>
      <w:r w:rsidRPr="0022584F">
        <w:t>Table 2</w:t>
      </w:r>
    </w:p>
    <w:p w14:paraId="61EAC271" w14:textId="77777777" w:rsidR="005430F7" w:rsidRDefault="005430F7" w:rsidP="00231128">
      <w:pPr>
        <w:pStyle w:val="SingleTxtG"/>
        <w:keepNext/>
        <w:keepLines/>
        <w:ind w:left="567" w:firstLine="567"/>
      </w:pPr>
      <w:r w:rsidRPr="0046036E">
        <w:rPr>
          <w:b/>
          <w:bCs/>
        </w:rPr>
        <w:t xml:space="preserve">Impacts of COVID-19 </w:t>
      </w:r>
      <w:r>
        <w:rPr>
          <w:b/>
          <w:bCs/>
        </w:rPr>
        <w:t xml:space="preserve">and the liquidity crisis </w:t>
      </w:r>
      <w:r w:rsidRPr="0046036E">
        <w:rPr>
          <w:b/>
          <w:bCs/>
        </w:rPr>
        <w:t>on meetings of Groups of Experts</w:t>
      </w:r>
    </w:p>
    <w:tbl>
      <w:tblPr>
        <w:tblW w:w="9637" w:type="dxa"/>
        <w:tblLayout w:type="fixed"/>
        <w:tblCellMar>
          <w:left w:w="0" w:type="dxa"/>
          <w:right w:w="0" w:type="dxa"/>
        </w:tblCellMar>
        <w:tblLook w:val="04A0" w:firstRow="1" w:lastRow="0" w:firstColumn="1" w:lastColumn="0" w:noHBand="0" w:noVBand="1"/>
      </w:tblPr>
      <w:tblGrid>
        <w:gridCol w:w="1574"/>
        <w:gridCol w:w="904"/>
        <w:gridCol w:w="775"/>
        <w:gridCol w:w="1054"/>
        <w:gridCol w:w="1054"/>
        <w:gridCol w:w="998"/>
        <w:gridCol w:w="1054"/>
        <w:gridCol w:w="1364"/>
        <w:gridCol w:w="860"/>
      </w:tblGrid>
      <w:tr w:rsidR="00E07235" w:rsidRPr="00E07235" w14:paraId="1DEE450D" w14:textId="77777777" w:rsidTr="00AD1A66">
        <w:trPr>
          <w:tblHeader/>
        </w:trPr>
        <w:tc>
          <w:tcPr>
            <w:tcW w:w="1204" w:type="dxa"/>
            <w:tcBorders>
              <w:top w:val="single" w:sz="4" w:space="0" w:color="000000"/>
              <w:bottom w:val="single" w:sz="12" w:space="0" w:color="000000"/>
            </w:tcBorders>
            <w:shd w:val="clear" w:color="auto" w:fill="auto"/>
            <w:vAlign w:val="bottom"/>
            <w:hideMark/>
          </w:tcPr>
          <w:p w14:paraId="3F500420" w14:textId="77777777" w:rsidR="00E07235" w:rsidRPr="00E07235" w:rsidRDefault="00E07235" w:rsidP="00E07235">
            <w:pPr>
              <w:suppressAutoHyphens w:val="0"/>
              <w:spacing w:before="80" w:after="80" w:line="200" w:lineRule="exact"/>
              <w:rPr>
                <w:bCs/>
                <w:i/>
                <w:iCs/>
                <w:sz w:val="16"/>
                <w:szCs w:val="16"/>
                <w:lang w:eastAsia="zh-CN"/>
              </w:rPr>
            </w:pPr>
            <w:r w:rsidRPr="00E07235">
              <w:rPr>
                <w:bCs/>
                <w:i/>
                <w:iCs/>
                <w:sz w:val="16"/>
                <w:szCs w:val="16"/>
                <w:lang w:eastAsia="zh-CN"/>
              </w:rPr>
              <w:t>Group of Experts meetings (ECE/TRANS/2021/8)</w:t>
            </w:r>
          </w:p>
        </w:tc>
        <w:tc>
          <w:tcPr>
            <w:tcW w:w="691" w:type="dxa"/>
            <w:tcBorders>
              <w:top w:val="single" w:sz="4" w:space="0" w:color="000000"/>
              <w:bottom w:val="single" w:sz="12" w:space="0" w:color="000000"/>
            </w:tcBorders>
            <w:shd w:val="clear" w:color="auto" w:fill="auto"/>
            <w:vAlign w:val="bottom"/>
            <w:hideMark/>
          </w:tcPr>
          <w:p w14:paraId="7BBB187D" w14:textId="77777777" w:rsidR="00E07235" w:rsidRPr="00E07235" w:rsidRDefault="00E07235" w:rsidP="00E07235">
            <w:pPr>
              <w:suppressAutoHyphens w:val="0"/>
              <w:spacing w:before="80" w:after="80" w:line="200" w:lineRule="exact"/>
              <w:jc w:val="right"/>
              <w:rPr>
                <w:bCs/>
                <w:i/>
                <w:iCs/>
                <w:sz w:val="16"/>
                <w:szCs w:val="16"/>
                <w:lang w:eastAsia="zh-CN"/>
              </w:rPr>
            </w:pPr>
            <w:r w:rsidRPr="00E07235">
              <w:rPr>
                <w:bCs/>
                <w:i/>
                <w:iCs/>
                <w:sz w:val="16"/>
                <w:szCs w:val="16"/>
                <w:lang w:eastAsia="zh-CN"/>
              </w:rPr>
              <w:t xml:space="preserve">2021 planned </w:t>
            </w:r>
            <w:r w:rsidRPr="00E07235">
              <w:rPr>
                <w:bCs/>
                <w:i/>
                <w:iCs/>
                <w:sz w:val="16"/>
                <w:szCs w:val="16"/>
                <w:lang w:eastAsia="zh-CN"/>
              </w:rPr>
              <w:br/>
              <w:t>(a)</w:t>
            </w:r>
          </w:p>
        </w:tc>
        <w:tc>
          <w:tcPr>
            <w:tcW w:w="593" w:type="dxa"/>
            <w:tcBorders>
              <w:top w:val="single" w:sz="4" w:space="0" w:color="000000"/>
              <w:bottom w:val="single" w:sz="12" w:space="0" w:color="000000"/>
            </w:tcBorders>
            <w:shd w:val="clear" w:color="auto" w:fill="auto"/>
            <w:vAlign w:val="bottom"/>
            <w:hideMark/>
          </w:tcPr>
          <w:p w14:paraId="53A75D95" w14:textId="77777777" w:rsidR="00E07235" w:rsidRPr="00E07235" w:rsidRDefault="00E07235" w:rsidP="00E07235">
            <w:pPr>
              <w:suppressAutoHyphens w:val="0"/>
              <w:spacing w:before="80" w:after="80" w:line="200" w:lineRule="exact"/>
              <w:jc w:val="right"/>
              <w:rPr>
                <w:bCs/>
                <w:i/>
                <w:iCs/>
                <w:sz w:val="16"/>
                <w:szCs w:val="16"/>
                <w:lang w:eastAsia="zh-CN"/>
              </w:rPr>
            </w:pPr>
            <w:r w:rsidRPr="00E07235">
              <w:rPr>
                <w:bCs/>
                <w:i/>
                <w:iCs/>
                <w:sz w:val="16"/>
                <w:szCs w:val="16"/>
                <w:lang w:eastAsia="zh-CN"/>
              </w:rPr>
              <w:t xml:space="preserve">2021 actual </w:t>
            </w:r>
            <w:r w:rsidRPr="00E07235">
              <w:rPr>
                <w:bCs/>
                <w:i/>
                <w:iCs/>
                <w:sz w:val="16"/>
                <w:szCs w:val="16"/>
                <w:lang w:eastAsia="zh-CN"/>
              </w:rPr>
              <w:br/>
              <w:t>(b)</w:t>
            </w:r>
          </w:p>
        </w:tc>
        <w:tc>
          <w:tcPr>
            <w:tcW w:w="806" w:type="dxa"/>
            <w:tcBorders>
              <w:top w:val="single" w:sz="4" w:space="0" w:color="000000"/>
              <w:bottom w:val="single" w:sz="12" w:space="0" w:color="000000"/>
            </w:tcBorders>
            <w:shd w:val="clear" w:color="auto" w:fill="auto"/>
            <w:vAlign w:val="bottom"/>
            <w:hideMark/>
          </w:tcPr>
          <w:p w14:paraId="56BE05CD" w14:textId="77777777" w:rsidR="00E07235" w:rsidRPr="00E07235" w:rsidRDefault="00E07235" w:rsidP="00E07235">
            <w:pPr>
              <w:suppressAutoHyphens w:val="0"/>
              <w:spacing w:before="80" w:after="80" w:line="200" w:lineRule="exact"/>
              <w:jc w:val="right"/>
              <w:rPr>
                <w:bCs/>
                <w:i/>
                <w:iCs/>
                <w:sz w:val="16"/>
                <w:szCs w:val="16"/>
                <w:lang w:eastAsia="zh-CN"/>
              </w:rPr>
            </w:pPr>
            <w:r w:rsidRPr="00E07235">
              <w:rPr>
                <w:bCs/>
                <w:i/>
                <w:iCs/>
                <w:sz w:val="16"/>
                <w:szCs w:val="16"/>
                <w:lang w:eastAsia="zh-CN"/>
              </w:rPr>
              <w:t>With interpretation (c)*</w:t>
            </w:r>
          </w:p>
        </w:tc>
        <w:tc>
          <w:tcPr>
            <w:tcW w:w="806" w:type="dxa"/>
            <w:tcBorders>
              <w:top w:val="single" w:sz="4" w:space="0" w:color="000000"/>
              <w:bottom w:val="single" w:sz="12" w:space="0" w:color="000000"/>
              <w:right w:val="single" w:sz="4" w:space="0" w:color="000000"/>
            </w:tcBorders>
            <w:shd w:val="clear" w:color="auto" w:fill="auto"/>
            <w:vAlign w:val="bottom"/>
            <w:hideMark/>
          </w:tcPr>
          <w:p w14:paraId="52F18029" w14:textId="77777777" w:rsidR="00E07235" w:rsidRPr="00E07235" w:rsidRDefault="00E07235" w:rsidP="00AD1A66">
            <w:pPr>
              <w:suppressAutoHyphens w:val="0"/>
              <w:spacing w:before="80" w:after="80" w:line="200" w:lineRule="exact"/>
              <w:ind w:right="57"/>
              <w:jc w:val="right"/>
              <w:rPr>
                <w:bCs/>
                <w:i/>
                <w:iCs/>
                <w:sz w:val="16"/>
                <w:szCs w:val="16"/>
                <w:lang w:eastAsia="zh-CN"/>
              </w:rPr>
            </w:pPr>
            <w:r w:rsidRPr="00E07235">
              <w:rPr>
                <w:bCs/>
                <w:i/>
                <w:iCs/>
                <w:sz w:val="16"/>
                <w:szCs w:val="16"/>
                <w:lang w:eastAsia="zh-CN"/>
              </w:rPr>
              <w:t>Without interpretation (d)*</w:t>
            </w:r>
          </w:p>
        </w:tc>
        <w:tc>
          <w:tcPr>
            <w:tcW w:w="763" w:type="dxa"/>
            <w:tcBorders>
              <w:top w:val="single" w:sz="4" w:space="0" w:color="000000"/>
              <w:left w:val="single" w:sz="4" w:space="0" w:color="000000"/>
              <w:bottom w:val="single" w:sz="12" w:space="0" w:color="000000"/>
            </w:tcBorders>
            <w:shd w:val="clear" w:color="auto" w:fill="auto"/>
            <w:vAlign w:val="bottom"/>
            <w:hideMark/>
          </w:tcPr>
          <w:p w14:paraId="15CE73F2" w14:textId="77777777" w:rsidR="00E07235" w:rsidRPr="00E07235" w:rsidRDefault="00E07235" w:rsidP="00E07235">
            <w:pPr>
              <w:suppressAutoHyphens w:val="0"/>
              <w:spacing w:before="80" w:after="80" w:line="200" w:lineRule="exact"/>
              <w:jc w:val="right"/>
              <w:rPr>
                <w:bCs/>
                <w:i/>
                <w:iCs/>
                <w:sz w:val="16"/>
                <w:szCs w:val="16"/>
                <w:lang w:eastAsia="zh-CN"/>
              </w:rPr>
            </w:pPr>
            <w:r w:rsidRPr="00E07235">
              <w:rPr>
                <w:bCs/>
                <w:i/>
                <w:iCs/>
                <w:sz w:val="16"/>
                <w:szCs w:val="16"/>
                <w:lang w:eastAsia="zh-CN"/>
              </w:rPr>
              <w:t>Per cent implemented</w:t>
            </w:r>
            <w:r w:rsidRPr="00E07235">
              <w:rPr>
                <w:bCs/>
                <w:i/>
                <w:iCs/>
                <w:sz w:val="16"/>
                <w:szCs w:val="16"/>
                <w:lang w:eastAsia="zh-CN"/>
              </w:rPr>
              <w:br/>
              <w:t>(e)=(b)/(a)</w:t>
            </w:r>
          </w:p>
        </w:tc>
        <w:tc>
          <w:tcPr>
            <w:tcW w:w="806" w:type="dxa"/>
            <w:tcBorders>
              <w:top w:val="single" w:sz="4" w:space="0" w:color="000000"/>
              <w:bottom w:val="single" w:sz="12" w:space="0" w:color="000000"/>
              <w:right w:val="single" w:sz="4" w:space="0" w:color="000000"/>
            </w:tcBorders>
            <w:shd w:val="clear" w:color="auto" w:fill="auto"/>
            <w:vAlign w:val="bottom"/>
            <w:hideMark/>
          </w:tcPr>
          <w:p w14:paraId="2C42D698" w14:textId="77777777" w:rsidR="00E07235" w:rsidRPr="00E07235" w:rsidRDefault="00E07235" w:rsidP="00E07235">
            <w:pPr>
              <w:suppressAutoHyphens w:val="0"/>
              <w:spacing w:before="80" w:after="80" w:line="200" w:lineRule="exact"/>
              <w:jc w:val="right"/>
              <w:rPr>
                <w:bCs/>
                <w:i/>
                <w:iCs/>
                <w:sz w:val="16"/>
                <w:szCs w:val="16"/>
                <w:lang w:eastAsia="zh-CN"/>
              </w:rPr>
            </w:pPr>
            <w:r w:rsidRPr="00E07235">
              <w:rPr>
                <w:bCs/>
                <w:i/>
                <w:iCs/>
                <w:sz w:val="16"/>
                <w:szCs w:val="16"/>
                <w:lang w:eastAsia="zh-CN"/>
              </w:rPr>
              <w:t>Per cent implemented With interpretation</w:t>
            </w:r>
            <w:r w:rsidRPr="00E07235">
              <w:rPr>
                <w:bCs/>
                <w:i/>
                <w:iCs/>
                <w:sz w:val="16"/>
                <w:szCs w:val="16"/>
                <w:lang w:eastAsia="zh-CN"/>
              </w:rPr>
              <w:br/>
              <w:t>(f)=(c)/(a)</w:t>
            </w:r>
          </w:p>
        </w:tc>
        <w:tc>
          <w:tcPr>
            <w:tcW w:w="1043" w:type="dxa"/>
            <w:tcBorders>
              <w:top w:val="single" w:sz="4" w:space="0" w:color="000000"/>
              <w:left w:val="single" w:sz="4" w:space="0" w:color="000000"/>
              <w:bottom w:val="single" w:sz="12" w:space="0" w:color="000000"/>
            </w:tcBorders>
            <w:shd w:val="clear" w:color="auto" w:fill="auto"/>
            <w:vAlign w:val="bottom"/>
            <w:hideMark/>
          </w:tcPr>
          <w:p w14:paraId="1B2F4A3B" w14:textId="77777777" w:rsidR="00E07235" w:rsidRPr="00E07235" w:rsidRDefault="00E07235" w:rsidP="00E07235">
            <w:pPr>
              <w:suppressAutoHyphens w:val="0"/>
              <w:spacing w:before="80" w:after="80" w:line="200" w:lineRule="exact"/>
              <w:jc w:val="right"/>
              <w:rPr>
                <w:bCs/>
                <w:i/>
                <w:iCs/>
                <w:sz w:val="16"/>
                <w:szCs w:val="16"/>
                <w:lang w:eastAsia="zh-CN"/>
              </w:rPr>
            </w:pPr>
            <w:r w:rsidRPr="00E07235">
              <w:rPr>
                <w:bCs/>
                <w:i/>
                <w:iCs/>
                <w:sz w:val="16"/>
                <w:szCs w:val="16"/>
                <w:lang w:eastAsia="zh-CN"/>
              </w:rPr>
              <w:t>Meetings with interpretation with STD moderators</w:t>
            </w:r>
            <w:r w:rsidRPr="00E07235">
              <w:rPr>
                <w:bCs/>
                <w:i/>
                <w:iCs/>
                <w:sz w:val="16"/>
                <w:szCs w:val="16"/>
                <w:lang w:eastAsia="zh-CN"/>
              </w:rPr>
              <w:br/>
              <w:t>(g)</w:t>
            </w:r>
          </w:p>
        </w:tc>
        <w:tc>
          <w:tcPr>
            <w:tcW w:w="658" w:type="dxa"/>
            <w:tcBorders>
              <w:top w:val="single" w:sz="4" w:space="0" w:color="000000"/>
              <w:bottom w:val="single" w:sz="12" w:space="0" w:color="000000"/>
            </w:tcBorders>
            <w:shd w:val="clear" w:color="auto" w:fill="auto"/>
            <w:vAlign w:val="bottom"/>
            <w:hideMark/>
          </w:tcPr>
          <w:p w14:paraId="003F7814" w14:textId="77777777" w:rsidR="00E07235" w:rsidRPr="00E07235" w:rsidRDefault="00E07235" w:rsidP="00E07235">
            <w:pPr>
              <w:suppressAutoHyphens w:val="0"/>
              <w:spacing w:before="80" w:after="80" w:line="200" w:lineRule="exact"/>
              <w:jc w:val="right"/>
              <w:rPr>
                <w:bCs/>
                <w:i/>
                <w:iCs/>
                <w:sz w:val="16"/>
                <w:szCs w:val="16"/>
                <w:lang w:eastAsia="zh-CN"/>
              </w:rPr>
            </w:pPr>
            <w:r w:rsidRPr="00E07235">
              <w:rPr>
                <w:bCs/>
                <w:i/>
                <w:iCs/>
                <w:sz w:val="16"/>
                <w:szCs w:val="16"/>
                <w:lang w:eastAsia="zh-CN"/>
              </w:rPr>
              <w:t>Share of STD moderated meetings</w:t>
            </w:r>
            <w:r w:rsidRPr="00E07235">
              <w:rPr>
                <w:bCs/>
                <w:i/>
                <w:iCs/>
                <w:sz w:val="16"/>
                <w:szCs w:val="16"/>
                <w:lang w:eastAsia="zh-CN"/>
              </w:rPr>
              <w:br/>
              <w:t>(h)=(g)/(c)</w:t>
            </w:r>
          </w:p>
        </w:tc>
      </w:tr>
      <w:tr w:rsidR="00E07235" w:rsidRPr="00E07235" w14:paraId="2990397C" w14:textId="77777777" w:rsidTr="00AD1A66">
        <w:tc>
          <w:tcPr>
            <w:tcW w:w="1204" w:type="dxa"/>
            <w:tcBorders>
              <w:top w:val="single" w:sz="12" w:space="0" w:color="000000"/>
              <w:bottom w:val="single" w:sz="4" w:space="0" w:color="000000"/>
            </w:tcBorders>
            <w:shd w:val="clear" w:color="auto" w:fill="auto"/>
            <w:hideMark/>
          </w:tcPr>
          <w:p w14:paraId="58DBB686" w14:textId="77777777" w:rsidR="00E07235" w:rsidRPr="00E07235" w:rsidRDefault="00E07235" w:rsidP="00E07235">
            <w:pPr>
              <w:suppressAutoHyphens w:val="0"/>
              <w:spacing w:before="40" w:after="40" w:line="220" w:lineRule="exact"/>
              <w:rPr>
                <w:b/>
                <w:bCs/>
                <w:sz w:val="18"/>
                <w:szCs w:val="16"/>
                <w:lang w:eastAsia="zh-CN"/>
              </w:rPr>
            </w:pPr>
            <w:r w:rsidRPr="00E07235">
              <w:rPr>
                <w:b/>
                <w:bCs/>
                <w:sz w:val="18"/>
                <w:szCs w:val="16"/>
                <w:lang w:eastAsia="zh-CN"/>
              </w:rPr>
              <w:t xml:space="preserve">Group of Experts on URL </w:t>
            </w:r>
          </w:p>
        </w:tc>
        <w:tc>
          <w:tcPr>
            <w:tcW w:w="691" w:type="dxa"/>
            <w:tcBorders>
              <w:top w:val="single" w:sz="12" w:space="0" w:color="000000"/>
              <w:bottom w:val="single" w:sz="4" w:space="0" w:color="000000"/>
            </w:tcBorders>
            <w:shd w:val="clear" w:color="auto" w:fill="auto"/>
            <w:vAlign w:val="bottom"/>
            <w:hideMark/>
          </w:tcPr>
          <w:p w14:paraId="7FF620BF" w14:textId="77777777" w:rsidR="00E07235" w:rsidRPr="00E07235" w:rsidRDefault="00E07235" w:rsidP="00E07235">
            <w:pPr>
              <w:suppressAutoHyphens w:val="0"/>
              <w:spacing w:before="40" w:after="40" w:line="220" w:lineRule="exact"/>
              <w:jc w:val="right"/>
              <w:rPr>
                <w:sz w:val="18"/>
                <w:szCs w:val="16"/>
                <w:lang w:eastAsia="zh-CN"/>
              </w:rPr>
            </w:pPr>
            <w:r w:rsidRPr="00E07235">
              <w:rPr>
                <w:sz w:val="18"/>
                <w:szCs w:val="16"/>
                <w:lang w:eastAsia="zh-CN"/>
              </w:rPr>
              <w:t>6</w:t>
            </w:r>
          </w:p>
        </w:tc>
        <w:tc>
          <w:tcPr>
            <w:tcW w:w="593" w:type="dxa"/>
            <w:tcBorders>
              <w:top w:val="single" w:sz="12" w:space="0" w:color="000000"/>
              <w:bottom w:val="single" w:sz="4" w:space="0" w:color="000000"/>
            </w:tcBorders>
            <w:shd w:val="clear" w:color="auto" w:fill="auto"/>
            <w:vAlign w:val="bottom"/>
            <w:hideMark/>
          </w:tcPr>
          <w:p w14:paraId="20533913" w14:textId="77777777" w:rsidR="00E07235" w:rsidRPr="00E07235" w:rsidRDefault="00E07235" w:rsidP="00E07235">
            <w:pPr>
              <w:suppressAutoHyphens w:val="0"/>
              <w:spacing w:before="40" w:after="40" w:line="220" w:lineRule="exact"/>
              <w:jc w:val="right"/>
              <w:rPr>
                <w:sz w:val="18"/>
                <w:szCs w:val="16"/>
                <w:lang w:eastAsia="zh-CN"/>
              </w:rPr>
            </w:pPr>
            <w:r w:rsidRPr="00E07235">
              <w:rPr>
                <w:sz w:val="18"/>
                <w:szCs w:val="16"/>
                <w:lang w:eastAsia="zh-CN"/>
              </w:rPr>
              <w:t>6</w:t>
            </w:r>
          </w:p>
        </w:tc>
        <w:tc>
          <w:tcPr>
            <w:tcW w:w="806" w:type="dxa"/>
            <w:tcBorders>
              <w:top w:val="single" w:sz="12" w:space="0" w:color="000000"/>
              <w:bottom w:val="single" w:sz="4" w:space="0" w:color="000000"/>
            </w:tcBorders>
            <w:shd w:val="clear" w:color="auto" w:fill="auto"/>
            <w:vAlign w:val="bottom"/>
            <w:hideMark/>
          </w:tcPr>
          <w:p w14:paraId="33C140C8" w14:textId="77777777" w:rsidR="00E07235" w:rsidRPr="00E07235" w:rsidRDefault="00E07235" w:rsidP="00E07235">
            <w:pPr>
              <w:suppressAutoHyphens w:val="0"/>
              <w:spacing w:before="40" w:after="40" w:line="220" w:lineRule="exact"/>
              <w:jc w:val="right"/>
              <w:rPr>
                <w:sz w:val="18"/>
                <w:szCs w:val="16"/>
                <w:lang w:eastAsia="zh-CN"/>
              </w:rPr>
            </w:pPr>
            <w:r w:rsidRPr="00E07235">
              <w:rPr>
                <w:sz w:val="18"/>
                <w:szCs w:val="16"/>
                <w:lang w:eastAsia="zh-CN"/>
              </w:rPr>
              <w:t>6</w:t>
            </w:r>
          </w:p>
        </w:tc>
        <w:tc>
          <w:tcPr>
            <w:tcW w:w="806" w:type="dxa"/>
            <w:tcBorders>
              <w:top w:val="single" w:sz="12" w:space="0" w:color="000000"/>
              <w:bottom w:val="single" w:sz="4" w:space="0" w:color="000000"/>
              <w:right w:val="single" w:sz="4" w:space="0" w:color="000000"/>
            </w:tcBorders>
            <w:shd w:val="clear" w:color="auto" w:fill="auto"/>
            <w:vAlign w:val="bottom"/>
            <w:hideMark/>
          </w:tcPr>
          <w:p w14:paraId="17DEF8F3" w14:textId="77777777" w:rsidR="00E07235" w:rsidRPr="00E07235" w:rsidRDefault="00E07235" w:rsidP="00AD1A66">
            <w:pPr>
              <w:suppressAutoHyphens w:val="0"/>
              <w:spacing w:before="40" w:after="40" w:line="220" w:lineRule="exact"/>
              <w:ind w:right="57"/>
              <w:jc w:val="right"/>
              <w:rPr>
                <w:sz w:val="18"/>
                <w:szCs w:val="16"/>
                <w:lang w:eastAsia="zh-CN"/>
              </w:rPr>
            </w:pPr>
            <w:r w:rsidRPr="00E07235">
              <w:rPr>
                <w:sz w:val="18"/>
                <w:szCs w:val="16"/>
                <w:lang w:eastAsia="zh-CN"/>
              </w:rPr>
              <w:t>0</w:t>
            </w:r>
          </w:p>
        </w:tc>
        <w:tc>
          <w:tcPr>
            <w:tcW w:w="763" w:type="dxa"/>
            <w:tcBorders>
              <w:top w:val="single" w:sz="12" w:space="0" w:color="000000"/>
              <w:left w:val="single" w:sz="4" w:space="0" w:color="000000"/>
              <w:bottom w:val="single" w:sz="4" w:space="0" w:color="000000"/>
            </w:tcBorders>
            <w:shd w:val="clear" w:color="auto" w:fill="auto"/>
            <w:vAlign w:val="bottom"/>
            <w:hideMark/>
          </w:tcPr>
          <w:p w14:paraId="60012FE8" w14:textId="77777777" w:rsidR="00E07235" w:rsidRPr="00E07235" w:rsidRDefault="00E07235" w:rsidP="00E07235">
            <w:pPr>
              <w:suppressAutoHyphens w:val="0"/>
              <w:spacing w:before="40" w:after="40" w:line="220" w:lineRule="exact"/>
              <w:jc w:val="right"/>
              <w:rPr>
                <w:sz w:val="18"/>
                <w:szCs w:val="16"/>
                <w:lang w:eastAsia="zh-CN"/>
              </w:rPr>
            </w:pPr>
            <w:r w:rsidRPr="00E07235">
              <w:rPr>
                <w:sz w:val="18"/>
                <w:szCs w:val="16"/>
                <w:lang w:eastAsia="zh-CN"/>
              </w:rPr>
              <w:t>100%</w:t>
            </w:r>
          </w:p>
        </w:tc>
        <w:tc>
          <w:tcPr>
            <w:tcW w:w="806" w:type="dxa"/>
            <w:tcBorders>
              <w:top w:val="single" w:sz="12" w:space="0" w:color="000000"/>
              <w:bottom w:val="single" w:sz="4" w:space="0" w:color="000000"/>
              <w:right w:val="single" w:sz="4" w:space="0" w:color="000000"/>
            </w:tcBorders>
            <w:shd w:val="clear" w:color="auto" w:fill="auto"/>
            <w:vAlign w:val="bottom"/>
            <w:hideMark/>
          </w:tcPr>
          <w:p w14:paraId="2897C8E0" w14:textId="77777777" w:rsidR="00E07235" w:rsidRPr="00E07235" w:rsidRDefault="00E07235" w:rsidP="00E07235">
            <w:pPr>
              <w:suppressAutoHyphens w:val="0"/>
              <w:spacing w:before="40" w:after="40" w:line="220" w:lineRule="exact"/>
              <w:jc w:val="right"/>
              <w:rPr>
                <w:sz w:val="18"/>
                <w:szCs w:val="16"/>
                <w:lang w:eastAsia="zh-CN"/>
              </w:rPr>
            </w:pPr>
            <w:r w:rsidRPr="00E07235">
              <w:rPr>
                <w:sz w:val="18"/>
                <w:szCs w:val="16"/>
                <w:lang w:eastAsia="zh-CN"/>
              </w:rPr>
              <w:t>100%</w:t>
            </w:r>
          </w:p>
        </w:tc>
        <w:tc>
          <w:tcPr>
            <w:tcW w:w="1043" w:type="dxa"/>
            <w:tcBorders>
              <w:top w:val="single" w:sz="12" w:space="0" w:color="000000"/>
              <w:left w:val="single" w:sz="4" w:space="0" w:color="000000"/>
              <w:bottom w:val="single" w:sz="4" w:space="0" w:color="000000"/>
            </w:tcBorders>
            <w:shd w:val="clear" w:color="auto" w:fill="auto"/>
            <w:vAlign w:val="bottom"/>
            <w:hideMark/>
          </w:tcPr>
          <w:p w14:paraId="6201FAEF" w14:textId="77777777" w:rsidR="00E07235" w:rsidRPr="00E07235" w:rsidRDefault="00E07235" w:rsidP="00E07235">
            <w:pPr>
              <w:suppressAutoHyphens w:val="0"/>
              <w:spacing w:before="40" w:after="40" w:line="220" w:lineRule="exact"/>
              <w:jc w:val="right"/>
              <w:rPr>
                <w:sz w:val="18"/>
                <w:szCs w:val="16"/>
                <w:lang w:eastAsia="zh-CN"/>
              </w:rPr>
            </w:pPr>
            <w:r w:rsidRPr="00E07235">
              <w:rPr>
                <w:sz w:val="18"/>
                <w:szCs w:val="16"/>
                <w:lang w:eastAsia="zh-CN"/>
              </w:rPr>
              <w:t>0</w:t>
            </w:r>
          </w:p>
        </w:tc>
        <w:tc>
          <w:tcPr>
            <w:tcW w:w="658" w:type="dxa"/>
            <w:tcBorders>
              <w:top w:val="single" w:sz="12" w:space="0" w:color="000000"/>
              <w:bottom w:val="single" w:sz="4" w:space="0" w:color="000000"/>
            </w:tcBorders>
            <w:shd w:val="clear" w:color="auto" w:fill="auto"/>
            <w:vAlign w:val="bottom"/>
            <w:hideMark/>
          </w:tcPr>
          <w:p w14:paraId="0104A08F" w14:textId="77777777" w:rsidR="00E07235" w:rsidRPr="00E07235" w:rsidRDefault="00E07235" w:rsidP="00E07235">
            <w:pPr>
              <w:suppressAutoHyphens w:val="0"/>
              <w:spacing w:before="40" w:after="40" w:line="220" w:lineRule="exact"/>
              <w:jc w:val="right"/>
              <w:rPr>
                <w:sz w:val="18"/>
                <w:szCs w:val="16"/>
                <w:lang w:eastAsia="zh-CN"/>
              </w:rPr>
            </w:pPr>
            <w:r w:rsidRPr="00E07235">
              <w:rPr>
                <w:sz w:val="18"/>
                <w:szCs w:val="16"/>
                <w:lang w:eastAsia="zh-CN"/>
              </w:rPr>
              <w:t>0%</w:t>
            </w:r>
          </w:p>
        </w:tc>
      </w:tr>
      <w:tr w:rsidR="00AD1A66" w:rsidRPr="00E07235" w14:paraId="3D8726DC" w14:textId="77777777" w:rsidTr="00AD1A66">
        <w:tc>
          <w:tcPr>
            <w:tcW w:w="1204" w:type="dxa"/>
            <w:tcBorders>
              <w:top w:val="single" w:sz="4" w:space="0" w:color="000000"/>
              <w:bottom w:val="single" w:sz="4" w:space="0" w:color="000000"/>
            </w:tcBorders>
            <w:shd w:val="clear" w:color="auto" w:fill="auto"/>
            <w:hideMark/>
          </w:tcPr>
          <w:p w14:paraId="1CFA11FB" w14:textId="77777777" w:rsidR="00E07235" w:rsidRPr="00E07235" w:rsidRDefault="00E07235" w:rsidP="00E07235">
            <w:pPr>
              <w:suppressAutoHyphens w:val="0"/>
              <w:spacing w:before="40" w:after="40" w:line="220" w:lineRule="exact"/>
              <w:rPr>
                <w:b/>
                <w:bCs/>
                <w:sz w:val="18"/>
                <w:szCs w:val="16"/>
                <w:lang w:eastAsia="zh-CN"/>
              </w:rPr>
            </w:pPr>
            <w:r w:rsidRPr="00E07235">
              <w:rPr>
                <w:b/>
                <w:bCs/>
                <w:sz w:val="18"/>
                <w:szCs w:val="16"/>
                <w:lang w:eastAsia="zh-CN"/>
              </w:rPr>
              <w:t xml:space="preserve"> Group of Experts on PIRRS </w:t>
            </w:r>
          </w:p>
        </w:tc>
        <w:tc>
          <w:tcPr>
            <w:tcW w:w="691" w:type="dxa"/>
            <w:tcBorders>
              <w:top w:val="single" w:sz="4" w:space="0" w:color="000000"/>
              <w:bottom w:val="single" w:sz="4" w:space="0" w:color="000000"/>
            </w:tcBorders>
            <w:shd w:val="clear" w:color="auto" w:fill="auto"/>
            <w:vAlign w:val="bottom"/>
            <w:hideMark/>
          </w:tcPr>
          <w:p w14:paraId="4090978C" w14:textId="77777777" w:rsidR="00E07235" w:rsidRPr="00E07235" w:rsidRDefault="00E07235" w:rsidP="00E07235">
            <w:pPr>
              <w:suppressAutoHyphens w:val="0"/>
              <w:spacing w:before="40" w:after="40" w:line="220" w:lineRule="exact"/>
              <w:jc w:val="right"/>
              <w:rPr>
                <w:sz w:val="18"/>
                <w:szCs w:val="16"/>
                <w:lang w:eastAsia="zh-CN"/>
              </w:rPr>
            </w:pPr>
            <w:r w:rsidRPr="00E07235">
              <w:rPr>
                <w:sz w:val="18"/>
                <w:szCs w:val="16"/>
                <w:lang w:eastAsia="zh-CN"/>
              </w:rPr>
              <w:t>12</w:t>
            </w:r>
          </w:p>
        </w:tc>
        <w:tc>
          <w:tcPr>
            <w:tcW w:w="593" w:type="dxa"/>
            <w:tcBorders>
              <w:top w:val="single" w:sz="4" w:space="0" w:color="000000"/>
              <w:bottom w:val="single" w:sz="4" w:space="0" w:color="000000"/>
            </w:tcBorders>
            <w:shd w:val="clear" w:color="auto" w:fill="auto"/>
            <w:vAlign w:val="bottom"/>
            <w:hideMark/>
          </w:tcPr>
          <w:p w14:paraId="0612B163" w14:textId="77777777" w:rsidR="00E07235" w:rsidRPr="00E07235" w:rsidRDefault="00E07235" w:rsidP="00E07235">
            <w:pPr>
              <w:suppressAutoHyphens w:val="0"/>
              <w:spacing w:before="40" w:after="40" w:line="220" w:lineRule="exact"/>
              <w:jc w:val="right"/>
              <w:rPr>
                <w:sz w:val="18"/>
                <w:szCs w:val="16"/>
                <w:lang w:eastAsia="zh-CN"/>
              </w:rPr>
            </w:pPr>
            <w:r w:rsidRPr="00E07235">
              <w:rPr>
                <w:sz w:val="18"/>
                <w:szCs w:val="16"/>
                <w:lang w:eastAsia="zh-CN"/>
              </w:rPr>
              <w:t>6</w:t>
            </w:r>
          </w:p>
        </w:tc>
        <w:tc>
          <w:tcPr>
            <w:tcW w:w="806" w:type="dxa"/>
            <w:tcBorders>
              <w:top w:val="single" w:sz="4" w:space="0" w:color="000000"/>
              <w:bottom w:val="single" w:sz="4" w:space="0" w:color="000000"/>
            </w:tcBorders>
            <w:shd w:val="clear" w:color="auto" w:fill="auto"/>
            <w:vAlign w:val="bottom"/>
            <w:hideMark/>
          </w:tcPr>
          <w:p w14:paraId="162BE4C1" w14:textId="77777777" w:rsidR="00E07235" w:rsidRPr="00E07235" w:rsidRDefault="00E07235" w:rsidP="00E07235">
            <w:pPr>
              <w:suppressAutoHyphens w:val="0"/>
              <w:spacing w:before="40" w:after="40" w:line="220" w:lineRule="exact"/>
              <w:jc w:val="right"/>
              <w:rPr>
                <w:sz w:val="18"/>
                <w:szCs w:val="16"/>
                <w:lang w:eastAsia="zh-CN"/>
              </w:rPr>
            </w:pPr>
            <w:r w:rsidRPr="00E07235">
              <w:rPr>
                <w:sz w:val="18"/>
                <w:szCs w:val="16"/>
                <w:lang w:eastAsia="zh-CN"/>
              </w:rPr>
              <w:t>4</w:t>
            </w:r>
          </w:p>
        </w:tc>
        <w:tc>
          <w:tcPr>
            <w:tcW w:w="806" w:type="dxa"/>
            <w:tcBorders>
              <w:top w:val="single" w:sz="4" w:space="0" w:color="000000"/>
              <w:bottom w:val="single" w:sz="4" w:space="0" w:color="000000"/>
              <w:right w:val="single" w:sz="4" w:space="0" w:color="000000"/>
            </w:tcBorders>
            <w:shd w:val="clear" w:color="auto" w:fill="auto"/>
            <w:vAlign w:val="bottom"/>
            <w:hideMark/>
          </w:tcPr>
          <w:p w14:paraId="2CF38606" w14:textId="77777777" w:rsidR="00E07235" w:rsidRPr="00E07235" w:rsidRDefault="00E07235" w:rsidP="00AD1A66">
            <w:pPr>
              <w:suppressAutoHyphens w:val="0"/>
              <w:spacing w:before="40" w:after="40" w:line="220" w:lineRule="exact"/>
              <w:ind w:right="57"/>
              <w:jc w:val="right"/>
              <w:rPr>
                <w:sz w:val="18"/>
                <w:szCs w:val="16"/>
                <w:lang w:eastAsia="zh-CN"/>
              </w:rPr>
            </w:pPr>
            <w:r w:rsidRPr="00E07235">
              <w:rPr>
                <w:sz w:val="18"/>
                <w:szCs w:val="16"/>
                <w:lang w:eastAsia="zh-CN"/>
              </w:rPr>
              <w:t>0</w:t>
            </w:r>
          </w:p>
        </w:tc>
        <w:tc>
          <w:tcPr>
            <w:tcW w:w="763" w:type="dxa"/>
            <w:tcBorders>
              <w:top w:val="single" w:sz="4" w:space="0" w:color="000000"/>
              <w:left w:val="single" w:sz="4" w:space="0" w:color="000000"/>
              <w:bottom w:val="single" w:sz="4" w:space="0" w:color="000000"/>
            </w:tcBorders>
            <w:shd w:val="clear" w:color="auto" w:fill="auto"/>
            <w:vAlign w:val="bottom"/>
            <w:hideMark/>
          </w:tcPr>
          <w:p w14:paraId="156959B7" w14:textId="77777777" w:rsidR="00E07235" w:rsidRPr="00E07235" w:rsidRDefault="00E07235" w:rsidP="00E07235">
            <w:pPr>
              <w:suppressAutoHyphens w:val="0"/>
              <w:spacing w:before="40" w:after="40" w:line="220" w:lineRule="exact"/>
              <w:jc w:val="right"/>
              <w:rPr>
                <w:sz w:val="18"/>
                <w:szCs w:val="16"/>
                <w:lang w:eastAsia="zh-CN"/>
              </w:rPr>
            </w:pPr>
            <w:r w:rsidRPr="00E07235">
              <w:rPr>
                <w:sz w:val="18"/>
                <w:szCs w:val="16"/>
                <w:lang w:eastAsia="zh-CN"/>
              </w:rPr>
              <w:t>50%</w:t>
            </w:r>
          </w:p>
        </w:tc>
        <w:tc>
          <w:tcPr>
            <w:tcW w:w="806" w:type="dxa"/>
            <w:tcBorders>
              <w:top w:val="single" w:sz="4" w:space="0" w:color="000000"/>
              <w:bottom w:val="single" w:sz="4" w:space="0" w:color="000000"/>
              <w:right w:val="single" w:sz="4" w:space="0" w:color="000000"/>
            </w:tcBorders>
            <w:shd w:val="clear" w:color="auto" w:fill="auto"/>
            <w:vAlign w:val="bottom"/>
            <w:hideMark/>
          </w:tcPr>
          <w:p w14:paraId="05A38A8A" w14:textId="77777777" w:rsidR="00E07235" w:rsidRPr="00E07235" w:rsidRDefault="00E07235" w:rsidP="00E07235">
            <w:pPr>
              <w:suppressAutoHyphens w:val="0"/>
              <w:spacing w:before="40" w:after="40" w:line="220" w:lineRule="exact"/>
              <w:jc w:val="right"/>
              <w:rPr>
                <w:sz w:val="18"/>
                <w:szCs w:val="16"/>
                <w:lang w:eastAsia="zh-CN"/>
              </w:rPr>
            </w:pPr>
            <w:r w:rsidRPr="00E07235">
              <w:rPr>
                <w:sz w:val="18"/>
                <w:szCs w:val="16"/>
                <w:lang w:eastAsia="zh-CN"/>
              </w:rPr>
              <w:t>33%</w:t>
            </w:r>
          </w:p>
        </w:tc>
        <w:tc>
          <w:tcPr>
            <w:tcW w:w="1043" w:type="dxa"/>
            <w:tcBorders>
              <w:top w:val="single" w:sz="4" w:space="0" w:color="000000"/>
              <w:left w:val="single" w:sz="4" w:space="0" w:color="000000"/>
              <w:bottom w:val="single" w:sz="4" w:space="0" w:color="000000"/>
            </w:tcBorders>
            <w:shd w:val="clear" w:color="auto" w:fill="auto"/>
            <w:vAlign w:val="bottom"/>
            <w:hideMark/>
          </w:tcPr>
          <w:p w14:paraId="6E06876D" w14:textId="77777777" w:rsidR="00E07235" w:rsidRPr="00E07235" w:rsidRDefault="00E07235" w:rsidP="00E07235">
            <w:pPr>
              <w:suppressAutoHyphens w:val="0"/>
              <w:spacing w:before="40" w:after="40" w:line="220" w:lineRule="exact"/>
              <w:jc w:val="right"/>
              <w:rPr>
                <w:sz w:val="18"/>
                <w:szCs w:val="16"/>
                <w:lang w:eastAsia="zh-CN"/>
              </w:rPr>
            </w:pPr>
            <w:r w:rsidRPr="00E07235">
              <w:rPr>
                <w:sz w:val="18"/>
                <w:szCs w:val="16"/>
                <w:lang w:eastAsia="zh-CN"/>
              </w:rPr>
              <w:t>4</w:t>
            </w:r>
          </w:p>
        </w:tc>
        <w:tc>
          <w:tcPr>
            <w:tcW w:w="658" w:type="dxa"/>
            <w:tcBorders>
              <w:top w:val="single" w:sz="4" w:space="0" w:color="000000"/>
              <w:bottom w:val="single" w:sz="4" w:space="0" w:color="000000"/>
            </w:tcBorders>
            <w:shd w:val="clear" w:color="auto" w:fill="auto"/>
            <w:vAlign w:val="bottom"/>
            <w:hideMark/>
          </w:tcPr>
          <w:p w14:paraId="0B8662C0" w14:textId="77777777" w:rsidR="00E07235" w:rsidRPr="00E07235" w:rsidRDefault="00E07235" w:rsidP="00E07235">
            <w:pPr>
              <w:suppressAutoHyphens w:val="0"/>
              <w:spacing w:before="40" w:after="40" w:line="220" w:lineRule="exact"/>
              <w:jc w:val="right"/>
              <w:rPr>
                <w:sz w:val="18"/>
                <w:szCs w:val="16"/>
                <w:lang w:eastAsia="zh-CN"/>
              </w:rPr>
            </w:pPr>
            <w:r w:rsidRPr="00E07235">
              <w:rPr>
                <w:sz w:val="18"/>
                <w:szCs w:val="16"/>
                <w:lang w:eastAsia="zh-CN"/>
              </w:rPr>
              <w:t>100%</w:t>
            </w:r>
          </w:p>
        </w:tc>
      </w:tr>
      <w:tr w:rsidR="00E07235" w:rsidRPr="00E07235" w14:paraId="48CA70E3" w14:textId="77777777" w:rsidTr="00AD1A66">
        <w:tc>
          <w:tcPr>
            <w:tcW w:w="1204" w:type="dxa"/>
            <w:tcBorders>
              <w:top w:val="single" w:sz="4" w:space="0" w:color="000000"/>
              <w:bottom w:val="single" w:sz="4" w:space="0" w:color="000000"/>
            </w:tcBorders>
            <w:shd w:val="clear" w:color="auto" w:fill="auto"/>
            <w:hideMark/>
          </w:tcPr>
          <w:p w14:paraId="04EA87DD" w14:textId="77777777" w:rsidR="00E07235" w:rsidRPr="00E07235" w:rsidRDefault="00E07235" w:rsidP="00E07235">
            <w:pPr>
              <w:suppressAutoHyphens w:val="0"/>
              <w:spacing w:before="40" w:after="40" w:line="220" w:lineRule="exact"/>
              <w:rPr>
                <w:b/>
                <w:bCs/>
                <w:sz w:val="18"/>
                <w:szCs w:val="16"/>
                <w:lang w:eastAsia="zh-CN"/>
              </w:rPr>
            </w:pPr>
            <w:r w:rsidRPr="00E07235">
              <w:rPr>
                <w:b/>
                <w:bCs/>
                <w:sz w:val="18"/>
                <w:szCs w:val="16"/>
                <w:lang w:eastAsia="zh-CN"/>
              </w:rPr>
              <w:t xml:space="preserve">Group of Experts on International Rail Passenger Hubs </w:t>
            </w:r>
          </w:p>
        </w:tc>
        <w:tc>
          <w:tcPr>
            <w:tcW w:w="691" w:type="dxa"/>
            <w:tcBorders>
              <w:top w:val="single" w:sz="4" w:space="0" w:color="000000"/>
              <w:bottom w:val="single" w:sz="4" w:space="0" w:color="000000"/>
            </w:tcBorders>
            <w:shd w:val="clear" w:color="auto" w:fill="auto"/>
            <w:vAlign w:val="bottom"/>
            <w:hideMark/>
          </w:tcPr>
          <w:p w14:paraId="346AD6C5" w14:textId="77777777" w:rsidR="00E07235" w:rsidRPr="00E07235" w:rsidRDefault="00E07235" w:rsidP="00E07235">
            <w:pPr>
              <w:suppressAutoHyphens w:val="0"/>
              <w:spacing w:before="40" w:after="40" w:line="220" w:lineRule="exact"/>
              <w:jc w:val="right"/>
              <w:rPr>
                <w:sz w:val="18"/>
                <w:szCs w:val="16"/>
                <w:lang w:eastAsia="zh-CN"/>
              </w:rPr>
            </w:pPr>
            <w:r w:rsidRPr="00E07235">
              <w:rPr>
                <w:sz w:val="18"/>
                <w:szCs w:val="16"/>
                <w:lang w:eastAsia="zh-CN"/>
              </w:rPr>
              <w:t>12</w:t>
            </w:r>
          </w:p>
        </w:tc>
        <w:tc>
          <w:tcPr>
            <w:tcW w:w="593" w:type="dxa"/>
            <w:tcBorders>
              <w:top w:val="single" w:sz="4" w:space="0" w:color="000000"/>
              <w:bottom w:val="single" w:sz="4" w:space="0" w:color="000000"/>
            </w:tcBorders>
            <w:shd w:val="clear" w:color="auto" w:fill="auto"/>
            <w:vAlign w:val="bottom"/>
            <w:hideMark/>
          </w:tcPr>
          <w:p w14:paraId="01BE00DD" w14:textId="77777777" w:rsidR="00E07235" w:rsidRPr="00E07235" w:rsidRDefault="00E07235" w:rsidP="00E07235">
            <w:pPr>
              <w:suppressAutoHyphens w:val="0"/>
              <w:spacing w:before="40" w:after="40" w:line="220" w:lineRule="exact"/>
              <w:jc w:val="right"/>
              <w:rPr>
                <w:sz w:val="18"/>
                <w:szCs w:val="16"/>
                <w:lang w:eastAsia="zh-CN"/>
              </w:rPr>
            </w:pPr>
            <w:r w:rsidRPr="00E07235">
              <w:rPr>
                <w:sz w:val="18"/>
                <w:szCs w:val="16"/>
                <w:lang w:eastAsia="zh-CN"/>
              </w:rPr>
              <w:t>9</w:t>
            </w:r>
          </w:p>
        </w:tc>
        <w:tc>
          <w:tcPr>
            <w:tcW w:w="806" w:type="dxa"/>
            <w:tcBorders>
              <w:top w:val="single" w:sz="4" w:space="0" w:color="000000"/>
              <w:bottom w:val="single" w:sz="4" w:space="0" w:color="000000"/>
            </w:tcBorders>
            <w:shd w:val="clear" w:color="auto" w:fill="auto"/>
            <w:vAlign w:val="bottom"/>
            <w:hideMark/>
          </w:tcPr>
          <w:p w14:paraId="7133C1B9" w14:textId="77777777" w:rsidR="00E07235" w:rsidRPr="00E07235" w:rsidRDefault="00E07235" w:rsidP="00E07235">
            <w:pPr>
              <w:suppressAutoHyphens w:val="0"/>
              <w:spacing w:before="40" w:after="40" w:line="220" w:lineRule="exact"/>
              <w:jc w:val="right"/>
              <w:rPr>
                <w:sz w:val="18"/>
                <w:szCs w:val="16"/>
                <w:lang w:eastAsia="zh-CN"/>
              </w:rPr>
            </w:pPr>
            <w:r w:rsidRPr="00E07235">
              <w:rPr>
                <w:sz w:val="18"/>
                <w:szCs w:val="16"/>
                <w:lang w:eastAsia="zh-CN"/>
              </w:rPr>
              <w:t>9</w:t>
            </w:r>
          </w:p>
        </w:tc>
        <w:tc>
          <w:tcPr>
            <w:tcW w:w="806" w:type="dxa"/>
            <w:tcBorders>
              <w:top w:val="single" w:sz="4" w:space="0" w:color="000000"/>
              <w:bottom w:val="single" w:sz="4" w:space="0" w:color="000000"/>
              <w:right w:val="single" w:sz="4" w:space="0" w:color="000000"/>
            </w:tcBorders>
            <w:shd w:val="clear" w:color="auto" w:fill="auto"/>
            <w:vAlign w:val="bottom"/>
            <w:hideMark/>
          </w:tcPr>
          <w:p w14:paraId="699BD330" w14:textId="77777777" w:rsidR="00E07235" w:rsidRPr="00E07235" w:rsidRDefault="00E07235" w:rsidP="00AD1A66">
            <w:pPr>
              <w:suppressAutoHyphens w:val="0"/>
              <w:spacing w:before="40" w:after="40" w:line="220" w:lineRule="exact"/>
              <w:ind w:right="57"/>
              <w:jc w:val="right"/>
              <w:rPr>
                <w:sz w:val="18"/>
                <w:szCs w:val="16"/>
                <w:lang w:eastAsia="zh-CN"/>
              </w:rPr>
            </w:pPr>
            <w:r w:rsidRPr="00E07235">
              <w:rPr>
                <w:sz w:val="18"/>
                <w:szCs w:val="16"/>
                <w:lang w:eastAsia="zh-CN"/>
              </w:rPr>
              <w:t>0</w:t>
            </w:r>
          </w:p>
        </w:tc>
        <w:tc>
          <w:tcPr>
            <w:tcW w:w="763" w:type="dxa"/>
            <w:tcBorders>
              <w:top w:val="single" w:sz="4" w:space="0" w:color="000000"/>
              <w:left w:val="single" w:sz="4" w:space="0" w:color="000000"/>
              <w:bottom w:val="single" w:sz="4" w:space="0" w:color="000000"/>
            </w:tcBorders>
            <w:shd w:val="clear" w:color="auto" w:fill="auto"/>
            <w:vAlign w:val="bottom"/>
            <w:hideMark/>
          </w:tcPr>
          <w:p w14:paraId="1A01C875" w14:textId="77777777" w:rsidR="00E07235" w:rsidRPr="00E07235" w:rsidRDefault="00E07235" w:rsidP="00E07235">
            <w:pPr>
              <w:suppressAutoHyphens w:val="0"/>
              <w:spacing w:before="40" w:after="40" w:line="220" w:lineRule="exact"/>
              <w:jc w:val="right"/>
              <w:rPr>
                <w:sz w:val="18"/>
                <w:szCs w:val="16"/>
                <w:lang w:eastAsia="zh-CN"/>
              </w:rPr>
            </w:pPr>
            <w:r w:rsidRPr="00E07235">
              <w:rPr>
                <w:sz w:val="18"/>
                <w:szCs w:val="16"/>
                <w:lang w:eastAsia="zh-CN"/>
              </w:rPr>
              <w:t>75%</w:t>
            </w:r>
          </w:p>
        </w:tc>
        <w:tc>
          <w:tcPr>
            <w:tcW w:w="806" w:type="dxa"/>
            <w:tcBorders>
              <w:top w:val="single" w:sz="4" w:space="0" w:color="000000"/>
              <w:bottom w:val="single" w:sz="4" w:space="0" w:color="000000"/>
              <w:right w:val="single" w:sz="4" w:space="0" w:color="000000"/>
            </w:tcBorders>
            <w:shd w:val="clear" w:color="auto" w:fill="auto"/>
            <w:vAlign w:val="bottom"/>
            <w:hideMark/>
          </w:tcPr>
          <w:p w14:paraId="5173F92F" w14:textId="77777777" w:rsidR="00E07235" w:rsidRPr="00E07235" w:rsidRDefault="00E07235" w:rsidP="00E07235">
            <w:pPr>
              <w:suppressAutoHyphens w:val="0"/>
              <w:spacing w:before="40" w:after="40" w:line="220" w:lineRule="exact"/>
              <w:jc w:val="right"/>
              <w:rPr>
                <w:sz w:val="18"/>
                <w:szCs w:val="16"/>
                <w:lang w:eastAsia="zh-CN"/>
              </w:rPr>
            </w:pPr>
            <w:r w:rsidRPr="00E07235">
              <w:rPr>
                <w:sz w:val="18"/>
                <w:szCs w:val="16"/>
                <w:lang w:eastAsia="zh-CN"/>
              </w:rPr>
              <w:t>75%</w:t>
            </w:r>
          </w:p>
        </w:tc>
        <w:tc>
          <w:tcPr>
            <w:tcW w:w="1043" w:type="dxa"/>
            <w:tcBorders>
              <w:top w:val="single" w:sz="4" w:space="0" w:color="000000"/>
              <w:left w:val="single" w:sz="4" w:space="0" w:color="000000"/>
              <w:bottom w:val="single" w:sz="4" w:space="0" w:color="000000"/>
            </w:tcBorders>
            <w:shd w:val="clear" w:color="auto" w:fill="auto"/>
            <w:vAlign w:val="bottom"/>
            <w:hideMark/>
          </w:tcPr>
          <w:p w14:paraId="692B6141" w14:textId="77777777" w:rsidR="00E07235" w:rsidRPr="00E07235" w:rsidRDefault="00E07235" w:rsidP="00E07235">
            <w:pPr>
              <w:suppressAutoHyphens w:val="0"/>
              <w:spacing w:before="40" w:after="40" w:line="220" w:lineRule="exact"/>
              <w:jc w:val="right"/>
              <w:rPr>
                <w:sz w:val="18"/>
                <w:szCs w:val="16"/>
                <w:lang w:eastAsia="zh-CN"/>
              </w:rPr>
            </w:pPr>
            <w:r w:rsidRPr="00E07235">
              <w:rPr>
                <w:sz w:val="18"/>
                <w:szCs w:val="16"/>
                <w:lang w:eastAsia="zh-CN"/>
              </w:rPr>
              <w:t>6</w:t>
            </w:r>
          </w:p>
        </w:tc>
        <w:tc>
          <w:tcPr>
            <w:tcW w:w="658" w:type="dxa"/>
            <w:tcBorders>
              <w:top w:val="single" w:sz="4" w:space="0" w:color="000000"/>
              <w:bottom w:val="single" w:sz="4" w:space="0" w:color="000000"/>
            </w:tcBorders>
            <w:shd w:val="clear" w:color="auto" w:fill="auto"/>
            <w:vAlign w:val="bottom"/>
            <w:hideMark/>
          </w:tcPr>
          <w:p w14:paraId="403EEB02" w14:textId="77777777" w:rsidR="00E07235" w:rsidRPr="00E07235" w:rsidRDefault="00E07235" w:rsidP="00E07235">
            <w:pPr>
              <w:suppressAutoHyphens w:val="0"/>
              <w:spacing w:before="40" w:after="40" w:line="220" w:lineRule="exact"/>
              <w:jc w:val="right"/>
              <w:rPr>
                <w:sz w:val="18"/>
                <w:szCs w:val="16"/>
                <w:lang w:eastAsia="zh-CN"/>
              </w:rPr>
            </w:pPr>
            <w:r w:rsidRPr="00E07235">
              <w:rPr>
                <w:sz w:val="18"/>
                <w:szCs w:val="16"/>
                <w:lang w:eastAsia="zh-CN"/>
              </w:rPr>
              <w:t>67%</w:t>
            </w:r>
          </w:p>
        </w:tc>
      </w:tr>
      <w:tr w:rsidR="00AD1A66" w:rsidRPr="00E07235" w14:paraId="337A6F5A" w14:textId="77777777" w:rsidTr="00AD1A66">
        <w:tc>
          <w:tcPr>
            <w:tcW w:w="1204" w:type="dxa"/>
            <w:tcBorders>
              <w:top w:val="single" w:sz="4" w:space="0" w:color="000000"/>
              <w:bottom w:val="single" w:sz="4" w:space="0" w:color="000000"/>
            </w:tcBorders>
            <w:shd w:val="clear" w:color="auto" w:fill="auto"/>
            <w:hideMark/>
          </w:tcPr>
          <w:p w14:paraId="1959810B" w14:textId="77777777" w:rsidR="00E07235" w:rsidRPr="00E07235" w:rsidRDefault="00E07235" w:rsidP="00E07235">
            <w:pPr>
              <w:suppressAutoHyphens w:val="0"/>
              <w:spacing w:before="40" w:after="40" w:line="220" w:lineRule="exact"/>
              <w:rPr>
                <w:b/>
                <w:bCs/>
                <w:sz w:val="18"/>
                <w:szCs w:val="16"/>
                <w:lang w:eastAsia="zh-CN"/>
              </w:rPr>
            </w:pPr>
            <w:r w:rsidRPr="00E07235">
              <w:rPr>
                <w:b/>
                <w:bCs/>
                <w:sz w:val="18"/>
                <w:szCs w:val="16"/>
                <w:lang w:eastAsia="zh-CN"/>
              </w:rPr>
              <w:t>Group of Experts on AETR</w:t>
            </w:r>
          </w:p>
        </w:tc>
        <w:tc>
          <w:tcPr>
            <w:tcW w:w="691" w:type="dxa"/>
            <w:tcBorders>
              <w:top w:val="single" w:sz="4" w:space="0" w:color="000000"/>
              <w:bottom w:val="single" w:sz="4" w:space="0" w:color="000000"/>
            </w:tcBorders>
            <w:shd w:val="clear" w:color="auto" w:fill="auto"/>
            <w:vAlign w:val="bottom"/>
            <w:hideMark/>
          </w:tcPr>
          <w:p w14:paraId="19B84EE7" w14:textId="77777777" w:rsidR="00E07235" w:rsidRPr="00E07235" w:rsidRDefault="00E07235" w:rsidP="00E07235">
            <w:pPr>
              <w:suppressAutoHyphens w:val="0"/>
              <w:spacing w:before="40" w:after="40" w:line="220" w:lineRule="exact"/>
              <w:jc w:val="right"/>
              <w:rPr>
                <w:sz w:val="18"/>
                <w:szCs w:val="16"/>
                <w:lang w:eastAsia="zh-CN"/>
              </w:rPr>
            </w:pPr>
            <w:r w:rsidRPr="00E07235">
              <w:rPr>
                <w:sz w:val="18"/>
                <w:szCs w:val="16"/>
                <w:lang w:eastAsia="zh-CN"/>
              </w:rPr>
              <w:t>6</w:t>
            </w:r>
          </w:p>
        </w:tc>
        <w:tc>
          <w:tcPr>
            <w:tcW w:w="593" w:type="dxa"/>
            <w:tcBorders>
              <w:top w:val="single" w:sz="4" w:space="0" w:color="000000"/>
              <w:bottom w:val="single" w:sz="4" w:space="0" w:color="000000"/>
            </w:tcBorders>
            <w:shd w:val="clear" w:color="auto" w:fill="auto"/>
            <w:vAlign w:val="bottom"/>
            <w:hideMark/>
          </w:tcPr>
          <w:p w14:paraId="4EB7A778" w14:textId="77777777" w:rsidR="00E07235" w:rsidRPr="00E07235" w:rsidRDefault="00E07235" w:rsidP="00E07235">
            <w:pPr>
              <w:suppressAutoHyphens w:val="0"/>
              <w:spacing w:before="40" w:after="40" w:line="220" w:lineRule="exact"/>
              <w:jc w:val="right"/>
              <w:rPr>
                <w:sz w:val="18"/>
                <w:szCs w:val="16"/>
                <w:lang w:eastAsia="zh-CN"/>
              </w:rPr>
            </w:pPr>
            <w:r w:rsidRPr="00E07235">
              <w:rPr>
                <w:sz w:val="18"/>
                <w:szCs w:val="16"/>
                <w:lang w:eastAsia="zh-CN"/>
              </w:rPr>
              <w:t>6</w:t>
            </w:r>
          </w:p>
        </w:tc>
        <w:tc>
          <w:tcPr>
            <w:tcW w:w="806" w:type="dxa"/>
            <w:tcBorders>
              <w:top w:val="single" w:sz="4" w:space="0" w:color="000000"/>
              <w:bottom w:val="single" w:sz="4" w:space="0" w:color="000000"/>
            </w:tcBorders>
            <w:shd w:val="clear" w:color="auto" w:fill="auto"/>
            <w:vAlign w:val="bottom"/>
            <w:hideMark/>
          </w:tcPr>
          <w:p w14:paraId="76A07F3B" w14:textId="77777777" w:rsidR="00E07235" w:rsidRPr="00E07235" w:rsidRDefault="00E07235" w:rsidP="00E07235">
            <w:pPr>
              <w:suppressAutoHyphens w:val="0"/>
              <w:spacing w:before="40" w:after="40" w:line="220" w:lineRule="exact"/>
              <w:jc w:val="right"/>
              <w:rPr>
                <w:sz w:val="18"/>
                <w:szCs w:val="16"/>
                <w:lang w:eastAsia="zh-CN"/>
              </w:rPr>
            </w:pPr>
            <w:r w:rsidRPr="00E07235">
              <w:rPr>
                <w:sz w:val="18"/>
                <w:szCs w:val="16"/>
                <w:lang w:eastAsia="zh-CN"/>
              </w:rPr>
              <w:t>6</w:t>
            </w:r>
          </w:p>
        </w:tc>
        <w:tc>
          <w:tcPr>
            <w:tcW w:w="806" w:type="dxa"/>
            <w:tcBorders>
              <w:top w:val="single" w:sz="4" w:space="0" w:color="000000"/>
              <w:bottom w:val="single" w:sz="4" w:space="0" w:color="000000"/>
              <w:right w:val="single" w:sz="4" w:space="0" w:color="000000"/>
            </w:tcBorders>
            <w:shd w:val="clear" w:color="auto" w:fill="auto"/>
            <w:vAlign w:val="bottom"/>
            <w:hideMark/>
          </w:tcPr>
          <w:p w14:paraId="063DF612" w14:textId="77777777" w:rsidR="00E07235" w:rsidRPr="00E07235" w:rsidRDefault="00E07235" w:rsidP="00AD1A66">
            <w:pPr>
              <w:suppressAutoHyphens w:val="0"/>
              <w:spacing w:before="40" w:after="40" w:line="220" w:lineRule="exact"/>
              <w:ind w:right="57"/>
              <w:jc w:val="right"/>
              <w:rPr>
                <w:sz w:val="18"/>
                <w:szCs w:val="16"/>
                <w:lang w:eastAsia="zh-CN"/>
              </w:rPr>
            </w:pPr>
            <w:r w:rsidRPr="00E07235">
              <w:rPr>
                <w:sz w:val="18"/>
                <w:szCs w:val="16"/>
                <w:lang w:eastAsia="zh-CN"/>
              </w:rPr>
              <w:t>0</w:t>
            </w:r>
          </w:p>
        </w:tc>
        <w:tc>
          <w:tcPr>
            <w:tcW w:w="763" w:type="dxa"/>
            <w:tcBorders>
              <w:top w:val="single" w:sz="4" w:space="0" w:color="000000"/>
              <w:left w:val="single" w:sz="4" w:space="0" w:color="000000"/>
              <w:bottom w:val="single" w:sz="4" w:space="0" w:color="000000"/>
            </w:tcBorders>
            <w:shd w:val="clear" w:color="auto" w:fill="auto"/>
            <w:vAlign w:val="bottom"/>
            <w:hideMark/>
          </w:tcPr>
          <w:p w14:paraId="1215B8EE" w14:textId="77777777" w:rsidR="00E07235" w:rsidRPr="00E07235" w:rsidRDefault="00E07235" w:rsidP="00E07235">
            <w:pPr>
              <w:suppressAutoHyphens w:val="0"/>
              <w:spacing w:before="40" w:after="40" w:line="220" w:lineRule="exact"/>
              <w:jc w:val="right"/>
              <w:rPr>
                <w:sz w:val="18"/>
                <w:szCs w:val="16"/>
                <w:lang w:eastAsia="zh-CN"/>
              </w:rPr>
            </w:pPr>
            <w:r w:rsidRPr="00E07235">
              <w:rPr>
                <w:sz w:val="18"/>
                <w:szCs w:val="16"/>
                <w:lang w:eastAsia="zh-CN"/>
              </w:rPr>
              <w:t>100%</w:t>
            </w:r>
          </w:p>
        </w:tc>
        <w:tc>
          <w:tcPr>
            <w:tcW w:w="806" w:type="dxa"/>
            <w:tcBorders>
              <w:top w:val="single" w:sz="4" w:space="0" w:color="000000"/>
              <w:bottom w:val="single" w:sz="4" w:space="0" w:color="000000"/>
              <w:right w:val="single" w:sz="4" w:space="0" w:color="000000"/>
            </w:tcBorders>
            <w:shd w:val="clear" w:color="auto" w:fill="auto"/>
            <w:vAlign w:val="bottom"/>
            <w:hideMark/>
          </w:tcPr>
          <w:p w14:paraId="66643243" w14:textId="77777777" w:rsidR="00E07235" w:rsidRPr="00E07235" w:rsidRDefault="00E07235" w:rsidP="00E07235">
            <w:pPr>
              <w:suppressAutoHyphens w:val="0"/>
              <w:spacing w:before="40" w:after="40" w:line="220" w:lineRule="exact"/>
              <w:jc w:val="right"/>
              <w:rPr>
                <w:sz w:val="18"/>
                <w:szCs w:val="16"/>
                <w:lang w:eastAsia="zh-CN"/>
              </w:rPr>
            </w:pPr>
            <w:r w:rsidRPr="00E07235">
              <w:rPr>
                <w:sz w:val="18"/>
                <w:szCs w:val="16"/>
                <w:lang w:eastAsia="zh-CN"/>
              </w:rPr>
              <w:t>100%</w:t>
            </w:r>
          </w:p>
        </w:tc>
        <w:tc>
          <w:tcPr>
            <w:tcW w:w="1043" w:type="dxa"/>
            <w:tcBorders>
              <w:top w:val="single" w:sz="4" w:space="0" w:color="000000"/>
              <w:left w:val="single" w:sz="4" w:space="0" w:color="000000"/>
              <w:bottom w:val="single" w:sz="4" w:space="0" w:color="000000"/>
            </w:tcBorders>
            <w:shd w:val="clear" w:color="auto" w:fill="auto"/>
            <w:vAlign w:val="bottom"/>
            <w:hideMark/>
          </w:tcPr>
          <w:p w14:paraId="2CE93033" w14:textId="77777777" w:rsidR="00E07235" w:rsidRPr="00E07235" w:rsidRDefault="00E07235" w:rsidP="00E07235">
            <w:pPr>
              <w:suppressAutoHyphens w:val="0"/>
              <w:spacing w:before="40" w:after="40" w:line="220" w:lineRule="exact"/>
              <w:jc w:val="right"/>
              <w:rPr>
                <w:sz w:val="18"/>
                <w:szCs w:val="16"/>
                <w:lang w:eastAsia="zh-CN"/>
              </w:rPr>
            </w:pPr>
            <w:r w:rsidRPr="00E07235">
              <w:rPr>
                <w:sz w:val="18"/>
                <w:szCs w:val="16"/>
                <w:lang w:eastAsia="zh-CN"/>
              </w:rPr>
              <w:t>2</w:t>
            </w:r>
          </w:p>
        </w:tc>
        <w:tc>
          <w:tcPr>
            <w:tcW w:w="658" w:type="dxa"/>
            <w:tcBorders>
              <w:top w:val="single" w:sz="4" w:space="0" w:color="000000"/>
              <w:bottom w:val="single" w:sz="4" w:space="0" w:color="000000"/>
            </w:tcBorders>
            <w:shd w:val="clear" w:color="auto" w:fill="auto"/>
            <w:vAlign w:val="bottom"/>
            <w:hideMark/>
          </w:tcPr>
          <w:p w14:paraId="08EAD1AC" w14:textId="77777777" w:rsidR="00E07235" w:rsidRPr="00E07235" w:rsidRDefault="00E07235" w:rsidP="00E07235">
            <w:pPr>
              <w:suppressAutoHyphens w:val="0"/>
              <w:spacing w:before="40" w:after="40" w:line="220" w:lineRule="exact"/>
              <w:jc w:val="right"/>
              <w:rPr>
                <w:sz w:val="18"/>
                <w:szCs w:val="16"/>
                <w:lang w:eastAsia="zh-CN"/>
              </w:rPr>
            </w:pPr>
            <w:r w:rsidRPr="00E07235">
              <w:rPr>
                <w:sz w:val="18"/>
                <w:szCs w:val="16"/>
                <w:lang w:eastAsia="zh-CN"/>
              </w:rPr>
              <w:t>33%</w:t>
            </w:r>
          </w:p>
        </w:tc>
      </w:tr>
      <w:tr w:rsidR="00E07235" w:rsidRPr="00E07235" w14:paraId="03D11F99" w14:textId="77777777" w:rsidTr="00AD1A66">
        <w:tc>
          <w:tcPr>
            <w:tcW w:w="1204" w:type="dxa"/>
            <w:tcBorders>
              <w:top w:val="single" w:sz="4" w:space="0" w:color="000000"/>
              <w:bottom w:val="single" w:sz="4" w:space="0" w:color="000000"/>
            </w:tcBorders>
            <w:shd w:val="clear" w:color="auto" w:fill="auto"/>
            <w:hideMark/>
          </w:tcPr>
          <w:p w14:paraId="7B0EAE8D" w14:textId="77777777" w:rsidR="00E07235" w:rsidRPr="00E07235" w:rsidRDefault="00E07235" w:rsidP="00E07235">
            <w:pPr>
              <w:suppressAutoHyphens w:val="0"/>
              <w:spacing w:before="40" w:after="40" w:line="220" w:lineRule="exact"/>
              <w:rPr>
                <w:b/>
                <w:bCs/>
                <w:sz w:val="18"/>
                <w:szCs w:val="16"/>
                <w:lang w:eastAsia="zh-CN"/>
              </w:rPr>
            </w:pPr>
            <w:r w:rsidRPr="00E07235">
              <w:rPr>
                <w:b/>
                <w:bCs/>
                <w:sz w:val="18"/>
                <w:szCs w:val="16"/>
                <w:lang w:eastAsia="zh-CN"/>
              </w:rPr>
              <w:lastRenderedPageBreak/>
              <w:t xml:space="preserve">Group of Experts on Road Signs and Signals </w:t>
            </w:r>
          </w:p>
        </w:tc>
        <w:tc>
          <w:tcPr>
            <w:tcW w:w="691" w:type="dxa"/>
            <w:tcBorders>
              <w:top w:val="single" w:sz="4" w:space="0" w:color="000000"/>
              <w:bottom w:val="single" w:sz="4" w:space="0" w:color="000000"/>
            </w:tcBorders>
            <w:shd w:val="clear" w:color="auto" w:fill="auto"/>
            <w:vAlign w:val="bottom"/>
            <w:hideMark/>
          </w:tcPr>
          <w:p w14:paraId="7D4B55C6" w14:textId="77777777" w:rsidR="00E07235" w:rsidRPr="00E07235" w:rsidRDefault="00E07235" w:rsidP="00E07235">
            <w:pPr>
              <w:suppressAutoHyphens w:val="0"/>
              <w:spacing w:before="40" w:after="40" w:line="220" w:lineRule="exact"/>
              <w:jc w:val="right"/>
              <w:rPr>
                <w:sz w:val="18"/>
                <w:szCs w:val="16"/>
                <w:lang w:eastAsia="zh-CN"/>
              </w:rPr>
            </w:pPr>
            <w:r w:rsidRPr="00E07235">
              <w:rPr>
                <w:sz w:val="18"/>
                <w:szCs w:val="16"/>
                <w:lang w:eastAsia="zh-CN"/>
              </w:rPr>
              <w:t>3</w:t>
            </w:r>
          </w:p>
        </w:tc>
        <w:tc>
          <w:tcPr>
            <w:tcW w:w="593" w:type="dxa"/>
            <w:tcBorders>
              <w:top w:val="single" w:sz="4" w:space="0" w:color="000000"/>
              <w:bottom w:val="single" w:sz="4" w:space="0" w:color="000000"/>
            </w:tcBorders>
            <w:shd w:val="clear" w:color="auto" w:fill="auto"/>
            <w:vAlign w:val="bottom"/>
            <w:hideMark/>
          </w:tcPr>
          <w:p w14:paraId="4E268530" w14:textId="77777777" w:rsidR="00E07235" w:rsidRPr="00E07235" w:rsidRDefault="00E07235" w:rsidP="00E07235">
            <w:pPr>
              <w:suppressAutoHyphens w:val="0"/>
              <w:spacing w:before="40" w:after="40" w:line="220" w:lineRule="exact"/>
              <w:jc w:val="right"/>
              <w:rPr>
                <w:sz w:val="18"/>
                <w:szCs w:val="16"/>
                <w:lang w:eastAsia="zh-CN"/>
              </w:rPr>
            </w:pPr>
            <w:r w:rsidRPr="00E07235">
              <w:rPr>
                <w:sz w:val="18"/>
                <w:szCs w:val="16"/>
                <w:lang w:eastAsia="zh-CN"/>
              </w:rPr>
              <w:t>3</w:t>
            </w:r>
          </w:p>
        </w:tc>
        <w:tc>
          <w:tcPr>
            <w:tcW w:w="806" w:type="dxa"/>
            <w:tcBorders>
              <w:top w:val="single" w:sz="4" w:space="0" w:color="000000"/>
              <w:bottom w:val="single" w:sz="4" w:space="0" w:color="000000"/>
            </w:tcBorders>
            <w:shd w:val="clear" w:color="auto" w:fill="auto"/>
            <w:vAlign w:val="bottom"/>
            <w:hideMark/>
          </w:tcPr>
          <w:p w14:paraId="36D070CF" w14:textId="77777777" w:rsidR="00E07235" w:rsidRPr="00E07235" w:rsidRDefault="00E07235" w:rsidP="00E07235">
            <w:pPr>
              <w:suppressAutoHyphens w:val="0"/>
              <w:spacing w:before="40" w:after="40" w:line="220" w:lineRule="exact"/>
              <w:jc w:val="right"/>
              <w:rPr>
                <w:sz w:val="18"/>
                <w:szCs w:val="16"/>
                <w:lang w:eastAsia="zh-CN"/>
              </w:rPr>
            </w:pPr>
            <w:r w:rsidRPr="00E07235">
              <w:rPr>
                <w:sz w:val="18"/>
                <w:szCs w:val="16"/>
                <w:lang w:eastAsia="zh-CN"/>
              </w:rPr>
              <w:t>3</w:t>
            </w:r>
          </w:p>
        </w:tc>
        <w:tc>
          <w:tcPr>
            <w:tcW w:w="806" w:type="dxa"/>
            <w:tcBorders>
              <w:top w:val="single" w:sz="4" w:space="0" w:color="000000"/>
              <w:bottom w:val="single" w:sz="4" w:space="0" w:color="000000"/>
              <w:right w:val="single" w:sz="4" w:space="0" w:color="000000"/>
            </w:tcBorders>
            <w:shd w:val="clear" w:color="auto" w:fill="auto"/>
            <w:vAlign w:val="bottom"/>
            <w:hideMark/>
          </w:tcPr>
          <w:p w14:paraId="75847E07" w14:textId="77777777" w:rsidR="00E07235" w:rsidRPr="00E07235" w:rsidRDefault="00E07235" w:rsidP="00AD1A66">
            <w:pPr>
              <w:suppressAutoHyphens w:val="0"/>
              <w:spacing w:before="40" w:after="40" w:line="220" w:lineRule="exact"/>
              <w:ind w:right="57"/>
              <w:jc w:val="right"/>
              <w:rPr>
                <w:sz w:val="18"/>
                <w:szCs w:val="16"/>
                <w:lang w:eastAsia="zh-CN"/>
              </w:rPr>
            </w:pPr>
            <w:r w:rsidRPr="00E07235">
              <w:rPr>
                <w:sz w:val="18"/>
                <w:szCs w:val="16"/>
                <w:lang w:eastAsia="zh-CN"/>
              </w:rPr>
              <w:t>0</w:t>
            </w:r>
          </w:p>
        </w:tc>
        <w:tc>
          <w:tcPr>
            <w:tcW w:w="763" w:type="dxa"/>
            <w:tcBorders>
              <w:top w:val="single" w:sz="4" w:space="0" w:color="000000"/>
              <w:left w:val="single" w:sz="4" w:space="0" w:color="000000"/>
              <w:bottom w:val="single" w:sz="4" w:space="0" w:color="000000"/>
            </w:tcBorders>
            <w:shd w:val="clear" w:color="auto" w:fill="auto"/>
            <w:vAlign w:val="bottom"/>
            <w:hideMark/>
          </w:tcPr>
          <w:p w14:paraId="76E3C1A9" w14:textId="77777777" w:rsidR="00E07235" w:rsidRPr="00E07235" w:rsidRDefault="00E07235" w:rsidP="00E07235">
            <w:pPr>
              <w:suppressAutoHyphens w:val="0"/>
              <w:spacing w:before="40" w:after="40" w:line="220" w:lineRule="exact"/>
              <w:jc w:val="right"/>
              <w:rPr>
                <w:sz w:val="18"/>
                <w:szCs w:val="16"/>
                <w:lang w:eastAsia="zh-CN"/>
              </w:rPr>
            </w:pPr>
            <w:r w:rsidRPr="00E07235">
              <w:rPr>
                <w:sz w:val="18"/>
                <w:szCs w:val="16"/>
                <w:lang w:eastAsia="zh-CN"/>
              </w:rPr>
              <w:t>100%</w:t>
            </w:r>
          </w:p>
        </w:tc>
        <w:tc>
          <w:tcPr>
            <w:tcW w:w="806" w:type="dxa"/>
            <w:tcBorders>
              <w:top w:val="single" w:sz="4" w:space="0" w:color="000000"/>
              <w:bottom w:val="single" w:sz="4" w:space="0" w:color="000000"/>
              <w:right w:val="single" w:sz="4" w:space="0" w:color="000000"/>
            </w:tcBorders>
            <w:shd w:val="clear" w:color="auto" w:fill="auto"/>
            <w:vAlign w:val="bottom"/>
            <w:hideMark/>
          </w:tcPr>
          <w:p w14:paraId="1A89589F" w14:textId="77777777" w:rsidR="00E07235" w:rsidRPr="00E07235" w:rsidRDefault="00E07235" w:rsidP="00E07235">
            <w:pPr>
              <w:suppressAutoHyphens w:val="0"/>
              <w:spacing w:before="40" w:after="40" w:line="220" w:lineRule="exact"/>
              <w:jc w:val="right"/>
              <w:rPr>
                <w:sz w:val="18"/>
                <w:szCs w:val="16"/>
                <w:lang w:eastAsia="zh-CN"/>
              </w:rPr>
            </w:pPr>
            <w:r w:rsidRPr="00E07235">
              <w:rPr>
                <w:sz w:val="18"/>
                <w:szCs w:val="16"/>
                <w:lang w:eastAsia="zh-CN"/>
              </w:rPr>
              <w:t>100%</w:t>
            </w:r>
          </w:p>
        </w:tc>
        <w:tc>
          <w:tcPr>
            <w:tcW w:w="1043" w:type="dxa"/>
            <w:tcBorders>
              <w:top w:val="single" w:sz="4" w:space="0" w:color="000000"/>
              <w:left w:val="single" w:sz="4" w:space="0" w:color="000000"/>
              <w:bottom w:val="single" w:sz="4" w:space="0" w:color="000000"/>
            </w:tcBorders>
            <w:shd w:val="clear" w:color="auto" w:fill="auto"/>
            <w:vAlign w:val="bottom"/>
            <w:hideMark/>
          </w:tcPr>
          <w:p w14:paraId="221998B7" w14:textId="77777777" w:rsidR="00E07235" w:rsidRPr="00E07235" w:rsidRDefault="00E07235" w:rsidP="00E07235">
            <w:pPr>
              <w:suppressAutoHyphens w:val="0"/>
              <w:spacing w:before="40" w:after="40" w:line="220" w:lineRule="exact"/>
              <w:jc w:val="right"/>
              <w:rPr>
                <w:sz w:val="18"/>
                <w:szCs w:val="16"/>
                <w:lang w:eastAsia="zh-CN"/>
              </w:rPr>
            </w:pPr>
            <w:r w:rsidRPr="00E07235">
              <w:rPr>
                <w:sz w:val="18"/>
                <w:szCs w:val="16"/>
                <w:lang w:eastAsia="zh-CN"/>
              </w:rPr>
              <w:t>0</w:t>
            </w:r>
          </w:p>
        </w:tc>
        <w:tc>
          <w:tcPr>
            <w:tcW w:w="658" w:type="dxa"/>
            <w:tcBorders>
              <w:top w:val="single" w:sz="4" w:space="0" w:color="000000"/>
              <w:bottom w:val="single" w:sz="4" w:space="0" w:color="000000"/>
            </w:tcBorders>
            <w:shd w:val="clear" w:color="auto" w:fill="auto"/>
            <w:vAlign w:val="bottom"/>
            <w:hideMark/>
          </w:tcPr>
          <w:p w14:paraId="4B046CDC" w14:textId="77777777" w:rsidR="00E07235" w:rsidRPr="00E07235" w:rsidRDefault="00E07235" w:rsidP="00E07235">
            <w:pPr>
              <w:suppressAutoHyphens w:val="0"/>
              <w:spacing w:before="40" w:after="40" w:line="220" w:lineRule="exact"/>
              <w:jc w:val="right"/>
              <w:rPr>
                <w:sz w:val="18"/>
                <w:szCs w:val="16"/>
                <w:lang w:eastAsia="zh-CN"/>
              </w:rPr>
            </w:pPr>
            <w:r w:rsidRPr="00E07235">
              <w:rPr>
                <w:sz w:val="18"/>
                <w:szCs w:val="16"/>
                <w:lang w:eastAsia="zh-CN"/>
              </w:rPr>
              <w:t>0%</w:t>
            </w:r>
          </w:p>
        </w:tc>
      </w:tr>
      <w:tr w:rsidR="00AD1A66" w:rsidRPr="00E07235" w14:paraId="5FF6C847" w14:textId="77777777" w:rsidTr="00AD1A66">
        <w:tc>
          <w:tcPr>
            <w:tcW w:w="1204" w:type="dxa"/>
            <w:tcBorders>
              <w:top w:val="single" w:sz="4" w:space="0" w:color="000000"/>
              <w:bottom w:val="single" w:sz="4" w:space="0" w:color="000000"/>
            </w:tcBorders>
            <w:shd w:val="clear" w:color="auto" w:fill="auto"/>
            <w:hideMark/>
          </w:tcPr>
          <w:p w14:paraId="08B5E4BC" w14:textId="77777777" w:rsidR="00E07235" w:rsidRPr="00E07235" w:rsidRDefault="00E07235" w:rsidP="00E07235">
            <w:pPr>
              <w:suppressAutoHyphens w:val="0"/>
              <w:spacing w:before="40" w:after="40" w:line="220" w:lineRule="exact"/>
              <w:rPr>
                <w:b/>
                <w:bCs/>
                <w:sz w:val="18"/>
                <w:szCs w:val="16"/>
                <w:lang w:eastAsia="zh-CN"/>
              </w:rPr>
            </w:pPr>
            <w:r w:rsidRPr="00E07235">
              <w:rPr>
                <w:b/>
                <w:bCs/>
                <w:sz w:val="18"/>
                <w:szCs w:val="16"/>
                <w:lang w:eastAsia="zh-CN"/>
              </w:rPr>
              <w:t xml:space="preserve">Group of Experts on a new legal instrument on automated vehicles in traffic </w:t>
            </w:r>
          </w:p>
        </w:tc>
        <w:tc>
          <w:tcPr>
            <w:tcW w:w="691" w:type="dxa"/>
            <w:tcBorders>
              <w:top w:val="single" w:sz="4" w:space="0" w:color="000000"/>
              <w:bottom w:val="single" w:sz="4" w:space="0" w:color="000000"/>
            </w:tcBorders>
            <w:shd w:val="clear" w:color="auto" w:fill="auto"/>
            <w:vAlign w:val="bottom"/>
            <w:hideMark/>
          </w:tcPr>
          <w:p w14:paraId="4514C3F5" w14:textId="77777777" w:rsidR="00E07235" w:rsidRPr="00E07235" w:rsidRDefault="00E07235" w:rsidP="00E07235">
            <w:pPr>
              <w:suppressAutoHyphens w:val="0"/>
              <w:spacing w:before="40" w:after="40" w:line="220" w:lineRule="exact"/>
              <w:jc w:val="right"/>
              <w:rPr>
                <w:sz w:val="18"/>
                <w:szCs w:val="16"/>
                <w:lang w:eastAsia="zh-CN"/>
              </w:rPr>
            </w:pPr>
            <w:r w:rsidRPr="00E07235">
              <w:rPr>
                <w:sz w:val="18"/>
                <w:szCs w:val="16"/>
                <w:lang w:eastAsia="zh-CN"/>
              </w:rPr>
              <w:t>6</w:t>
            </w:r>
          </w:p>
        </w:tc>
        <w:tc>
          <w:tcPr>
            <w:tcW w:w="593" w:type="dxa"/>
            <w:tcBorders>
              <w:top w:val="single" w:sz="4" w:space="0" w:color="000000"/>
              <w:bottom w:val="single" w:sz="4" w:space="0" w:color="000000"/>
            </w:tcBorders>
            <w:shd w:val="clear" w:color="auto" w:fill="auto"/>
            <w:vAlign w:val="bottom"/>
            <w:hideMark/>
          </w:tcPr>
          <w:p w14:paraId="48AE68AB" w14:textId="77777777" w:rsidR="00E07235" w:rsidRPr="00E07235" w:rsidRDefault="00E07235" w:rsidP="00E07235">
            <w:pPr>
              <w:suppressAutoHyphens w:val="0"/>
              <w:spacing w:before="40" w:after="40" w:line="220" w:lineRule="exact"/>
              <w:jc w:val="right"/>
              <w:rPr>
                <w:sz w:val="18"/>
                <w:szCs w:val="16"/>
                <w:lang w:eastAsia="zh-CN"/>
              </w:rPr>
            </w:pPr>
            <w:r w:rsidRPr="00E07235">
              <w:rPr>
                <w:sz w:val="18"/>
                <w:szCs w:val="16"/>
                <w:lang w:eastAsia="zh-CN"/>
              </w:rPr>
              <w:t>4</w:t>
            </w:r>
          </w:p>
        </w:tc>
        <w:tc>
          <w:tcPr>
            <w:tcW w:w="806" w:type="dxa"/>
            <w:tcBorders>
              <w:top w:val="single" w:sz="4" w:space="0" w:color="000000"/>
              <w:bottom w:val="single" w:sz="4" w:space="0" w:color="000000"/>
            </w:tcBorders>
            <w:shd w:val="clear" w:color="auto" w:fill="auto"/>
            <w:vAlign w:val="bottom"/>
            <w:hideMark/>
          </w:tcPr>
          <w:p w14:paraId="65F239B7" w14:textId="77777777" w:rsidR="00E07235" w:rsidRPr="00E07235" w:rsidRDefault="00E07235" w:rsidP="00E07235">
            <w:pPr>
              <w:suppressAutoHyphens w:val="0"/>
              <w:spacing w:before="40" w:after="40" w:line="220" w:lineRule="exact"/>
              <w:jc w:val="right"/>
              <w:rPr>
                <w:sz w:val="18"/>
                <w:szCs w:val="16"/>
                <w:lang w:eastAsia="zh-CN"/>
              </w:rPr>
            </w:pPr>
            <w:r w:rsidRPr="00E07235">
              <w:rPr>
                <w:sz w:val="18"/>
                <w:szCs w:val="16"/>
                <w:lang w:eastAsia="zh-CN"/>
              </w:rPr>
              <w:t>4</w:t>
            </w:r>
          </w:p>
        </w:tc>
        <w:tc>
          <w:tcPr>
            <w:tcW w:w="806" w:type="dxa"/>
            <w:tcBorders>
              <w:top w:val="single" w:sz="4" w:space="0" w:color="000000"/>
              <w:bottom w:val="single" w:sz="4" w:space="0" w:color="000000"/>
              <w:right w:val="single" w:sz="4" w:space="0" w:color="000000"/>
            </w:tcBorders>
            <w:shd w:val="clear" w:color="auto" w:fill="auto"/>
            <w:vAlign w:val="bottom"/>
            <w:hideMark/>
          </w:tcPr>
          <w:p w14:paraId="189D1A45" w14:textId="77777777" w:rsidR="00E07235" w:rsidRPr="00E07235" w:rsidRDefault="00E07235" w:rsidP="00AD1A66">
            <w:pPr>
              <w:suppressAutoHyphens w:val="0"/>
              <w:spacing w:before="40" w:after="40" w:line="220" w:lineRule="exact"/>
              <w:ind w:right="57"/>
              <w:jc w:val="right"/>
              <w:rPr>
                <w:sz w:val="18"/>
                <w:szCs w:val="16"/>
                <w:lang w:eastAsia="zh-CN"/>
              </w:rPr>
            </w:pPr>
            <w:r w:rsidRPr="00E07235">
              <w:rPr>
                <w:sz w:val="18"/>
                <w:szCs w:val="16"/>
                <w:lang w:eastAsia="zh-CN"/>
              </w:rPr>
              <w:t>0</w:t>
            </w:r>
          </w:p>
        </w:tc>
        <w:tc>
          <w:tcPr>
            <w:tcW w:w="763" w:type="dxa"/>
            <w:tcBorders>
              <w:top w:val="single" w:sz="4" w:space="0" w:color="000000"/>
              <w:left w:val="single" w:sz="4" w:space="0" w:color="000000"/>
              <w:bottom w:val="single" w:sz="4" w:space="0" w:color="000000"/>
            </w:tcBorders>
            <w:shd w:val="clear" w:color="auto" w:fill="auto"/>
            <w:vAlign w:val="bottom"/>
            <w:hideMark/>
          </w:tcPr>
          <w:p w14:paraId="5E05750C" w14:textId="77777777" w:rsidR="00E07235" w:rsidRPr="00E07235" w:rsidRDefault="00E07235" w:rsidP="00E07235">
            <w:pPr>
              <w:suppressAutoHyphens w:val="0"/>
              <w:spacing w:before="40" w:after="40" w:line="220" w:lineRule="exact"/>
              <w:jc w:val="right"/>
              <w:rPr>
                <w:sz w:val="18"/>
                <w:szCs w:val="16"/>
                <w:lang w:eastAsia="zh-CN"/>
              </w:rPr>
            </w:pPr>
            <w:r w:rsidRPr="00E07235">
              <w:rPr>
                <w:sz w:val="18"/>
                <w:szCs w:val="16"/>
                <w:lang w:eastAsia="zh-CN"/>
              </w:rPr>
              <w:t>67%</w:t>
            </w:r>
          </w:p>
        </w:tc>
        <w:tc>
          <w:tcPr>
            <w:tcW w:w="806" w:type="dxa"/>
            <w:tcBorders>
              <w:top w:val="single" w:sz="4" w:space="0" w:color="000000"/>
              <w:bottom w:val="single" w:sz="4" w:space="0" w:color="000000"/>
              <w:right w:val="single" w:sz="4" w:space="0" w:color="000000"/>
            </w:tcBorders>
            <w:shd w:val="clear" w:color="auto" w:fill="auto"/>
            <w:vAlign w:val="bottom"/>
            <w:hideMark/>
          </w:tcPr>
          <w:p w14:paraId="12683F1B" w14:textId="77777777" w:rsidR="00E07235" w:rsidRPr="00E07235" w:rsidRDefault="00E07235" w:rsidP="00E07235">
            <w:pPr>
              <w:suppressAutoHyphens w:val="0"/>
              <w:spacing w:before="40" w:after="40" w:line="220" w:lineRule="exact"/>
              <w:jc w:val="right"/>
              <w:rPr>
                <w:sz w:val="18"/>
                <w:szCs w:val="16"/>
                <w:lang w:eastAsia="zh-CN"/>
              </w:rPr>
            </w:pPr>
            <w:r w:rsidRPr="00E07235">
              <w:rPr>
                <w:sz w:val="18"/>
                <w:szCs w:val="16"/>
                <w:lang w:eastAsia="zh-CN"/>
              </w:rPr>
              <w:t>67%</w:t>
            </w:r>
          </w:p>
        </w:tc>
        <w:tc>
          <w:tcPr>
            <w:tcW w:w="1043" w:type="dxa"/>
            <w:tcBorders>
              <w:top w:val="single" w:sz="4" w:space="0" w:color="000000"/>
              <w:left w:val="single" w:sz="4" w:space="0" w:color="000000"/>
              <w:bottom w:val="single" w:sz="4" w:space="0" w:color="000000"/>
            </w:tcBorders>
            <w:shd w:val="clear" w:color="auto" w:fill="auto"/>
            <w:vAlign w:val="bottom"/>
            <w:hideMark/>
          </w:tcPr>
          <w:p w14:paraId="444997F2" w14:textId="77777777" w:rsidR="00E07235" w:rsidRPr="00E07235" w:rsidRDefault="00E07235" w:rsidP="00E07235">
            <w:pPr>
              <w:suppressAutoHyphens w:val="0"/>
              <w:spacing w:before="40" w:after="40" w:line="220" w:lineRule="exact"/>
              <w:jc w:val="right"/>
              <w:rPr>
                <w:sz w:val="18"/>
                <w:szCs w:val="16"/>
                <w:lang w:eastAsia="zh-CN"/>
              </w:rPr>
            </w:pPr>
            <w:r w:rsidRPr="00E07235">
              <w:rPr>
                <w:sz w:val="18"/>
                <w:szCs w:val="16"/>
                <w:lang w:eastAsia="zh-CN"/>
              </w:rPr>
              <w:t>2</w:t>
            </w:r>
          </w:p>
        </w:tc>
        <w:tc>
          <w:tcPr>
            <w:tcW w:w="658" w:type="dxa"/>
            <w:tcBorders>
              <w:top w:val="single" w:sz="4" w:space="0" w:color="000000"/>
              <w:bottom w:val="single" w:sz="4" w:space="0" w:color="000000"/>
            </w:tcBorders>
            <w:shd w:val="clear" w:color="auto" w:fill="auto"/>
            <w:vAlign w:val="bottom"/>
            <w:hideMark/>
          </w:tcPr>
          <w:p w14:paraId="5656EE0A" w14:textId="77777777" w:rsidR="00E07235" w:rsidRPr="00E07235" w:rsidRDefault="00E07235" w:rsidP="00E07235">
            <w:pPr>
              <w:suppressAutoHyphens w:val="0"/>
              <w:spacing w:before="40" w:after="40" w:line="220" w:lineRule="exact"/>
              <w:jc w:val="right"/>
              <w:rPr>
                <w:sz w:val="18"/>
                <w:szCs w:val="16"/>
                <w:lang w:eastAsia="zh-CN"/>
              </w:rPr>
            </w:pPr>
            <w:r w:rsidRPr="00E07235">
              <w:rPr>
                <w:sz w:val="18"/>
                <w:szCs w:val="16"/>
                <w:lang w:eastAsia="zh-CN"/>
              </w:rPr>
              <w:t>50%</w:t>
            </w:r>
          </w:p>
        </w:tc>
      </w:tr>
      <w:tr w:rsidR="00E07235" w:rsidRPr="00E07235" w14:paraId="43CB20C8" w14:textId="77777777" w:rsidTr="00AD1A66">
        <w:tc>
          <w:tcPr>
            <w:tcW w:w="1204" w:type="dxa"/>
            <w:tcBorders>
              <w:top w:val="single" w:sz="4" w:space="0" w:color="000000"/>
              <w:bottom w:val="single" w:sz="4" w:space="0" w:color="000000"/>
            </w:tcBorders>
            <w:shd w:val="clear" w:color="auto" w:fill="auto"/>
            <w:hideMark/>
          </w:tcPr>
          <w:p w14:paraId="196E330C" w14:textId="77777777" w:rsidR="00E07235" w:rsidRPr="00E07235" w:rsidRDefault="00E07235" w:rsidP="00E07235">
            <w:pPr>
              <w:suppressAutoHyphens w:val="0"/>
              <w:spacing w:before="40" w:after="40" w:line="220" w:lineRule="exact"/>
              <w:rPr>
                <w:b/>
                <w:bCs/>
                <w:sz w:val="18"/>
                <w:szCs w:val="16"/>
                <w:lang w:eastAsia="zh-CN"/>
              </w:rPr>
            </w:pPr>
            <w:r w:rsidRPr="00E07235">
              <w:rPr>
                <w:b/>
                <w:bCs/>
                <w:sz w:val="18"/>
                <w:szCs w:val="16"/>
                <w:lang w:eastAsia="zh-CN"/>
              </w:rPr>
              <w:t>Group of Experts on Benchmarking Transport Infrastructure Construction Costs</w:t>
            </w:r>
          </w:p>
        </w:tc>
        <w:tc>
          <w:tcPr>
            <w:tcW w:w="691" w:type="dxa"/>
            <w:tcBorders>
              <w:top w:val="single" w:sz="4" w:space="0" w:color="000000"/>
              <w:bottom w:val="single" w:sz="4" w:space="0" w:color="000000"/>
            </w:tcBorders>
            <w:shd w:val="clear" w:color="auto" w:fill="auto"/>
            <w:vAlign w:val="bottom"/>
            <w:hideMark/>
          </w:tcPr>
          <w:p w14:paraId="33A91260" w14:textId="77777777" w:rsidR="00E07235" w:rsidRPr="00E07235" w:rsidRDefault="00E07235" w:rsidP="00E07235">
            <w:pPr>
              <w:suppressAutoHyphens w:val="0"/>
              <w:spacing w:before="40" w:after="40" w:line="220" w:lineRule="exact"/>
              <w:jc w:val="right"/>
              <w:rPr>
                <w:sz w:val="18"/>
                <w:szCs w:val="16"/>
                <w:lang w:eastAsia="zh-CN"/>
              </w:rPr>
            </w:pPr>
            <w:r w:rsidRPr="00E07235">
              <w:rPr>
                <w:sz w:val="18"/>
                <w:szCs w:val="16"/>
                <w:lang w:eastAsia="zh-CN"/>
              </w:rPr>
              <w:t>8</w:t>
            </w:r>
          </w:p>
        </w:tc>
        <w:tc>
          <w:tcPr>
            <w:tcW w:w="593" w:type="dxa"/>
            <w:tcBorders>
              <w:top w:val="single" w:sz="4" w:space="0" w:color="000000"/>
              <w:bottom w:val="single" w:sz="4" w:space="0" w:color="000000"/>
            </w:tcBorders>
            <w:shd w:val="clear" w:color="auto" w:fill="auto"/>
            <w:vAlign w:val="bottom"/>
            <w:hideMark/>
          </w:tcPr>
          <w:p w14:paraId="7832BD7F" w14:textId="77777777" w:rsidR="00E07235" w:rsidRPr="00E07235" w:rsidRDefault="00E07235" w:rsidP="00E07235">
            <w:pPr>
              <w:suppressAutoHyphens w:val="0"/>
              <w:spacing w:before="40" w:after="40" w:line="220" w:lineRule="exact"/>
              <w:jc w:val="right"/>
              <w:rPr>
                <w:sz w:val="18"/>
                <w:szCs w:val="16"/>
                <w:lang w:eastAsia="zh-CN"/>
              </w:rPr>
            </w:pPr>
            <w:r w:rsidRPr="00E07235">
              <w:rPr>
                <w:sz w:val="18"/>
                <w:szCs w:val="16"/>
                <w:lang w:eastAsia="zh-CN"/>
              </w:rPr>
              <w:t>6</w:t>
            </w:r>
          </w:p>
        </w:tc>
        <w:tc>
          <w:tcPr>
            <w:tcW w:w="806" w:type="dxa"/>
            <w:tcBorders>
              <w:top w:val="single" w:sz="4" w:space="0" w:color="000000"/>
              <w:bottom w:val="single" w:sz="4" w:space="0" w:color="000000"/>
            </w:tcBorders>
            <w:shd w:val="clear" w:color="auto" w:fill="auto"/>
            <w:vAlign w:val="bottom"/>
            <w:hideMark/>
          </w:tcPr>
          <w:p w14:paraId="4D9C9C0F" w14:textId="77777777" w:rsidR="00E07235" w:rsidRPr="00E07235" w:rsidRDefault="00E07235" w:rsidP="00E07235">
            <w:pPr>
              <w:suppressAutoHyphens w:val="0"/>
              <w:spacing w:before="40" w:after="40" w:line="220" w:lineRule="exact"/>
              <w:jc w:val="right"/>
              <w:rPr>
                <w:sz w:val="18"/>
                <w:szCs w:val="16"/>
                <w:lang w:eastAsia="zh-CN"/>
              </w:rPr>
            </w:pPr>
            <w:r w:rsidRPr="00E07235">
              <w:rPr>
                <w:sz w:val="18"/>
                <w:szCs w:val="16"/>
                <w:lang w:eastAsia="zh-CN"/>
              </w:rPr>
              <w:t>6</w:t>
            </w:r>
          </w:p>
        </w:tc>
        <w:tc>
          <w:tcPr>
            <w:tcW w:w="806" w:type="dxa"/>
            <w:tcBorders>
              <w:top w:val="single" w:sz="4" w:space="0" w:color="000000"/>
              <w:bottom w:val="single" w:sz="4" w:space="0" w:color="000000"/>
              <w:right w:val="single" w:sz="4" w:space="0" w:color="000000"/>
            </w:tcBorders>
            <w:shd w:val="clear" w:color="auto" w:fill="auto"/>
            <w:vAlign w:val="bottom"/>
            <w:hideMark/>
          </w:tcPr>
          <w:p w14:paraId="0C1BCD16" w14:textId="77777777" w:rsidR="00E07235" w:rsidRPr="00E07235" w:rsidRDefault="00E07235" w:rsidP="00AD1A66">
            <w:pPr>
              <w:suppressAutoHyphens w:val="0"/>
              <w:spacing w:before="40" w:after="40" w:line="220" w:lineRule="exact"/>
              <w:ind w:right="57"/>
              <w:jc w:val="right"/>
              <w:rPr>
                <w:sz w:val="18"/>
                <w:szCs w:val="16"/>
                <w:lang w:eastAsia="zh-CN"/>
              </w:rPr>
            </w:pPr>
            <w:r w:rsidRPr="00E07235">
              <w:rPr>
                <w:sz w:val="18"/>
                <w:szCs w:val="16"/>
                <w:lang w:eastAsia="zh-CN"/>
              </w:rPr>
              <w:t>0</w:t>
            </w:r>
          </w:p>
        </w:tc>
        <w:tc>
          <w:tcPr>
            <w:tcW w:w="763" w:type="dxa"/>
            <w:tcBorders>
              <w:top w:val="single" w:sz="4" w:space="0" w:color="000000"/>
              <w:left w:val="single" w:sz="4" w:space="0" w:color="000000"/>
              <w:bottom w:val="single" w:sz="4" w:space="0" w:color="000000"/>
            </w:tcBorders>
            <w:shd w:val="clear" w:color="auto" w:fill="auto"/>
            <w:vAlign w:val="bottom"/>
            <w:hideMark/>
          </w:tcPr>
          <w:p w14:paraId="21976C1B" w14:textId="77777777" w:rsidR="00E07235" w:rsidRPr="00E07235" w:rsidRDefault="00E07235" w:rsidP="00E07235">
            <w:pPr>
              <w:suppressAutoHyphens w:val="0"/>
              <w:spacing w:before="40" w:after="40" w:line="220" w:lineRule="exact"/>
              <w:jc w:val="right"/>
              <w:rPr>
                <w:sz w:val="18"/>
                <w:szCs w:val="16"/>
                <w:lang w:eastAsia="zh-CN"/>
              </w:rPr>
            </w:pPr>
            <w:r w:rsidRPr="00E07235">
              <w:rPr>
                <w:sz w:val="18"/>
                <w:szCs w:val="16"/>
                <w:lang w:eastAsia="zh-CN"/>
              </w:rPr>
              <w:t>75%</w:t>
            </w:r>
          </w:p>
        </w:tc>
        <w:tc>
          <w:tcPr>
            <w:tcW w:w="806" w:type="dxa"/>
            <w:tcBorders>
              <w:top w:val="single" w:sz="4" w:space="0" w:color="000000"/>
              <w:bottom w:val="single" w:sz="4" w:space="0" w:color="000000"/>
              <w:right w:val="single" w:sz="4" w:space="0" w:color="000000"/>
            </w:tcBorders>
            <w:shd w:val="clear" w:color="auto" w:fill="auto"/>
            <w:vAlign w:val="bottom"/>
            <w:hideMark/>
          </w:tcPr>
          <w:p w14:paraId="491B1A9B" w14:textId="77777777" w:rsidR="00E07235" w:rsidRPr="00E07235" w:rsidRDefault="00E07235" w:rsidP="00E07235">
            <w:pPr>
              <w:suppressAutoHyphens w:val="0"/>
              <w:spacing w:before="40" w:after="40" w:line="220" w:lineRule="exact"/>
              <w:jc w:val="right"/>
              <w:rPr>
                <w:sz w:val="18"/>
                <w:szCs w:val="16"/>
                <w:lang w:eastAsia="zh-CN"/>
              </w:rPr>
            </w:pPr>
            <w:r w:rsidRPr="00E07235">
              <w:rPr>
                <w:sz w:val="18"/>
                <w:szCs w:val="16"/>
                <w:lang w:eastAsia="zh-CN"/>
              </w:rPr>
              <w:t>75%</w:t>
            </w:r>
          </w:p>
        </w:tc>
        <w:tc>
          <w:tcPr>
            <w:tcW w:w="1043" w:type="dxa"/>
            <w:tcBorders>
              <w:top w:val="single" w:sz="4" w:space="0" w:color="000000"/>
              <w:left w:val="single" w:sz="4" w:space="0" w:color="000000"/>
              <w:bottom w:val="single" w:sz="4" w:space="0" w:color="000000"/>
            </w:tcBorders>
            <w:shd w:val="clear" w:color="auto" w:fill="auto"/>
            <w:vAlign w:val="bottom"/>
            <w:hideMark/>
          </w:tcPr>
          <w:p w14:paraId="2FD87B22" w14:textId="77777777" w:rsidR="00E07235" w:rsidRPr="00E07235" w:rsidRDefault="00E07235" w:rsidP="00E07235">
            <w:pPr>
              <w:suppressAutoHyphens w:val="0"/>
              <w:spacing w:before="40" w:after="40" w:line="220" w:lineRule="exact"/>
              <w:jc w:val="right"/>
              <w:rPr>
                <w:sz w:val="18"/>
                <w:szCs w:val="16"/>
                <w:lang w:eastAsia="zh-CN"/>
              </w:rPr>
            </w:pPr>
            <w:r w:rsidRPr="00E07235">
              <w:rPr>
                <w:sz w:val="18"/>
                <w:szCs w:val="16"/>
                <w:lang w:eastAsia="zh-CN"/>
              </w:rPr>
              <w:t>3</w:t>
            </w:r>
          </w:p>
        </w:tc>
        <w:tc>
          <w:tcPr>
            <w:tcW w:w="658" w:type="dxa"/>
            <w:tcBorders>
              <w:top w:val="single" w:sz="4" w:space="0" w:color="000000"/>
              <w:bottom w:val="single" w:sz="4" w:space="0" w:color="000000"/>
            </w:tcBorders>
            <w:shd w:val="clear" w:color="auto" w:fill="auto"/>
            <w:vAlign w:val="bottom"/>
            <w:hideMark/>
          </w:tcPr>
          <w:p w14:paraId="1EF8A47D" w14:textId="77777777" w:rsidR="00E07235" w:rsidRPr="00E07235" w:rsidRDefault="00E07235" w:rsidP="00E07235">
            <w:pPr>
              <w:suppressAutoHyphens w:val="0"/>
              <w:spacing w:before="40" w:after="40" w:line="220" w:lineRule="exact"/>
              <w:jc w:val="right"/>
              <w:rPr>
                <w:sz w:val="18"/>
                <w:szCs w:val="16"/>
                <w:lang w:eastAsia="zh-CN"/>
              </w:rPr>
            </w:pPr>
            <w:r w:rsidRPr="00E07235">
              <w:rPr>
                <w:sz w:val="18"/>
                <w:szCs w:val="16"/>
                <w:lang w:eastAsia="zh-CN"/>
              </w:rPr>
              <w:t>50%</w:t>
            </w:r>
          </w:p>
        </w:tc>
      </w:tr>
      <w:tr w:rsidR="00AD1A66" w:rsidRPr="00E07235" w14:paraId="72879C18" w14:textId="77777777" w:rsidTr="00AD1A66">
        <w:tc>
          <w:tcPr>
            <w:tcW w:w="1204" w:type="dxa"/>
            <w:tcBorders>
              <w:top w:val="single" w:sz="4" w:space="0" w:color="000000"/>
              <w:bottom w:val="single" w:sz="4" w:space="0" w:color="000000"/>
            </w:tcBorders>
            <w:shd w:val="clear" w:color="auto" w:fill="auto"/>
            <w:hideMark/>
          </w:tcPr>
          <w:p w14:paraId="62B57C89" w14:textId="77777777" w:rsidR="00E07235" w:rsidRPr="00E07235" w:rsidRDefault="00E07235" w:rsidP="00E07235">
            <w:pPr>
              <w:suppressAutoHyphens w:val="0"/>
              <w:spacing w:before="40" w:after="40" w:line="220" w:lineRule="exact"/>
              <w:rPr>
                <w:b/>
                <w:bCs/>
                <w:sz w:val="18"/>
                <w:szCs w:val="16"/>
                <w:lang w:eastAsia="zh-CN"/>
              </w:rPr>
            </w:pPr>
            <w:r w:rsidRPr="00E07235">
              <w:rPr>
                <w:b/>
                <w:bCs/>
                <w:sz w:val="18"/>
                <w:szCs w:val="16"/>
                <w:lang w:eastAsia="zh-CN"/>
              </w:rPr>
              <w:t xml:space="preserve">Group of Experts on Assessment of Climate Change Impacts and Adaptation for Inland Transport </w:t>
            </w:r>
          </w:p>
        </w:tc>
        <w:tc>
          <w:tcPr>
            <w:tcW w:w="691" w:type="dxa"/>
            <w:tcBorders>
              <w:top w:val="single" w:sz="4" w:space="0" w:color="000000"/>
              <w:bottom w:val="single" w:sz="4" w:space="0" w:color="000000"/>
            </w:tcBorders>
            <w:shd w:val="clear" w:color="auto" w:fill="auto"/>
            <w:vAlign w:val="bottom"/>
            <w:hideMark/>
          </w:tcPr>
          <w:p w14:paraId="6777727A" w14:textId="77777777" w:rsidR="00E07235" w:rsidRPr="00E07235" w:rsidRDefault="00E07235" w:rsidP="00E07235">
            <w:pPr>
              <w:suppressAutoHyphens w:val="0"/>
              <w:spacing w:before="40" w:after="40" w:line="220" w:lineRule="exact"/>
              <w:jc w:val="right"/>
              <w:rPr>
                <w:sz w:val="18"/>
                <w:szCs w:val="16"/>
                <w:lang w:eastAsia="zh-CN"/>
              </w:rPr>
            </w:pPr>
            <w:r w:rsidRPr="00E07235">
              <w:rPr>
                <w:sz w:val="18"/>
                <w:szCs w:val="16"/>
                <w:lang w:eastAsia="zh-CN"/>
              </w:rPr>
              <w:t>8</w:t>
            </w:r>
          </w:p>
        </w:tc>
        <w:tc>
          <w:tcPr>
            <w:tcW w:w="593" w:type="dxa"/>
            <w:tcBorders>
              <w:top w:val="single" w:sz="4" w:space="0" w:color="000000"/>
              <w:bottom w:val="single" w:sz="4" w:space="0" w:color="000000"/>
            </w:tcBorders>
            <w:shd w:val="clear" w:color="auto" w:fill="auto"/>
            <w:vAlign w:val="bottom"/>
            <w:hideMark/>
          </w:tcPr>
          <w:p w14:paraId="6C6FA2EF" w14:textId="77777777" w:rsidR="00E07235" w:rsidRPr="00E07235" w:rsidRDefault="00E07235" w:rsidP="00E07235">
            <w:pPr>
              <w:suppressAutoHyphens w:val="0"/>
              <w:spacing w:before="40" w:after="40" w:line="220" w:lineRule="exact"/>
              <w:jc w:val="right"/>
              <w:rPr>
                <w:sz w:val="18"/>
                <w:szCs w:val="16"/>
                <w:lang w:eastAsia="zh-CN"/>
              </w:rPr>
            </w:pPr>
            <w:r w:rsidRPr="00E07235">
              <w:rPr>
                <w:sz w:val="18"/>
                <w:szCs w:val="16"/>
                <w:lang w:eastAsia="zh-CN"/>
              </w:rPr>
              <w:t>8</w:t>
            </w:r>
          </w:p>
        </w:tc>
        <w:tc>
          <w:tcPr>
            <w:tcW w:w="806" w:type="dxa"/>
            <w:tcBorders>
              <w:top w:val="single" w:sz="4" w:space="0" w:color="000000"/>
              <w:bottom w:val="single" w:sz="4" w:space="0" w:color="000000"/>
            </w:tcBorders>
            <w:shd w:val="clear" w:color="auto" w:fill="auto"/>
            <w:vAlign w:val="bottom"/>
            <w:hideMark/>
          </w:tcPr>
          <w:p w14:paraId="11CAAB41" w14:textId="77777777" w:rsidR="00E07235" w:rsidRPr="00E07235" w:rsidRDefault="00E07235" w:rsidP="00E07235">
            <w:pPr>
              <w:suppressAutoHyphens w:val="0"/>
              <w:spacing w:before="40" w:after="40" w:line="220" w:lineRule="exact"/>
              <w:jc w:val="right"/>
              <w:rPr>
                <w:sz w:val="18"/>
                <w:szCs w:val="16"/>
                <w:lang w:eastAsia="zh-CN"/>
              </w:rPr>
            </w:pPr>
            <w:r w:rsidRPr="00E07235">
              <w:rPr>
                <w:sz w:val="18"/>
                <w:szCs w:val="16"/>
                <w:lang w:eastAsia="zh-CN"/>
              </w:rPr>
              <w:t>2</w:t>
            </w:r>
          </w:p>
        </w:tc>
        <w:tc>
          <w:tcPr>
            <w:tcW w:w="806" w:type="dxa"/>
            <w:tcBorders>
              <w:top w:val="single" w:sz="4" w:space="0" w:color="000000"/>
              <w:bottom w:val="single" w:sz="4" w:space="0" w:color="000000"/>
              <w:right w:val="single" w:sz="4" w:space="0" w:color="000000"/>
            </w:tcBorders>
            <w:shd w:val="clear" w:color="auto" w:fill="auto"/>
            <w:vAlign w:val="bottom"/>
            <w:hideMark/>
          </w:tcPr>
          <w:p w14:paraId="27189CFB" w14:textId="77777777" w:rsidR="00E07235" w:rsidRPr="00E07235" w:rsidRDefault="00E07235" w:rsidP="00AD1A66">
            <w:pPr>
              <w:suppressAutoHyphens w:val="0"/>
              <w:spacing w:before="40" w:after="40" w:line="220" w:lineRule="exact"/>
              <w:ind w:right="57"/>
              <w:jc w:val="right"/>
              <w:rPr>
                <w:sz w:val="18"/>
                <w:szCs w:val="16"/>
                <w:lang w:eastAsia="zh-CN"/>
              </w:rPr>
            </w:pPr>
            <w:r w:rsidRPr="00E07235">
              <w:rPr>
                <w:sz w:val="18"/>
                <w:szCs w:val="16"/>
                <w:lang w:eastAsia="zh-CN"/>
              </w:rPr>
              <w:t>6</w:t>
            </w:r>
          </w:p>
        </w:tc>
        <w:tc>
          <w:tcPr>
            <w:tcW w:w="763" w:type="dxa"/>
            <w:tcBorders>
              <w:top w:val="single" w:sz="4" w:space="0" w:color="000000"/>
              <w:left w:val="single" w:sz="4" w:space="0" w:color="000000"/>
              <w:bottom w:val="single" w:sz="4" w:space="0" w:color="000000"/>
            </w:tcBorders>
            <w:shd w:val="clear" w:color="auto" w:fill="auto"/>
            <w:vAlign w:val="bottom"/>
            <w:hideMark/>
          </w:tcPr>
          <w:p w14:paraId="764AFDC8" w14:textId="77777777" w:rsidR="00E07235" w:rsidRPr="00E07235" w:rsidRDefault="00E07235" w:rsidP="00E07235">
            <w:pPr>
              <w:suppressAutoHyphens w:val="0"/>
              <w:spacing w:before="40" w:after="40" w:line="220" w:lineRule="exact"/>
              <w:jc w:val="right"/>
              <w:rPr>
                <w:sz w:val="18"/>
                <w:szCs w:val="16"/>
                <w:lang w:eastAsia="zh-CN"/>
              </w:rPr>
            </w:pPr>
            <w:r w:rsidRPr="00E07235">
              <w:rPr>
                <w:sz w:val="18"/>
                <w:szCs w:val="16"/>
                <w:lang w:eastAsia="zh-CN"/>
              </w:rPr>
              <w:t>100%</w:t>
            </w:r>
          </w:p>
        </w:tc>
        <w:tc>
          <w:tcPr>
            <w:tcW w:w="806" w:type="dxa"/>
            <w:tcBorders>
              <w:top w:val="single" w:sz="4" w:space="0" w:color="000000"/>
              <w:bottom w:val="single" w:sz="4" w:space="0" w:color="000000"/>
              <w:right w:val="single" w:sz="4" w:space="0" w:color="000000"/>
            </w:tcBorders>
            <w:shd w:val="clear" w:color="auto" w:fill="auto"/>
            <w:vAlign w:val="bottom"/>
            <w:hideMark/>
          </w:tcPr>
          <w:p w14:paraId="35F6CF21" w14:textId="77777777" w:rsidR="00E07235" w:rsidRPr="00E07235" w:rsidRDefault="00E07235" w:rsidP="00E07235">
            <w:pPr>
              <w:suppressAutoHyphens w:val="0"/>
              <w:spacing w:before="40" w:after="40" w:line="220" w:lineRule="exact"/>
              <w:jc w:val="right"/>
              <w:rPr>
                <w:sz w:val="18"/>
                <w:szCs w:val="16"/>
                <w:lang w:eastAsia="zh-CN"/>
              </w:rPr>
            </w:pPr>
            <w:r w:rsidRPr="00E07235">
              <w:rPr>
                <w:sz w:val="18"/>
                <w:szCs w:val="16"/>
                <w:lang w:eastAsia="zh-CN"/>
              </w:rPr>
              <w:t>25%</w:t>
            </w:r>
          </w:p>
        </w:tc>
        <w:tc>
          <w:tcPr>
            <w:tcW w:w="1043" w:type="dxa"/>
            <w:tcBorders>
              <w:top w:val="single" w:sz="4" w:space="0" w:color="000000"/>
              <w:left w:val="single" w:sz="4" w:space="0" w:color="000000"/>
              <w:bottom w:val="single" w:sz="4" w:space="0" w:color="000000"/>
            </w:tcBorders>
            <w:shd w:val="clear" w:color="auto" w:fill="auto"/>
            <w:vAlign w:val="bottom"/>
            <w:hideMark/>
          </w:tcPr>
          <w:p w14:paraId="5874E700" w14:textId="77777777" w:rsidR="00E07235" w:rsidRPr="00E07235" w:rsidRDefault="00E07235" w:rsidP="00E07235">
            <w:pPr>
              <w:suppressAutoHyphens w:val="0"/>
              <w:spacing w:before="40" w:after="40" w:line="220" w:lineRule="exact"/>
              <w:jc w:val="right"/>
              <w:rPr>
                <w:sz w:val="18"/>
                <w:szCs w:val="16"/>
                <w:lang w:eastAsia="zh-CN"/>
              </w:rPr>
            </w:pPr>
            <w:r w:rsidRPr="00E07235">
              <w:rPr>
                <w:sz w:val="18"/>
                <w:szCs w:val="16"/>
                <w:lang w:eastAsia="zh-CN"/>
              </w:rPr>
              <w:t>0</w:t>
            </w:r>
          </w:p>
        </w:tc>
        <w:tc>
          <w:tcPr>
            <w:tcW w:w="658" w:type="dxa"/>
            <w:tcBorders>
              <w:top w:val="single" w:sz="4" w:space="0" w:color="000000"/>
              <w:bottom w:val="single" w:sz="4" w:space="0" w:color="000000"/>
            </w:tcBorders>
            <w:shd w:val="clear" w:color="auto" w:fill="auto"/>
            <w:vAlign w:val="bottom"/>
            <w:hideMark/>
          </w:tcPr>
          <w:p w14:paraId="17CEC5D1" w14:textId="77777777" w:rsidR="00E07235" w:rsidRPr="00E07235" w:rsidRDefault="00E07235" w:rsidP="00E07235">
            <w:pPr>
              <w:suppressAutoHyphens w:val="0"/>
              <w:spacing w:before="40" w:after="40" w:line="220" w:lineRule="exact"/>
              <w:jc w:val="right"/>
              <w:rPr>
                <w:sz w:val="18"/>
                <w:szCs w:val="16"/>
                <w:lang w:eastAsia="zh-CN"/>
              </w:rPr>
            </w:pPr>
            <w:r w:rsidRPr="00E07235">
              <w:rPr>
                <w:sz w:val="18"/>
                <w:szCs w:val="16"/>
                <w:lang w:eastAsia="zh-CN"/>
              </w:rPr>
              <w:t>0%</w:t>
            </w:r>
          </w:p>
        </w:tc>
      </w:tr>
      <w:tr w:rsidR="00E07235" w:rsidRPr="00E07235" w14:paraId="4C23F825" w14:textId="77777777" w:rsidTr="00AD1A66">
        <w:tc>
          <w:tcPr>
            <w:tcW w:w="1204" w:type="dxa"/>
            <w:tcBorders>
              <w:top w:val="single" w:sz="4" w:space="0" w:color="000000"/>
              <w:bottom w:val="single" w:sz="4" w:space="0" w:color="000000"/>
            </w:tcBorders>
            <w:shd w:val="clear" w:color="auto" w:fill="auto"/>
            <w:hideMark/>
          </w:tcPr>
          <w:p w14:paraId="577C3543" w14:textId="77777777" w:rsidR="00E07235" w:rsidRPr="00E07235" w:rsidRDefault="00E07235" w:rsidP="00E07235">
            <w:pPr>
              <w:suppressAutoHyphens w:val="0"/>
              <w:spacing w:before="40" w:after="40" w:line="220" w:lineRule="exact"/>
              <w:rPr>
                <w:b/>
                <w:bCs/>
                <w:sz w:val="18"/>
                <w:szCs w:val="16"/>
                <w:lang w:eastAsia="zh-CN"/>
              </w:rPr>
            </w:pPr>
            <w:r w:rsidRPr="00E07235">
              <w:rPr>
                <w:b/>
                <w:bCs/>
                <w:sz w:val="18"/>
                <w:szCs w:val="16"/>
                <w:lang w:eastAsia="zh-CN"/>
              </w:rPr>
              <w:t>Group of Experts on Conceptual and Technical Aspects of Computerization of the TIR Procedure</w:t>
            </w:r>
          </w:p>
        </w:tc>
        <w:tc>
          <w:tcPr>
            <w:tcW w:w="691" w:type="dxa"/>
            <w:tcBorders>
              <w:top w:val="single" w:sz="4" w:space="0" w:color="000000"/>
              <w:bottom w:val="single" w:sz="4" w:space="0" w:color="000000"/>
            </w:tcBorders>
            <w:shd w:val="clear" w:color="auto" w:fill="auto"/>
            <w:vAlign w:val="bottom"/>
            <w:hideMark/>
          </w:tcPr>
          <w:p w14:paraId="53141E96" w14:textId="77777777" w:rsidR="00E07235" w:rsidRPr="00E07235" w:rsidRDefault="00E07235" w:rsidP="00E07235">
            <w:pPr>
              <w:suppressAutoHyphens w:val="0"/>
              <w:spacing w:before="40" w:after="40" w:line="220" w:lineRule="exact"/>
              <w:jc w:val="right"/>
              <w:rPr>
                <w:sz w:val="18"/>
                <w:szCs w:val="16"/>
                <w:lang w:eastAsia="zh-CN"/>
              </w:rPr>
            </w:pPr>
            <w:r w:rsidRPr="00E07235">
              <w:rPr>
                <w:sz w:val="18"/>
                <w:szCs w:val="16"/>
                <w:lang w:eastAsia="zh-CN"/>
              </w:rPr>
              <w:t>6</w:t>
            </w:r>
          </w:p>
        </w:tc>
        <w:tc>
          <w:tcPr>
            <w:tcW w:w="593" w:type="dxa"/>
            <w:tcBorders>
              <w:top w:val="single" w:sz="4" w:space="0" w:color="000000"/>
              <w:bottom w:val="single" w:sz="4" w:space="0" w:color="000000"/>
            </w:tcBorders>
            <w:shd w:val="clear" w:color="auto" w:fill="auto"/>
            <w:vAlign w:val="bottom"/>
            <w:hideMark/>
          </w:tcPr>
          <w:p w14:paraId="45E632C3" w14:textId="77777777" w:rsidR="00E07235" w:rsidRPr="00E07235" w:rsidRDefault="00E07235" w:rsidP="00E07235">
            <w:pPr>
              <w:suppressAutoHyphens w:val="0"/>
              <w:spacing w:before="40" w:after="40" w:line="220" w:lineRule="exact"/>
              <w:jc w:val="right"/>
              <w:rPr>
                <w:sz w:val="18"/>
                <w:szCs w:val="16"/>
                <w:lang w:eastAsia="zh-CN"/>
              </w:rPr>
            </w:pPr>
            <w:r w:rsidRPr="00E07235">
              <w:rPr>
                <w:sz w:val="18"/>
                <w:szCs w:val="16"/>
                <w:lang w:eastAsia="zh-CN"/>
              </w:rPr>
              <w:t>22</w:t>
            </w:r>
          </w:p>
        </w:tc>
        <w:tc>
          <w:tcPr>
            <w:tcW w:w="806" w:type="dxa"/>
            <w:tcBorders>
              <w:top w:val="single" w:sz="4" w:space="0" w:color="000000"/>
              <w:bottom w:val="single" w:sz="4" w:space="0" w:color="000000"/>
            </w:tcBorders>
            <w:shd w:val="clear" w:color="auto" w:fill="auto"/>
            <w:vAlign w:val="bottom"/>
            <w:hideMark/>
          </w:tcPr>
          <w:p w14:paraId="2B364D9D" w14:textId="77777777" w:rsidR="00E07235" w:rsidRPr="00E07235" w:rsidRDefault="00E07235" w:rsidP="00E07235">
            <w:pPr>
              <w:suppressAutoHyphens w:val="0"/>
              <w:spacing w:before="40" w:after="40" w:line="220" w:lineRule="exact"/>
              <w:jc w:val="right"/>
              <w:rPr>
                <w:sz w:val="18"/>
                <w:szCs w:val="16"/>
                <w:lang w:eastAsia="zh-CN"/>
              </w:rPr>
            </w:pPr>
            <w:r w:rsidRPr="00E07235">
              <w:rPr>
                <w:sz w:val="18"/>
                <w:szCs w:val="16"/>
                <w:lang w:eastAsia="zh-CN"/>
              </w:rPr>
              <w:t>17</w:t>
            </w:r>
          </w:p>
        </w:tc>
        <w:tc>
          <w:tcPr>
            <w:tcW w:w="806" w:type="dxa"/>
            <w:tcBorders>
              <w:top w:val="single" w:sz="4" w:space="0" w:color="000000"/>
              <w:bottom w:val="single" w:sz="4" w:space="0" w:color="000000"/>
              <w:right w:val="single" w:sz="4" w:space="0" w:color="000000"/>
            </w:tcBorders>
            <w:shd w:val="clear" w:color="auto" w:fill="auto"/>
            <w:vAlign w:val="bottom"/>
            <w:hideMark/>
          </w:tcPr>
          <w:p w14:paraId="5D4C53A7" w14:textId="77777777" w:rsidR="00E07235" w:rsidRPr="00E07235" w:rsidRDefault="00E07235" w:rsidP="00AD1A66">
            <w:pPr>
              <w:suppressAutoHyphens w:val="0"/>
              <w:spacing w:before="40" w:after="40" w:line="220" w:lineRule="exact"/>
              <w:ind w:right="57"/>
              <w:jc w:val="right"/>
              <w:rPr>
                <w:sz w:val="18"/>
                <w:szCs w:val="16"/>
                <w:lang w:eastAsia="zh-CN"/>
              </w:rPr>
            </w:pPr>
            <w:r w:rsidRPr="00E07235">
              <w:rPr>
                <w:sz w:val="18"/>
                <w:szCs w:val="16"/>
                <w:lang w:eastAsia="zh-CN"/>
              </w:rPr>
              <w:t>5</w:t>
            </w:r>
          </w:p>
        </w:tc>
        <w:tc>
          <w:tcPr>
            <w:tcW w:w="763" w:type="dxa"/>
            <w:tcBorders>
              <w:top w:val="single" w:sz="4" w:space="0" w:color="000000"/>
              <w:left w:val="single" w:sz="4" w:space="0" w:color="000000"/>
              <w:bottom w:val="single" w:sz="4" w:space="0" w:color="000000"/>
            </w:tcBorders>
            <w:shd w:val="clear" w:color="auto" w:fill="auto"/>
            <w:vAlign w:val="bottom"/>
            <w:hideMark/>
          </w:tcPr>
          <w:p w14:paraId="543222C8" w14:textId="77777777" w:rsidR="00E07235" w:rsidRPr="00E07235" w:rsidRDefault="00E07235" w:rsidP="00E07235">
            <w:pPr>
              <w:suppressAutoHyphens w:val="0"/>
              <w:spacing w:before="40" w:after="40" w:line="220" w:lineRule="exact"/>
              <w:jc w:val="right"/>
              <w:rPr>
                <w:sz w:val="18"/>
                <w:szCs w:val="16"/>
                <w:lang w:eastAsia="zh-CN"/>
              </w:rPr>
            </w:pPr>
            <w:r w:rsidRPr="00E07235">
              <w:rPr>
                <w:sz w:val="18"/>
                <w:szCs w:val="16"/>
                <w:lang w:eastAsia="zh-CN"/>
              </w:rPr>
              <w:t>367%</w:t>
            </w:r>
          </w:p>
        </w:tc>
        <w:tc>
          <w:tcPr>
            <w:tcW w:w="806" w:type="dxa"/>
            <w:tcBorders>
              <w:top w:val="single" w:sz="4" w:space="0" w:color="000000"/>
              <w:bottom w:val="single" w:sz="4" w:space="0" w:color="000000"/>
              <w:right w:val="single" w:sz="4" w:space="0" w:color="000000"/>
            </w:tcBorders>
            <w:shd w:val="clear" w:color="auto" w:fill="auto"/>
            <w:vAlign w:val="bottom"/>
            <w:hideMark/>
          </w:tcPr>
          <w:p w14:paraId="226D28D3" w14:textId="77777777" w:rsidR="00E07235" w:rsidRPr="00E07235" w:rsidRDefault="00E07235" w:rsidP="00E07235">
            <w:pPr>
              <w:suppressAutoHyphens w:val="0"/>
              <w:spacing w:before="40" w:after="40" w:line="220" w:lineRule="exact"/>
              <w:jc w:val="right"/>
              <w:rPr>
                <w:sz w:val="18"/>
                <w:szCs w:val="16"/>
                <w:lang w:eastAsia="zh-CN"/>
              </w:rPr>
            </w:pPr>
            <w:r w:rsidRPr="00E07235">
              <w:rPr>
                <w:sz w:val="18"/>
                <w:szCs w:val="16"/>
                <w:lang w:eastAsia="zh-CN"/>
              </w:rPr>
              <w:t>283%</w:t>
            </w:r>
          </w:p>
        </w:tc>
        <w:tc>
          <w:tcPr>
            <w:tcW w:w="1043" w:type="dxa"/>
            <w:tcBorders>
              <w:top w:val="single" w:sz="4" w:space="0" w:color="000000"/>
              <w:left w:val="single" w:sz="4" w:space="0" w:color="000000"/>
              <w:bottom w:val="single" w:sz="4" w:space="0" w:color="000000"/>
            </w:tcBorders>
            <w:shd w:val="clear" w:color="auto" w:fill="auto"/>
            <w:vAlign w:val="bottom"/>
            <w:hideMark/>
          </w:tcPr>
          <w:p w14:paraId="50C3FC25" w14:textId="77777777" w:rsidR="00E07235" w:rsidRPr="00E07235" w:rsidRDefault="00E07235" w:rsidP="00E07235">
            <w:pPr>
              <w:suppressAutoHyphens w:val="0"/>
              <w:spacing w:before="40" w:after="40" w:line="220" w:lineRule="exact"/>
              <w:jc w:val="right"/>
              <w:rPr>
                <w:sz w:val="18"/>
                <w:szCs w:val="16"/>
                <w:lang w:eastAsia="zh-CN"/>
              </w:rPr>
            </w:pPr>
            <w:r w:rsidRPr="00E07235">
              <w:rPr>
                <w:sz w:val="18"/>
                <w:szCs w:val="16"/>
                <w:lang w:eastAsia="zh-CN"/>
              </w:rPr>
              <w:t>0</w:t>
            </w:r>
          </w:p>
        </w:tc>
        <w:tc>
          <w:tcPr>
            <w:tcW w:w="658" w:type="dxa"/>
            <w:tcBorders>
              <w:top w:val="single" w:sz="4" w:space="0" w:color="000000"/>
              <w:bottom w:val="single" w:sz="4" w:space="0" w:color="000000"/>
            </w:tcBorders>
            <w:shd w:val="clear" w:color="auto" w:fill="auto"/>
            <w:vAlign w:val="bottom"/>
            <w:hideMark/>
          </w:tcPr>
          <w:p w14:paraId="09ACFAF3" w14:textId="77777777" w:rsidR="00E07235" w:rsidRPr="00E07235" w:rsidRDefault="00E07235" w:rsidP="00E07235">
            <w:pPr>
              <w:suppressAutoHyphens w:val="0"/>
              <w:spacing w:before="40" w:after="40" w:line="220" w:lineRule="exact"/>
              <w:jc w:val="right"/>
              <w:rPr>
                <w:sz w:val="18"/>
                <w:szCs w:val="16"/>
                <w:lang w:eastAsia="zh-CN"/>
              </w:rPr>
            </w:pPr>
            <w:r w:rsidRPr="00E07235">
              <w:rPr>
                <w:sz w:val="18"/>
                <w:szCs w:val="16"/>
                <w:lang w:eastAsia="zh-CN"/>
              </w:rPr>
              <w:t>0%</w:t>
            </w:r>
          </w:p>
        </w:tc>
      </w:tr>
      <w:tr w:rsidR="00D9391B" w:rsidRPr="00E07235" w14:paraId="77DC7FE3" w14:textId="77777777" w:rsidTr="00AD1A66">
        <w:tc>
          <w:tcPr>
            <w:tcW w:w="1204" w:type="dxa"/>
            <w:tcBorders>
              <w:top w:val="single" w:sz="4" w:space="0" w:color="000000"/>
              <w:bottom w:val="single" w:sz="12" w:space="0" w:color="000000"/>
            </w:tcBorders>
            <w:shd w:val="clear" w:color="auto" w:fill="auto"/>
            <w:hideMark/>
          </w:tcPr>
          <w:p w14:paraId="1AF3824E" w14:textId="77777777" w:rsidR="00E07235" w:rsidRPr="00E07235" w:rsidRDefault="00E07235" w:rsidP="00E07235">
            <w:pPr>
              <w:suppressAutoHyphens w:val="0"/>
              <w:spacing w:before="40" w:after="40" w:line="220" w:lineRule="exact"/>
              <w:rPr>
                <w:b/>
                <w:bCs/>
                <w:sz w:val="18"/>
                <w:szCs w:val="16"/>
                <w:lang w:eastAsia="zh-CN"/>
              </w:rPr>
            </w:pPr>
            <w:r w:rsidRPr="00E07235">
              <w:rPr>
                <w:b/>
                <w:bCs/>
                <w:sz w:val="18"/>
                <w:szCs w:val="16"/>
                <w:lang w:eastAsia="zh-CN"/>
              </w:rPr>
              <w:t>TOTAL</w:t>
            </w:r>
          </w:p>
        </w:tc>
        <w:tc>
          <w:tcPr>
            <w:tcW w:w="691" w:type="dxa"/>
            <w:tcBorders>
              <w:top w:val="single" w:sz="4" w:space="0" w:color="000000"/>
              <w:bottom w:val="single" w:sz="12" w:space="0" w:color="000000"/>
            </w:tcBorders>
            <w:shd w:val="clear" w:color="auto" w:fill="auto"/>
            <w:noWrap/>
            <w:vAlign w:val="bottom"/>
            <w:hideMark/>
          </w:tcPr>
          <w:p w14:paraId="0ADA9C2B" w14:textId="77777777" w:rsidR="00E07235" w:rsidRPr="00E07235" w:rsidRDefault="00E07235" w:rsidP="00E07235">
            <w:pPr>
              <w:suppressAutoHyphens w:val="0"/>
              <w:spacing w:before="40" w:after="40" w:line="220" w:lineRule="exact"/>
              <w:jc w:val="right"/>
              <w:rPr>
                <w:b/>
                <w:bCs/>
                <w:sz w:val="18"/>
                <w:szCs w:val="16"/>
                <w:lang w:eastAsia="zh-CN"/>
              </w:rPr>
            </w:pPr>
            <w:r w:rsidRPr="00E07235">
              <w:rPr>
                <w:b/>
                <w:bCs/>
                <w:sz w:val="18"/>
                <w:szCs w:val="16"/>
                <w:lang w:eastAsia="zh-CN"/>
              </w:rPr>
              <w:t>67</w:t>
            </w:r>
          </w:p>
        </w:tc>
        <w:tc>
          <w:tcPr>
            <w:tcW w:w="593" w:type="dxa"/>
            <w:tcBorders>
              <w:top w:val="single" w:sz="4" w:space="0" w:color="000000"/>
              <w:bottom w:val="single" w:sz="12" w:space="0" w:color="000000"/>
            </w:tcBorders>
            <w:shd w:val="clear" w:color="auto" w:fill="auto"/>
            <w:noWrap/>
            <w:vAlign w:val="bottom"/>
            <w:hideMark/>
          </w:tcPr>
          <w:p w14:paraId="7FA5C913" w14:textId="77777777" w:rsidR="00E07235" w:rsidRPr="00E07235" w:rsidRDefault="00E07235" w:rsidP="00E07235">
            <w:pPr>
              <w:suppressAutoHyphens w:val="0"/>
              <w:spacing w:before="40" w:after="40" w:line="220" w:lineRule="exact"/>
              <w:jc w:val="right"/>
              <w:rPr>
                <w:b/>
                <w:bCs/>
                <w:sz w:val="18"/>
                <w:szCs w:val="16"/>
                <w:lang w:eastAsia="zh-CN"/>
              </w:rPr>
            </w:pPr>
            <w:r w:rsidRPr="00E07235">
              <w:rPr>
                <w:b/>
                <w:bCs/>
                <w:sz w:val="18"/>
                <w:szCs w:val="16"/>
                <w:lang w:eastAsia="zh-CN"/>
              </w:rPr>
              <w:t>70</w:t>
            </w:r>
          </w:p>
        </w:tc>
        <w:tc>
          <w:tcPr>
            <w:tcW w:w="806" w:type="dxa"/>
            <w:tcBorders>
              <w:top w:val="single" w:sz="4" w:space="0" w:color="000000"/>
              <w:bottom w:val="single" w:sz="12" w:space="0" w:color="000000"/>
            </w:tcBorders>
            <w:shd w:val="clear" w:color="auto" w:fill="auto"/>
            <w:noWrap/>
            <w:vAlign w:val="bottom"/>
            <w:hideMark/>
          </w:tcPr>
          <w:p w14:paraId="161FEB98" w14:textId="77777777" w:rsidR="00E07235" w:rsidRPr="00E07235" w:rsidRDefault="00E07235" w:rsidP="00E07235">
            <w:pPr>
              <w:suppressAutoHyphens w:val="0"/>
              <w:spacing w:before="40" w:after="40" w:line="220" w:lineRule="exact"/>
              <w:jc w:val="right"/>
              <w:rPr>
                <w:b/>
                <w:bCs/>
                <w:sz w:val="18"/>
                <w:szCs w:val="16"/>
                <w:lang w:eastAsia="zh-CN"/>
              </w:rPr>
            </w:pPr>
            <w:r w:rsidRPr="00E07235">
              <w:rPr>
                <w:b/>
                <w:bCs/>
                <w:sz w:val="18"/>
                <w:szCs w:val="16"/>
                <w:lang w:eastAsia="zh-CN"/>
              </w:rPr>
              <w:t>57</w:t>
            </w:r>
          </w:p>
        </w:tc>
        <w:tc>
          <w:tcPr>
            <w:tcW w:w="806" w:type="dxa"/>
            <w:tcBorders>
              <w:top w:val="single" w:sz="4" w:space="0" w:color="000000"/>
              <w:bottom w:val="single" w:sz="12" w:space="0" w:color="000000"/>
              <w:right w:val="single" w:sz="4" w:space="0" w:color="000000"/>
            </w:tcBorders>
            <w:shd w:val="clear" w:color="auto" w:fill="auto"/>
            <w:noWrap/>
            <w:vAlign w:val="bottom"/>
            <w:hideMark/>
          </w:tcPr>
          <w:p w14:paraId="619DEC46" w14:textId="77777777" w:rsidR="00E07235" w:rsidRPr="00E07235" w:rsidRDefault="00E07235" w:rsidP="00AD1A66">
            <w:pPr>
              <w:suppressAutoHyphens w:val="0"/>
              <w:spacing w:before="40" w:after="40" w:line="220" w:lineRule="exact"/>
              <w:ind w:right="57"/>
              <w:jc w:val="right"/>
              <w:rPr>
                <w:b/>
                <w:bCs/>
                <w:sz w:val="18"/>
                <w:szCs w:val="16"/>
                <w:lang w:eastAsia="zh-CN"/>
              </w:rPr>
            </w:pPr>
            <w:r w:rsidRPr="00E07235">
              <w:rPr>
                <w:b/>
                <w:bCs/>
                <w:sz w:val="18"/>
                <w:szCs w:val="16"/>
                <w:lang w:eastAsia="zh-CN"/>
              </w:rPr>
              <w:t>11</w:t>
            </w:r>
          </w:p>
        </w:tc>
        <w:tc>
          <w:tcPr>
            <w:tcW w:w="763" w:type="dxa"/>
            <w:tcBorders>
              <w:top w:val="single" w:sz="4" w:space="0" w:color="000000"/>
              <w:left w:val="single" w:sz="4" w:space="0" w:color="000000"/>
              <w:bottom w:val="single" w:sz="12" w:space="0" w:color="000000"/>
            </w:tcBorders>
            <w:shd w:val="clear" w:color="auto" w:fill="auto"/>
            <w:vAlign w:val="bottom"/>
            <w:hideMark/>
          </w:tcPr>
          <w:p w14:paraId="027E3344" w14:textId="77777777" w:rsidR="00E07235" w:rsidRPr="00E07235" w:rsidRDefault="00E07235" w:rsidP="00E07235">
            <w:pPr>
              <w:suppressAutoHyphens w:val="0"/>
              <w:spacing w:before="40" w:after="40" w:line="220" w:lineRule="exact"/>
              <w:jc w:val="right"/>
              <w:rPr>
                <w:b/>
                <w:bCs/>
                <w:sz w:val="18"/>
                <w:szCs w:val="16"/>
                <w:lang w:eastAsia="zh-CN"/>
              </w:rPr>
            </w:pPr>
            <w:r w:rsidRPr="00E07235">
              <w:rPr>
                <w:b/>
                <w:bCs/>
                <w:sz w:val="18"/>
                <w:szCs w:val="16"/>
                <w:lang w:eastAsia="zh-CN"/>
              </w:rPr>
              <w:t>104%</w:t>
            </w:r>
          </w:p>
        </w:tc>
        <w:tc>
          <w:tcPr>
            <w:tcW w:w="806" w:type="dxa"/>
            <w:tcBorders>
              <w:top w:val="single" w:sz="4" w:space="0" w:color="000000"/>
              <w:bottom w:val="single" w:sz="12" w:space="0" w:color="000000"/>
              <w:right w:val="single" w:sz="4" w:space="0" w:color="000000"/>
            </w:tcBorders>
            <w:shd w:val="clear" w:color="auto" w:fill="auto"/>
            <w:vAlign w:val="bottom"/>
            <w:hideMark/>
          </w:tcPr>
          <w:p w14:paraId="3E817884" w14:textId="77777777" w:rsidR="00E07235" w:rsidRPr="00E07235" w:rsidRDefault="00E07235" w:rsidP="00E07235">
            <w:pPr>
              <w:suppressAutoHyphens w:val="0"/>
              <w:spacing w:before="40" w:after="40" w:line="220" w:lineRule="exact"/>
              <w:jc w:val="right"/>
              <w:rPr>
                <w:b/>
                <w:bCs/>
                <w:sz w:val="18"/>
                <w:szCs w:val="16"/>
                <w:lang w:eastAsia="zh-CN"/>
              </w:rPr>
            </w:pPr>
            <w:r w:rsidRPr="00E07235">
              <w:rPr>
                <w:b/>
                <w:bCs/>
                <w:sz w:val="18"/>
                <w:szCs w:val="16"/>
                <w:lang w:eastAsia="zh-CN"/>
              </w:rPr>
              <w:t>85%</w:t>
            </w:r>
          </w:p>
        </w:tc>
        <w:tc>
          <w:tcPr>
            <w:tcW w:w="1043" w:type="dxa"/>
            <w:tcBorders>
              <w:top w:val="single" w:sz="4" w:space="0" w:color="000000"/>
              <w:left w:val="single" w:sz="4" w:space="0" w:color="000000"/>
              <w:bottom w:val="single" w:sz="12" w:space="0" w:color="000000"/>
            </w:tcBorders>
            <w:shd w:val="clear" w:color="auto" w:fill="auto"/>
            <w:noWrap/>
            <w:vAlign w:val="bottom"/>
            <w:hideMark/>
          </w:tcPr>
          <w:p w14:paraId="07F93E5E" w14:textId="77777777" w:rsidR="00E07235" w:rsidRPr="00E07235" w:rsidRDefault="00E07235" w:rsidP="00E07235">
            <w:pPr>
              <w:suppressAutoHyphens w:val="0"/>
              <w:spacing w:before="40" w:after="40" w:line="220" w:lineRule="exact"/>
              <w:jc w:val="right"/>
              <w:rPr>
                <w:b/>
                <w:bCs/>
                <w:sz w:val="18"/>
                <w:szCs w:val="16"/>
                <w:lang w:eastAsia="zh-CN"/>
              </w:rPr>
            </w:pPr>
            <w:r w:rsidRPr="00E07235">
              <w:rPr>
                <w:b/>
                <w:bCs/>
                <w:sz w:val="18"/>
                <w:szCs w:val="16"/>
                <w:lang w:eastAsia="zh-CN"/>
              </w:rPr>
              <w:t>17</w:t>
            </w:r>
          </w:p>
        </w:tc>
        <w:tc>
          <w:tcPr>
            <w:tcW w:w="658" w:type="dxa"/>
            <w:tcBorders>
              <w:top w:val="single" w:sz="4" w:space="0" w:color="000000"/>
              <w:bottom w:val="single" w:sz="12" w:space="0" w:color="000000"/>
            </w:tcBorders>
            <w:shd w:val="clear" w:color="auto" w:fill="auto"/>
            <w:vAlign w:val="bottom"/>
            <w:hideMark/>
          </w:tcPr>
          <w:p w14:paraId="7FDA6187" w14:textId="77777777" w:rsidR="00E07235" w:rsidRPr="00E07235" w:rsidRDefault="00E07235" w:rsidP="00E07235">
            <w:pPr>
              <w:suppressAutoHyphens w:val="0"/>
              <w:spacing w:before="40" w:after="40" w:line="220" w:lineRule="exact"/>
              <w:jc w:val="right"/>
              <w:rPr>
                <w:b/>
                <w:bCs/>
                <w:sz w:val="18"/>
                <w:szCs w:val="16"/>
                <w:lang w:eastAsia="zh-CN"/>
              </w:rPr>
            </w:pPr>
            <w:r w:rsidRPr="00E07235">
              <w:rPr>
                <w:b/>
                <w:bCs/>
                <w:sz w:val="18"/>
                <w:szCs w:val="16"/>
                <w:lang w:eastAsia="zh-CN"/>
              </w:rPr>
              <w:t>30%</w:t>
            </w:r>
          </w:p>
        </w:tc>
      </w:tr>
    </w:tbl>
    <w:p w14:paraId="5125F789" w14:textId="77777777" w:rsidR="005430F7" w:rsidRDefault="005430F7" w:rsidP="005430F7">
      <w:pPr>
        <w:pStyle w:val="H1G"/>
      </w:pPr>
      <w:r>
        <w:tab/>
        <w:t>B</w:t>
      </w:r>
      <w:r w:rsidRPr="00855DF5">
        <w:t>.</w:t>
      </w:r>
      <w:r w:rsidRPr="00855DF5">
        <w:tab/>
        <w:t xml:space="preserve">Impacts on </w:t>
      </w:r>
      <w:r>
        <w:t xml:space="preserve">documents </w:t>
      </w:r>
    </w:p>
    <w:p w14:paraId="389616C4" w14:textId="77777777" w:rsidR="005430F7" w:rsidRDefault="005430F7" w:rsidP="005430F7">
      <w:pPr>
        <w:pStyle w:val="SingleTxtG"/>
      </w:pPr>
      <w:r>
        <w:t>21.</w:t>
      </w:r>
      <w:r>
        <w:tab/>
        <w:t>At the time of writing of this note, the combined effects of COVID-19 and the liquidity crisis on the delivery of documents is expected to be significantly less than in 2020. It is expected that 93 per cent of planned documents will be implemented in 2021 (see table 3). By contrast, the implementation level in 2020 was less than 70 per cent</w:t>
      </w:r>
      <w:r w:rsidRPr="00F217ED">
        <w:t>.</w:t>
      </w:r>
      <w:r>
        <w:t xml:space="preserve"> </w:t>
      </w:r>
    </w:p>
    <w:p w14:paraId="70F4286E" w14:textId="77777777" w:rsidR="005430F7" w:rsidRDefault="005430F7" w:rsidP="00231128">
      <w:pPr>
        <w:pStyle w:val="Heading1"/>
        <w:keepNext/>
        <w:keepLines/>
      </w:pPr>
      <w:r w:rsidRPr="0022584F">
        <w:t>Table</w:t>
      </w:r>
      <w:r>
        <w:t xml:space="preserve"> 3</w:t>
      </w:r>
      <w:r w:rsidRPr="0022584F">
        <w:t xml:space="preserve"> </w:t>
      </w:r>
    </w:p>
    <w:p w14:paraId="61BFEBE2" w14:textId="77777777" w:rsidR="005430F7" w:rsidRDefault="005430F7" w:rsidP="00231128">
      <w:pPr>
        <w:pStyle w:val="SingleTxtG"/>
        <w:keepNext/>
        <w:keepLines/>
      </w:pPr>
      <w:r w:rsidRPr="0046036E">
        <w:rPr>
          <w:b/>
          <w:bCs/>
        </w:rPr>
        <w:t xml:space="preserve">Impacts of COVID-19 </w:t>
      </w:r>
      <w:r>
        <w:rPr>
          <w:b/>
          <w:bCs/>
        </w:rPr>
        <w:t xml:space="preserve">and the liquidity crisis </w:t>
      </w:r>
      <w:r w:rsidRPr="0046036E">
        <w:rPr>
          <w:b/>
          <w:bCs/>
        </w:rPr>
        <w:t xml:space="preserve">on </w:t>
      </w:r>
      <w:r>
        <w:rPr>
          <w:b/>
          <w:bCs/>
        </w:rPr>
        <w:t>transport subprogramme documents</w:t>
      </w:r>
    </w:p>
    <w:tbl>
      <w:tblPr>
        <w:tblW w:w="9637" w:type="dxa"/>
        <w:tblLayout w:type="fixed"/>
        <w:tblCellMar>
          <w:left w:w="0" w:type="dxa"/>
          <w:right w:w="0" w:type="dxa"/>
        </w:tblCellMar>
        <w:tblLook w:val="04A0" w:firstRow="1" w:lastRow="0" w:firstColumn="1" w:lastColumn="0" w:noHBand="0" w:noVBand="1"/>
      </w:tblPr>
      <w:tblGrid>
        <w:gridCol w:w="6209"/>
        <w:gridCol w:w="939"/>
        <w:gridCol w:w="909"/>
        <w:gridCol w:w="1580"/>
      </w:tblGrid>
      <w:tr w:rsidR="00F904CC" w:rsidRPr="00F904CC" w14:paraId="7CC4E5CF" w14:textId="77777777" w:rsidTr="00F904CC">
        <w:trPr>
          <w:tblHeader/>
        </w:trPr>
        <w:tc>
          <w:tcPr>
            <w:tcW w:w="4749" w:type="dxa"/>
            <w:tcBorders>
              <w:top w:val="single" w:sz="4" w:space="0" w:color="000000"/>
              <w:bottom w:val="single" w:sz="12" w:space="0" w:color="000000"/>
            </w:tcBorders>
            <w:shd w:val="clear" w:color="auto" w:fill="auto"/>
            <w:vAlign w:val="bottom"/>
            <w:hideMark/>
          </w:tcPr>
          <w:p w14:paraId="110D19D8" w14:textId="77777777" w:rsidR="00F904CC" w:rsidRPr="00F904CC" w:rsidRDefault="00F904CC" w:rsidP="00F904CC">
            <w:pPr>
              <w:suppressAutoHyphens w:val="0"/>
              <w:spacing w:before="80" w:after="80" w:line="200" w:lineRule="exact"/>
              <w:rPr>
                <w:i/>
                <w:iCs/>
                <w:sz w:val="16"/>
                <w:szCs w:val="18"/>
                <w:lang w:eastAsia="zh-CN"/>
              </w:rPr>
            </w:pPr>
            <w:r w:rsidRPr="00F904CC">
              <w:rPr>
                <w:i/>
                <w:iCs/>
                <w:sz w:val="16"/>
                <w:szCs w:val="18"/>
                <w:lang w:eastAsia="zh-CN"/>
              </w:rPr>
              <w:t> </w:t>
            </w:r>
          </w:p>
        </w:tc>
        <w:tc>
          <w:tcPr>
            <w:tcW w:w="718" w:type="dxa"/>
            <w:tcBorders>
              <w:top w:val="single" w:sz="4" w:space="0" w:color="000000"/>
              <w:bottom w:val="single" w:sz="12" w:space="0" w:color="000000"/>
            </w:tcBorders>
            <w:shd w:val="clear" w:color="auto" w:fill="auto"/>
            <w:vAlign w:val="bottom"/>
            <w:hideMark/>
          </w:tcPr>
          <w:p w14:paraId="3EA523CC" w14:textId="77777777" w:rsidR="00F904CC" w:rsidRPr="00F904CC" w:rsidRDefault="00F904CC" w:rsidP="00F904CC">
            <w:pPr>
              <w:suppressAutoHyphens w:val="0"/>
              <w:spacing w:before="80" w:after="80" w:line="200" w:lineRule="exact"/>
              <w:jc w:val="right"/>
              <w:rPr>
                <w:bCs/>
                <w:i/>
                <w:iCs/>
                <w:sz w:val="16"/>
                <w:szCs w:val="18"/>
                <w:lang w:eastAsia="zh-CN"/>
              </w:rPr>
            </w:pPr>
            <w:r w:rsidRPr="00F904CC">
              <w:rPr>
                <w:bCs/>
                <w:i/>
                <w:iCs/>
                <w:sz w:val="16"/>
                <w:szCs w:val="18"/>
                <w:lang w:eastAsia="zh-CN"/>
              </w:rPr>
              <w:t>2021 planned</w:t>
            </w:r>
            <w:r w:rsidRPr="00F904CC">
              <w:rPr>
                <w:bCs/>
                <w:i/>
                <w:iCs/>
                <w:sz w:val="16"/>
                <w:szCs w:val="18"/>
                <w:lang w:eastAsia="zh-CN"/>
              </w:rPr>
              <w:br/>
              <w:t>(a)</w:t>
            </w:r>
          </w:p>
        </w:tc>
        <w:tc>
          <w:tcPr>
            <w:tcW w:w="695" w:type="dxa"/>
            <w:tcBorders>
              <w:top w:val="single" w:sz="4" w:space="0" w:color="000000"/>
              <w:bottom w:val="single" w:sz="12" w:space="0" w:color="000000"/>
            </w:tcBorders>
            <w:shd w:val="clear" w:color="auto" w:fill="auto"/>
            <w:vAlign w:val="bottom"/>
            <w:hideMark/>
          </w:tcPr>
          <w:p w14:paraId="605B2904" w14:textId="77777777" w:rsidR="00F904CC" w:rsidRPr="00F904CC" w:rsidRDefault="00F904CC" w:rsidP="00F904CC">
            <w:pPr>
              <w:suppressAutoHyphens w:val="0"/>
              <w:spacing w:before="80" w:after="80" w:line="200" w:lineRule="exact"/>
              <w:jc w:val="right"/>
              <w:rPr>
                <w:bCs/>
                <w:i/>
                <w:iCs/>
                <w:sz w:val="16"/>
                <w:szCs w:val="18"/>
                <w:lang w:eastAsia="zh-CN"/>
              </w:rPr>
            </w:pPr>
            <w:r w:rsidRPr="00F904CC">
              <w:rPr>
                <w:bCs/>
                <w:i/>
                <w:iCs/>
                <w:sz w:val="16"/>
                <w:szCs w:val="18"/>
                <w:lang w:eastAsia="zh-CN"/>
              </w:rPr>
              <w:t>2021 actual (est.)(b)</w:t>
            </w:r>
          </w:p>
        </w:tc>
        <w:tc>
          <w:tcPr>
            <w:tcW w:w="1208" w:type="dxa"/>
            <w:tcBorders>
              <w:top w:val="single" w:sz="4" w:space="0" w:color="000000"/>
              <w:bottom w:val="single" w:sz="12" w:space="0" w:color="000000"/>
            </w:tcBorders>
            <w:shd w:val="clear" w:color="auto" w:fill="auto"/>
            <w:vAlign w:val="bottom"/>
            <w:hideMark/>
          </w:tcPr>
          <w:p w14:paraId="24416B7A" w14:textId="77777777" w:rsidR="00F904CC" w:rsidRPr="00F904CC" w:rsidRDefault="00F904CC" w:rsidP="00F904CC">
            <w:pPr>
              <w:suppressAutoHyphens w:val="0"/>
              <w:spacing w:before="80" w:after="80" w:line="200" w:lineRule="exact"/>
              <w:jc w:val="right"/>
              <w:rPr>
                <w:bCs/>
                <w:i/>
                <w:iCs/>
                <w:sz w:val="16"/>
                <w:szCs w:val="18"/>
                <w:lang w:eastAsia="zh-CN"/>
              </w:rPr>
            </w:pPr>
            <w:r w:rsidRPr="00F904CC">
              <w:rPr>
                <w:bCs/>
                <w:i/>
                <w:iCs/>
                <w:sz w:val="16"/>
                <w:szCs w:val="18"/>
                <w:lang w:eastAsia="zh-CN"/>
              </w:rPr>
              <w:t>% implementation</w:t>
            </w:r>
            <w:r w:rsidRPr="00F904CC">
              <w:rPr>
                <w:bCs/>
                <w:i/>
                <w:iCs/>
                <w:sz w:val="16"/>
                <w:szCs w:val="18"/>
                <w:lang w:eastAsia="zh-CN"/>
              </w:rPr>
              <w:br/>
              <w:t>(b)/(a)</w:t>
            </w:r>
          </w:p>
        </w:tc>
      </w:tr>
      <w:tr w:rsidR="00F904CC" w:rsidRPr="00F904CC" w14:paraId="08F50F51" w14:textId="77777777" w:rsidTr="00F904CC">
        <w:tc>
          <w:tcPr>
            <w:tcW w:w="4749" w:type="dxa"/>
            <w:tcBorders>
              <w:top w:val="single" w:sz="12" w:space="0" w:color="000000"/>
              <w:bottom w:val="single" w:sz="4" w:space="0" w:color="000000"/>
            </w:tcBorders>
            <w:shd w:val="clear" w:color="auto" w:fill="auto"/>
            <w:noWrap/>
            <w:hideMark/>
          </w:tcPr>
          <w:p w14:paraId="28B122C6" w14:textId="77777777" w:rsidR="00F904CC" w:rsidRPr="00F904CC" w:rsidRDefault="00F904CC" w:rsidP="00F904CC">
            <w:pPr>
              <w:suppressAutoHyphens w:val="0"/>
              <w:spacing w:before="40" w:after="40" w:line="220" w:lineRule="exact"/>
              <w:rPr>
                <w:b/>
                <w:bCs/>
                <w:sz w:val="18"/>
                <w:szCs w:val="18"/>
                <w:lang w:eastAsia="zh-CN"/>
              </w:rPr>
            </w:pPr>
            <w:r w:rsidRPr="00F904CC">
              <w:rPr>
                <w:b/>
                <w:bCs/>
                <w:sz w:val="18"/>
                <w:szCs w:val="18"/>
                <w:lang w:eastAsia="zh-CN"/>
              </w:rPr>
              <w:t>A. Facilitation of the intergovernmental process and expert bodies</w:t>
            </w:r>
          </w:p>
        </w:tc>
        <w:tc>
          <w:tcPr>
            <w:tcW w:w="718" w:type="dxa"/>
            <w:tcBorders>
              <w:top w:val="single" w:sz="12" w:space="0" w:color="000000"/>
              <w:bottom w:val="single" w:sz="4" w:space="0" w:color="000000"/>
            </w:tcBorders>
            <w:shd w:val="clear" w:color="auto" w:fill="auto"/>
            <w:vAlign w:val="bottom"/>
            <w:hideMark/>
          </w:tcPr>
          <w:p w14:paraId="2E8FC10D" w14:textId="77777777" w:rsidR="00F904CC" w:rsidRPr="00F904CC" w:rsidRDefault="00F904CC" w:rsidP="00F904CC">
            <w:pPr>
              <w:suppressAutoHyphens w:val="0"/>
              <w:spacing w:before="40" w:after="40" w:line="220" w:lineRule="exact"/>
              <w:jc w:val="right"/>
              <w:rPr>
                <w:b/>
                <w:bCs/>
                <w:sz w:val="18"/>
                <w:szCs w:val="18"/>
                <w:lang w:eastAsia="zh-CN"/>
              </w:rPr>
            </w:pPr>
          </w:p>
        </w:tc>
        <w:tc>
          <w:tcPr>
            <w:tcW w:w="695" w:type="dxa"/>
            <w:tcBorders>
              <w:top w:val="single" w:sz="12" w:space="0" w:color="000000"/>
              <w:bottom w:val="single" w:sz="4" w:space="0" w:color="000000"/>
            </w:tcBorders>
            <w:shd w:val="clear" w:color="auto" w:fill="auto"/>
            <w:vAlign w:val="bottom"/>
            <w:hideMark/>
          </w:tcPr>
          <w:p w14:paraId="5BEDCF43" w14:textId="77777777" w:rsidR="00F904CC" w:rsidRPr="00F904CC" w:rsidRDefault="00F904CC" w:rsidP="00F904CC">
            <w:pPr>
              <w:suppressAutoHyphens w:val="0"/>
              <w:spacing w:before="40" w:after="40" w:line="220" w:lineRule="exact"/>
              <w:jc w:val="right"/>
              <w:rPr>
                <w:sz w:val="18"/>
                <w:lang w:eastAsia="zh-CN"/>
              </w:rPr>
            </w:pPr>
          </w:p>
        </w:tc>
        <w:tc>
          <w:tcPr>
            <w:tcW w:w="1208" w:type="dxa"/>
            <w:tcBorders>
              <w:top w:val="single" w:sz="12" w:space="0" w:color="000000"/>
              <w:bottom w:val="single" w:sz="4" w:space="0" w:color="000000"/>
            </w:tcBorders>
            <w:shd w:val="clear" w:color="auto" w:fill="auto"/>
            <w:vAlign w:val="bottom"/>
            <w:hideMark/>
          </w:tcPr>
          <w:p w14:paraId="4D351861" w14:textId="77777777" w:rsidR="00F904CC" w:rsidRPr="00F904CC" w:rsidRDefault="00F904CC" w:rsidP="00F904CC">
            <w:pPr>
              <w:suppressAutoHyphens w:val="0"/>
              <w:spacing w:before="40" w:after="40" w:line="220" w:lineRule="exact"/>
              <w:jc w:val="right"/>
              <w:rPr>
                <w:sz w:val="18"/>
                <w:lang w:eastAsia="zh-CN"/>
              </w:rPr>
            </w:pPr>
          </w:p>
        </w:tc>
      </w:tr>
      <w:tr w:rsidR="00F904CC" w:rsidRPr="00F904CC" w14:paraId="3D09AE36" w14:textId="77777777" w:rsidTr="00F904CC">
        <w:tc>
          <w:tcPr>
            <w:tcW w:w="4749" w:type="dxa"/>
            <w:tcBorders>
              <w:top w:val="single" w:sz="4" w:space="0" w:color="000000"/>
              <w:bottom w:val="single" w:sz="4" w:space="0" w:color="000000"/>
            </w:tcBorders>
            <w:shd w:val="clear" w:color="auto" w:fill="auto"/>
            <w:hideMark/>
          </w:tcPr>
          <w:p w14:paraId="3C59543E" w14:textId="77777777" w:rsidR="00F904CC" w:rsidRPr="00F904CC" w:rsidRDefault="00F904CC" w:rsidP="00F904CC">
            <w:pPr>
              <w:suppressAutoHyphens w:val="0"/>
              <w:spacing w:before="40" w:after="40" w:line="220" w:lineRule="exact"/>
              <w:rPr>
                <w:b/>
                <w:bCs/>
                <w:sz w:val="18"/>
                <w:szCs w:val="18"/>
                <w:lang w:eastAsia="zh-CN"/>
              </w:rPr>
            </w:pPr>
            <w:r w:rsidRPr="00F904CC">
              <w:rPr>
                <w:b/>
                <w:bCs/>
                <w:sz w:val="18"/>
                <w:szCs w:val="18"/>
                <w:lang w:eastAsia="zh-CN"/>
              </w:rPr>
              <w:t>Parliamentary documentation</w:t>
            </w:r>
            <w:r w:rsidRPr="00F904CC">
              <w:rPr>
                <w:sz w:val="18"/>
                <w:szCs w:val="18"/>
                <w:lang w:eastAsia="zh-CN"/>
              </w:rPr>
              <w:t xml:space="preserve"> (number of documents, per entity/theme)</w:t>
            </w:r>
          </w:p>
        </w:tc>
        <w:tc>
          <w:tcPr>
            <w:tcW w:w="718" w:type="dxa"/>
            <w:tcBorders>
              <w:top w:val="single" w:sz="4" w:space="0" w:color="000000"/>
              <w:bottom w:val="single" w:sz="4" w:space="0" w:color="000000"/>
            </w:tcBorders>
            <w:shd w:val="clear" w:color="auto" w:fill="auto"/>
            <w:vAlign w:val="bottom"/>
            <w:hideMark/>
          </w:tcPr>
          <w:p w14:paraId="4A01A2BE" w14:textId="77777777" w:rsidR="00F904CC" w:rsidRPr="00F904CC" w:rsidRDefault="00F904CC" w:rsidP="00F904CC">
            <w:pPr>
              <w:suppressAutoHyphens w:val="0"/>
              <w:spacing w:before="40" w:after="40" w:line="220" w:lineRule="exact"/>
              <w:jc w:val="right"/>
              <w:rPr>
                <w:b/>
                <w:bCs/>
                <w:sz w:val="18"/>
                <w:szCs w:val="18"/>
                <w:lang w:eastAsia="zh-CN"/>
              </w:rPr>
            </w:pPr>
            <w:r w:rsidRPr="00F904CC">
              <w:rPr>
                <w:b/>
                <w:bCs/>
                <w:sz w:val="18"/>
                <w:szCs w:val="18"/>
                <w:lang w:eastAsia="zh-CN"/>
              </w:rPr>
              <w:t>1264</w:t>
            </w:r>
          </w:p>
        </w:tc>
        <w:tc>
          <w:tcPr>
            <w:tcW w:w="695" w:type="dxa"/>
            <w:tcBorders>
              <w:top w:val="single" w:sz="4" w:space="0" w:color="000000"/>
              <w:bottom w:val="single" w:sz="4" w:space="0" w:color="000000"/>
            </w:tcBorders>
            <w:shd w:val="clear" w:color="auto" w:fill="auto"/>
            <w:vAlign w:val="bottom"/>
            <w:hideMark/>
          </w:tcPr>
          <w:p w14:paraId="3BCD3328" w14:textId="77777777" w:rsidR="00F904CC" w:rsidRPr="00F904CC" w:rsidRDefault="00F904CC" w:rsidP="00F904CC">
            <w:pPr>
              <w:suppressAutoHyphens w:val="0"/>
              <w:spacing w:before="40" w:after="40" w:line="220" w:lineRule="exact"/>
              <w:jc w:val="right"/>
              <w:rPr>
                <w:b/>
                <w:bCs/>
                <w:sz w:val="18"/>
                <w:szCs w:val="18"/>
                <w:lang w:eastAsia="zh-CN"/>
              </w:rPr>
            </w:pPr>
            <w:r w:rsidRPr="00F904CC">
              <w:rPr>
                <w:b/>
                <w:bCs/>
                <w:sz w:val="18"/>
                <w:szCs w:val="18"/>
                <w:lang w:eastAsia="zh-CN"/>
              </w:rPr>
              <w:t>1173</w:t>
            </w:r>
          </w:p>
        </w:tc>
        <w:tc>
          <w:tcPr>
            <w:tcW w:w="1208" w:type="dxa"/>
            <w:tcBorders>
              <w:top w:val="single" w:sz="4" w:space="0" w:color="000000"/>
              <w:bottom w:val="single" w:sz="4" w:space="0" w:color="000000"/>
            </w:tcBorders>
            <w:shd w:val="clear" w:color="auto" w:fill="auto"/>
            <w:vAlign w:val="bottom"/>
            <w:hideMark/>
          </w:tcPr>
          <w:p w14:paraId="4A306118" w14:textId="77777777" w:rsidR="00F904CC" w:rsidRPr="00F904CC" w:rsidRDefault="00F904CC" w:rsidP="00F904CC">
            <w:pPr>
              <w:suppressAutoHyphens w:val="0"/>
              <w:spacing w:before="40" w:after="40" w:line="220" w:lineRule="exact"/>
              <w:jc w:val="right"/>
              <w:rPr>
                <w:b/>
                <w:bCs/>
                <w:sz w:val="18"/>
                <w:szCs w:val="18"/>
                <w:lang w:eastAsia="zh-CN"/>
              </w:rPr>
            </w:pPr>
            <w:r w:rsidRPr="00F904CC">
              <w:rPr>
                <w:b/>
                <w:bCs/>
                <w:sz w:val="18"/>
                <w:szCs w:val="18"/>
                <w:lang w:eastAsia="zh-CN"/>
              </w:rPr>
              <w:t>93%</w:t>
            </w:r>
          </w:p>
        </w:tc>
      </w:tr>
      <w:tr w:rsidR="00F904CC" w:rsidRPr="000D79E4" w14:paraId="07478BD2" w14:textId="77777777" w:rsidTr="00F904CC">
        <w:tc>
          <w:tcPr>
            <w:tcW w:w="4749" w:type="dxa"/>
            <w:tcBorders>
              <w:top w:val="single" w:sz="4" w:space="0" w:color="000000"/>
              <w:bottom w:val="single" w:sz="4" w:space="0" w:color="000000"/>
            </w:tcBorders>
            <w:shd w:val="clear" w:color="auto" w:fill="auto"/>
            <w:hideMark/>
          </w:tcPr>
          <w:p w14:paraId="376D14F3" w14:textId="77777777" w:rsidR="00F904CC" w:rsidRPr="000D79E4" w:rsidRDefault="00F904CC" w:rsidP="000D79E4">
            <w:pPr>
              <w:suppressAutoHyphens w:val="0"/>
              <w:spacing w:before="40" w:after="40" w:line="220" w:lineRule="exact"/>
              <w:rPr>
                <w:b/>
                <w:bCs/>
                <w:sz w:val="18"/>
                <w:szCs w:val="18"/>
                <w:lang w:eastAsia="zh-CN"/>
              </w:rPr>
            </w:pPr>
            <w:r w:rsidRPr="000D79E4">
              <w:rPr>
                <w:b/>
                <w:bCs/>
                <w:sz w:val="18"/>
                <w:szCs w:val="18"/>
                <w:lang w:eastAsia="zh-CN"/>
              </w:rPr>
              <w:t>1.    The Inland Transport Committee</w:t>
            </w:r>
          </w:p>
        </w:tc>
        <w:tc>
          <w:tcPr>
            <w:tcW w:w="718" w:type="dxa"/>
            <w:tcBorders>
              <w:top w:val="single" w:sz="4" w:space="0" w:color="000000"/>
              <w:bottom w:val="single" w:sz="4" w:space="0" w:color="000000"/>
            </w:tcBorders>
            <w:shd w:val="clear" w:color="auto" w:fill="auto"/>
            <w:vAlign w:val="bottom"/>
            <w:hideMark/>
          </w:tcPr>
          <w:p w14:paraId="6EC9851E" w14:textId="77777777" w:rsidR="00F904CC" w:rsidRPr="000D79E4" w:rsidRDefault="00F904CC" w:rsidP="00F904CC">
            <w:pPr>
              <w:suppressAutoHyphens w:val="0"/>
              <w:spacing w:before="40" w:after="40" w:line="220" w:lineRule="exact"/>
              <w:jc w:val="right"/>
              <w:rPr>
                <w:b/>
                <w:bCs/>
                <w:sz w:val="18"/>
                <w:szCs w:val="18"/>
                <w:lang w:eastAsia="zh-CN"/>
              </w:rPr>
            </w:pPr>
            <w:r w:rsidRPr="000D79E4">
              <w:rPr>
                <w:b/>
                <w:bCs/>
                <w:sz w:val="18"/>
                <w:szCs w:val="18"/>
                <w:lang w:eastAsia="zh-CN"/>
              </w:rPr>
              <w:t>1071</w:t>
            </w:r>
          </w:p>
        </w:tc>
        <w:tc>
          <w:tcPr>
            <w:tcW w:w="695" w:type="dxa"/>
            <w:tcBorders>
              <w:top w:val="single" w:sz="4" w:space="0" w:color="000000"/>
              <w:bottom w:val="single" w:sz="4" w:space="0" w:color="000000"/>
            </w:tcBorders>
            <w:shd w:val="clear" w:color="auto" w:fill="auto"/>
            <w:vAlign w:val="bottom"/>
            <w:hideMark/>
          </w:tcPr>
          <w:p w14:paraId="4404BDBE" w14:textId="77777777" w:rsidR="00F904CC" w:rsidRPr="000D79E4" w:rsidRDefault="00F904CC" w:rsidP="00F904CC">
            <w:pPr>
              <w:suppressAutoHyphens w:val="0"/>
              <w:spacing w:before="40" w:after="40" w:line="220" w:lineRule="exact"/>
              <w:jc w:val="right"/>
              <w:rPr>
                <w:b/>
                <w:bCs/>
                <w:sz w:val="18"/>
                <w:szCs w:val="18"/>
                <w:lang w:eastAsia="zh-CN"/>
              </w:rPr>
            </w:pPr>
            <w:r w:rsidRPr="000D79E4">
              <w:rPr>
                <w:b/>
                <w:bCs/>
                <w:sz w:val="18"/>
                <w:szCs w:val="18"/>
                <w:lang w:eastAsia="zh-CN"/>
              </w:rPr>
              <w:t>1069</w:t>
            </w:r>
          </w:p>
        </w:tc>
        <w:tc>
          <w:tcPr>
            <w:tcW w:w="1208" w:type="dxa"/>
            <w:tcBorders>
              <w:top w:val="single" w:sz="4" w:space="0" w:color="000000"/>
              <w:bottom w:val="single" w:sz="4" w:space="0" w:color="000000"/>
            </w:tcBorders>
            <w:shd w:val="clear" w:color="auto" w:fill="auto"/>
            <w:vAlign w:val="bottom"/>
            <w:hideMark/>
          </w:tcPr>
          <w:p w14:paraId="04F006F5" w14:textId="77777777" w:rsidR="00F904CC" w:rsidRPr="00AC3F16" w:rsidRDefault="00F904CC" w:rsidP="00F904CC">
            <w:pPr>
              <w:suppressAutoHyphens w:val="0"/>
              <w:spacing w:before="40" w:after="40" w:line="220" w:lineRule="exact"/>
              <w:jc w:val="right"/>
              <w:rPr>
                <w:b/>
                <w:bCs/>
                <w:sz w:val="18"/>
                <w:szCs w:val="18"/>
                <w:lang w:eastAsia="zh-CN"/>
              </w:rPr>
            </w:pPr>
            <w:r w:rsidRPr="006B788D">
              <w:rPr>
                <w:b/>
                <w:bCs/>
                <w:sz w:val="18"/>
                <w:szCs w:val="18"/>
                <w:lang w:eastAsia="zh-CN"/>
              </w:rPr>
              <w:t>100%</w:t>
            </w:r>
          </w:p>
        </w:tc>
      </w:tr>
      <w:tr w:rsidR="00F904CC" w:rsidRPr="00F904CC" w14:paraId="41B647B0" w14:textId="77777777" w:rsidTr="00F904CC">
        <w:tc>
          <w:tcPr>
            <w:tcW w:w="4749" w:type="dxa"/>
            <w:tcBorders>
              <w:top w:val="single" w:sz="4" w:space="0" w:color="000000"/>
              <w:bottom w:val="single" w:sz="4" w:space="0" w:color="000000"/>
            </w:tcBorders>
            <w:shd w:val="clear" w:color="auto" w:fill="auto"/>
            <w:hideMark/>
          </w:tcPr>
          <w:p w14:paraId="5ECBAE36" w14:textId="303A1DA8" w:rsidR="00F904CC" w:rsidRPr="00F904CC" w:rsidRDefault="006B788D" w:rsidP="00F904CC">
            <w:pPr>
              <w:suppressAutoHyphens w:val="0"/>
              <w:spacing w:before="40" w:after="40" w:line="220" w:lineRule="exact"/>
              <w:rPr>
                <w:sz w:val="18"/>
                <w:szCs w:val="18"/>
                <w:lang w:eastAsia="zh-CN"/>
              </w:rPr>
            </w:pPr>
            <w:r>
              <w:rPr>
                <w:sz w:val="18"/>
                <w:szCs w:val="18"/>
                <w:lang w:eastAsia="zh-CN"/>
              </w:rPr>
              <w:t>a.</w:t>
            </w:r>
            <w:r w:rsidRPr="00F904CC">
              <w:rPr>
                <w:sz w:val="18"/>
                <w:szCs w:val="18"/>
                <w:lang w:eastAsia="zh-CN"/>
              </w:rPr>
              <w:t xml:space="preserve"> </w:t>
            </w:r>
            <w:r w:rsidR="00F904CC" w:rsidRPr="00F904CC">
              <w:rPr>
                <w:sz w:val="18"/>
                <w:szCs w:val="18"/>
                <w:lang w:eastAsia="zh-CN"/>
              </w:rPr>
              <w:t>Inland Transport Committee and Bureau</w:t>
            </w:r>
          </w:p>
        </w:tc>
        <w:tc>
          <w:tcPr>
            <w:tcW w:w="718" w:type="dxa"/>
            <w:tcBorders>
              <w:top w:val="single" w:sz="4" w:space="0" w:color="000000"/>
              <w:bottom w:val="single" w:sz="4" w:space="0" w:color="000000"/>
            </w:tcBorders>
            <w:shd w:val="clear" w:color="auto" w:fill="auto"/>
            <w:vAlign w:val="bottom"/>
            <w:hideMark/>
          </w:tcPr>
          <w:p w14:paraId="46E72CED" w14:textId="77777777" w:rsidR="00F904CC" w:rsidRPr="00F904CC" w:rsidRDefault="00F904CC" w:rsidP="00F904CC">
            <w:pPr>
              <w:suppressAutoHyphens w:val="0"/>
              <w:spacing w:before="40" w:after="40" w:line="220" w:lineRule="exact"/>
              <w:jc w:val="right"/>
              <w:rPr>
                <w:sz w:val="18"/>
                <w:szCs w:val="18"/>
                <w:lang w:eastAsia="zh-CN"/>
              </w:rPr>
            </w:pPr>
            <w:r w:rsidRPr="00F904CC">
              <w:rPr>
                <w:sz w:val="18"/>
                <w:szCs w:val="18"/>
                <w:lang w:eastAsia="zh-CN"/>
              </w:rPr>
              <w:t>31</w:t>
            </w:r>
          </w:p>
        </w:tc>
        <w:tc>
          <w:tcPr>
            <w:tcW w:w="695" w:type="dxa"/>
            <w:tcBorders>
              <w:top w:val="single" w:sz="4" w:space="0" w:color="000000"/>
              <w:bottom w:val="single" w:sz="4" w:space="0" w:color="000000"/>
            </w:tcBorders>
            <w:shd w:val="clear" w:color="auto" w:fill="auto"/>
            <w:vAlign w:val="bottom"/>
            <w:hideMark/>
          </w:tcPr>
          <w:p w14:paraId="2DB35BBD" w14:textId="77777777" w:rsidR="00F904CC" w:rsidRPr="00F904CC" w:rsidRDefault="00F904CC" w:rsidP="00F904CC">
            <w:pPr>
              <w:suppressAutoHyphens w:val="0"/>
              <w:spacing w:before="40" w:after="40" w:line="220" w:lineRule="exact"/>
              <w:jc w:val="right"/>
              <w:rPr>
                <w:sz w:val="18"/>
                <w:szCs w:val="18"/>
                <w:lang w:eastAsia="zh-CN"/>
              </w:rPr>
            </w:pPr>
            <w:r w:rsidRPr="00F904CC">
              <w:rPr>
                <w:sz w:val="18"/>
                <w:szCs w:val="18"/>
                <w:lang w:eastAsia="zh-CN"/>
              </w:rPr>
              <w:t>31</w:t>
            </w:r>
          </w:p>
        </w:tc>
        <w:tc>
          <w:tcPr>
            <w:tcW w:w="1208" w:type="dxa"/>
            <w:tcBorders>
              <w:top w:val="single" w:sz="4" w:space="0" w:color="000000"/>
              <w:bottom w:val="single" w:sz="4" w:space="0" w:color="000000"/>
            </w:tcBorders>
            <w:shd w:val="clear" w:color="auto" w:fill="auto"/>
            <w:vAlign w:val="bottom"/>
            <w:hideMark/>
          </w:tcPr>
          <w:p w14:paraId="54D31AC1" w14:textId="77777777" w:rsidR="00F904CC" w:rsidRPr="00F904CC" w:rsidRDefault="00F904CC" w:rsidP="00F904CC">
            <w:pPr>
              <w:suppressAutoHyphens w:val="0"/>
              <w:spacing w:before="40" w:after="40" w:line="220" w:lineRule="exact"/>
              <w:jc w:val="right"/>
              <w:rPr>
                <w:b/>
                <w:bCs/>
                <w:sz w:val="18"/>
                <w:szCs w:val="18"/>
                <w:lang w:eastAsia="zh-CN"/>
              </w:rPr>
            </w:pPr>
            <w:r w:rsidRPr="00F904CC">
              <w:rPr>
                <w:b/>
                <w:bCs/>
                <w:sz w:val="18"/>
                <w:szCs w:val="18"/>
                <w:lang w:eastAsia="zh-CN"/>
              </w:rPr>
              <w:t>100%</w:t>
            </w:r>
          </w:p>
        </w:tc>
      </w:tr>
      <w:tr w:rsidR="00F904CC" w:rsidRPr="00F904CC" w14:paraId="63E593FD" w14:textId="77777777" w:rsidTr="00F904CC">
        <w:tc>
          <w:tcPr>
            <w:tcW w:w="4749" w:type="dxa"/>
            <w:tcBorders>
              <w:top w:val="single" w:sz="4" w:space="0" w:color="000000"/>
              <w:bottom w:val="single" w:sz="4" w:space="0" w:color="000000"/>
            </w:tcBorders>
            <w:shd w:val="clear" w:color="auto" w:fill="auto"/>
            <w:hideMark/>
          </w:tcPr>
          <w:p w14:paraId="08E90228" w14:textId="77777777" w:rsidR="00F904CC" w:rsidRPr="00F904CC" w:rsidRDefault="00F904CC" w:rsidP="00F904CC">
            <w:pPr>
              <w:suppressAutoHyphens w:val="0"/>
              <w:spacing w:before="40" w:after="40" w:line="220" w:lineRule="exact"/>
              <w:rPr>
                <w:sz w:val="18"/>
                <w:szCs w:val="18"/>
                <w:lang w:eastAsia="zh-CN"/>
              </w:rPr>
            </w:pPr>
            <w:r w:rsidRPr="00F904CC">
              <w:rPr>
                <w:sz w:val="18"/>
                <w:szCs w:val="18"/>
                <w:lang w:eastAsia="zh-CN"/>
              </w:rPr>
              <w:t>b. World Forum for Harmonization of Vehicle Regulations</w:t>
            </w:r>
          </w:p>
        </w:tc>
        <w:tc>
          <w:tcPr>
            <w:tcW w:w="718" w:type="dxa"/>
            <w:tcBorders>
              <w:top w:val="single" w:sz="4" w:space="0" w:color="000000"/>
              <w:bottom w:val="single" w:sz="4" w:space="0" w:color="000000"/>
            </w:tcBorders>
            <w:shd w:val="clear" w:color="auto" w:fill="auto"/>
            <w:vAlign w:val="bottom"/>
            <w:hideMark/>
          </w:tcPr>
          <w:p w14:paraId="6E047C7D" w14:textId="77777777" w:rsidR="00F904CC" w:rsidRPr="00F904CC" w:rsidRDefault="00F904CC" w:rsidP="00F904CC">
            <w:pPr>
              <w:suppressAutoHyphens w:val="0"/>
              <w:spacing w:before="40" w:after="40" w:line="220" w:lineRule="exact"/>
              <w:jc w:val="right"/>
              <w:rPr>
                <w:sz w:val="18"/>
                <w:szCs w:val="18"/>
                <w:lang w:eastAsia="zh-CN"/>
              </w:rPr>
            </w:pPr>
            <w:r w:rsidRPr="00F904CC">
              <w:rPr>
                <w:sz w:val="18"/>
                <w:szCs w:val="18"/>
                <w:lang w:eastAsia="zh-CN"/>
              </w:rPr>
              <w:t>580</w:t>
            </w:r>
          </w:p>
        </w:tc>
        <w:tc>
          <w:tcPr>
            <w:tcW w:w="695" w:type="dxa"/>
            <w:tcBorders>
              <w:top w:val="single" w:sz="4" w:space="0" w:color="000000"/>
              <w:bottom w:val="single" w:sz="4" w:space="0" w:color="000000"/>
            </w:tcBorders>
            <w:shd w:val="clear" w:color="auto" w:fill="auto"/>
            <w:vAlign w:val="bottom"/>
            <w:hideMark/>
          </w:tcPr>
          <w:p w14:paraId="3D28BDF2" w14:textId="77777777" w:rsidR="00F904CC" w:rsidRPr="00F904CC" w:rsidRDefault="00F904CC" w:rsidP="00F904CC">
            <w:pPr>
              <w:suppressAutoHyphens w:val="0"/>
              <w:spacing w:before="40" w:after="40" w:line="220" w:lineRule="exact"/>
              <w:jc w:val="right"/>
              <w:rPr>
                <w:sz w:val="18"/>
                <w:szCs w:val="18"/>
                <w:lang w:eastAsia="zh-CN"/>
              </w:rPr>
            </w:pPr>
            <w:r w:rsidRPr="00F904CC">
              <w:rPr>
                <w:sz w:val="18"/>
                <w:szCs w:val="18"/>
                <w:lang w:eastAsia="zh-CN"/>
              </w:rPr>
              <w:t>566</w:t>
            </w:r>
          </w:p>
        </w:tc>
        <w:tc>
          <w:tcPr>
            <w:tcW w:w="1208" w:type="dxa"/>
            <w:tcBorders>
              <w:top w:val="single" w:sz="4" w:space="0" w:color="000000"/>
              <w:bottom w:val="single" w:sz="4" w:space="0" w:color="000000"/>
            </w:tcBorders>
            <w:shd w:val="clear" w:color="auto" w:fill="auto"/>
            <w:vAlign w:val="bottom"/>
            <w:hideMark/>
          </w:tcPr>
          <w:p w14:paraId="5F0BD48A" w14:textId="77777777" w:rsidR="00F904CC" w:rsidRPr="00F904CC" w:rsidRDefault="00F904CC" w:rsidP="00F904CC">
            <w:pPr>
              <w:suppressAutoHyphens w:val="0"/>
              <w:spacing w:before="40" w:after="40" w:line="220" w:lineRule="exact"/>
              <w:jc w:val="right"/>
              <w:rPr>
                <w:b/>
                <w:bCs/>
                <w:sz w:val="18"/>
                <w:szCs w:val="18"/>
                <w:lang w:eastAsia="zh-CN"/>
              </w:rPr>
            </w:pPr>
            <w:r w:rsidRPr="00F904CC">
              <w:rPr>
                <w:b/>
                <w:bCs/>
                <w:sz w:val="18"/>
                <w:szCs w:val="18"/>
                <w:lang w:eastAsia="zh-CN"/>
              </w:rPr>
              <w:t>98%</w:t>
            </w:r>
          </w:p>
        </w:tc>
      </w:tr>
      <w:tr w:rsidR="00F904CC" w:rsidRPr="00F904CC" w14:paraId="0AA55D84" w14:textId="77777777" w:rsidTr="00F904CC">
        <w:tc>
          <w:tcPr>
            <w:tcW w:w="4749" w:type="dxa"/>
            <w:tcBorders>
              <w:top w:val="single" w:sz="4" w:space="0" w:color="000000"/>
              <w:bottom w:val="single" w:sz="4" w:space="0" w:color="000000"/>
            </w:tcBorders>
            <w:shd w:val="clear" w:color="auto" w:fill="auto"/>
            <w:hideMark/>
          </w:tcPr>
          <w:p w14:paraId="796B334A" w14:textId="77777777" w:rsidR="00F904CC" w:rsidRPr="00F904CC" w:rsidRDefault="00F904CC" w:rsidP="00F904CC">
            <w:pPr>
              <w:suppressAutoHyphens w:val="0"/>
              <w:spacing w:before="40" w:after="40" w:line="220" w:lineRule="exact"/>
              <w:rPr>
                <w:sz w:val="18"/>
                <w:szCs w:val="18"/>
                <w:lang w:eastAsia="zh-CN"/>
              </w:rPr>
            </w:pPr>
            <w:r w:rsidRPr="00F904CC">
              <w:rPr>
                <w:sz w:val="18"/>
                <w:szCs w:val="18"/>
                <w:lang w:eastAsia="zh-CN"/>
              </w:rPr>
              <w:t>c. Working Party on the Transport of Perishable Foodstuffs</w:t>
            </w:r>
          </w:p>
        </w:tc>
        <w:tc>
          <w:tcPr>
            <w:tcW w:w="718" w:type="dxa"/>
            <w:tcBorders>
              <w:top w:val="single" w:sz="4" w:space="0" w:color="000000"/>
              <w:bottom w:val="single" w:sz="4" w:space="0" w:color="000000"/>
            </w:tcBorders>
            <w:shd w:val="clear" w:color="auto" w:fill="auto"/>
            <w:vAlign w:val="bottom"/>
            <w:hideMark/>
          </w:tcPr>
          <w:p w14:paraId="209B8AAE" w14:textId="77777777" w:rsidR="00F904CC" w:rsidRPr="00F904CC" w:rsidRDefault="00F904CC" w:rsidP="00F904CC">
            <w:pPr>
              <w:suppressAutoHyphens w:val="0"/>
              <w:spacing w:before="40" w:after="40" w:line="220" w:lineRule="exact"/>
              <w:jc w:val="right"/>
              <w:rPr>
                <w:sz w:val="18"/>
                <w:szCs w:val="18"/>
                <w:lang w:eastAsia="zh-CN"/>
              </w:rPr>
            </w:pPr>
            <w:r w:rsidRPr="00F904CC">
              <w:rPr>
                <w:sz w:val="18"/>
                <w:szCs w:val="18"/>
                <w:lang w:eastAsia="zh-CN"/>
              </w:rPr>
              <w:t>33</w:t>
            </w:r>
          </w:p>
        </w:tc>
        <w:tc>
          <w:tcPr>
            <w:tcW w:w="695" w:type="dxa"/>
            <w:tcBorders>
              <w:top w:val="single" w:sz="4" w:space="0" w:color="000000"/>
              <w:bottom w:val="single" w:sz="4" w:space="0" w:color="000000"/>
            </w:tcBorders>
            <w:shd w:val="clear" w:color="auto" w:fill="auto"/>
            <w:vAlign w:val="bottom"/>
            <w:hideMark/>
          </w:tcPr>
          <w:p w14:paraId="0A24052A" w14:textId="77777777" w:rsidR="00F904CC" w:rsidRPr="00F904CC" w:rsidRDefault="00F904CC" w:rsidP="00F904CC">
            <w:pPr>
              <w:suppressAutoHyphens w:val="0"/>
              <w:spacing w:before="40" w:after="40" w:line="220" w:lineRule="exact"/>
              <w:jc w:val="right"/>
              <w:rPr>
                <w:sz w:val="18"/>
                <w:szCs w:val="18"/>
                <w:lang w:eastAsia="zh-CN"/>
              </w:rPr>
            </w:pPr>
            <w:r w:rsidRPr="00F904CC">
              <w:rPr>
                <w:sz w:val="18"/>
                <w:szCs w:val="18"/>
                <w:lang w:eastAsia="zh-CN"/>
              </w:rPr>
              <w:t>30</w:t>
            </w:r>
          </w:p>
        </w:tc>
        <w:tc>
          <w:tcPr>
            <w:tcW w:w="1208" w:type="dxa"/>
            <w:tcBorders>
              <w:top w:val="single" w:sz="4" w:space="0" w:color="000000"/>
              <w:bottom w:val="single" w:sz="4" w:space="0" w:color="000000"/>
            </w:tcBorders>
            <w:shd w:val="clear" w:color="auto" w:fill="auto"/>
            <w:vAlign w:val="bottom"/>
            <w:hideMark/>
          </w:tcPr>
          <w:p w14:paraId="22E6C878" w14:textId="77777777" w:rsidR="00F904CC" w:rsidRPr="00F904CC" w:rsidRDefault="00F904CC" w:rsidP="00F904CC">
            <w:pPr>
              <w:suppressAutoHyphens w:val="0"/>
              <w:spacing w:before="40" w:after="40" w:line="220" w:lineRule="exact"/>
              <w:jc w:val="right"/>
              <w:rPr>
                <w:b/>
                <w:bCs/>
                <w:sz w:val="18"/>
                <w:szCs w:val="18"/>
                <w:lang w:eastAsia="zh-CN"/>
              </w:rPr>
            </w:pPr>
            <w:r w:rsidRPr="00F904CC">
              <w:rPr>
                <w:b/>
                <w:bCs/>
                <w:sz w:val="18"/>
                <w:szCs w:val="18"/>
                <w:lang w:eastAsia="zh-CN"/>
              </w:rPr>
              <w:t>91%</w:t>
            </w:r>
          </w:p>
        </w:tc>
      </w:tr>
      <w:tr w:rsidR="00F904CC" w:rsidRPr="00F904CC" w14:paraId="36F542B3" w14:textId="77777777" w:rsidTr="00F904CC">
        <w:tc>
          <w:tcPr>
            <w:tcW w:w="4749" w:type="dxa"/>
            <w:tcBorders>
              <w:top w:val="single" w:sz="4" w:space="0" w:color="000000"/>
              <w:bottom w:val="single" w:sz="4" w:space="0" w:color="000000"/>
            </w:tcBorders>
            <w:shd w:val="clear" w:color="auto" w:fill="auto"/>
            <w:hideMark/>
          </w:tcPr>
          <w:p w14:paraId="05015418" w14:textId="77777777" w:rsidR="00F904CC" w:rsidRPr="00F904CC" w:rsidRDefault="00F904CC" w:rsidP="00F904CC">
            <w:pPr>
              <w:suppressAutoHyphens w:val="0"/>
              <w:spacing w:before="40" w:after="40" w:line="220" w:lineRule="exact"/>
              <w:rPr>
                <w:sz w:val="18"/>
                <w:szCs w:val="18"/>
                <w:lang w:eastAsia="zh-CN"/>
              </w:rPr>
            </w:pPr>
            <w:r w:rsidRPr="00F904CC">
              <w:rPr>
                <w:sz w:val="18"/>
                <w:szCs w:val="18"/>
                <w:lang w:eastAsia="zh-CN"/>
              </w:rPr>
              <w:t>d. Working Party on the Transport of Dangerous Goods</w:t>
            </w:r>
          </w:p>
        </w:tc>
        <w:tc>
          <w:tcPr>
            <w:tcW w:w="718" w:type="dxa"/>
            <w:tcBorders>
              <w:top w:val="single" w:sz="4" w:space="0" w:color="000000"/>
              <w:bottom w:val="single" w:sz="4" w:space="0" w:color="000000"/>
            </w:tcBorders>
            <w:shd w:val="clear" w:color="auto" w:fill="auto"/>
            <w:vAlign w:val="bottom"/>
            <w:hideMark/>
          </w:tcPr>
          <w:p w14:paraId="1F03C69B" w14:textId="77777777" w:rsidR="00F904CC" w:rsidRPr="00F904CC" w:rsidRDefault="00F904CC" w:rsidP="00F904CC">
            <w:pPr>
              <w:suppressAutoHyphens w:val="0"/>
              <w:spacing w:before="40" w:after="40" w:line="220" w:lineRule="exact"/>
              <w:jc w:val="right"/>
              <w:rPr>
                <w:sz w:val="18"/>
                <w:szCs w:val="18"/>
                <w:lang w:eastAsia="zh-CN"/>
              </w:rPr>
            </w:pPr>
            <w:r w:rsidRPr="00F904CC">
              <w:rPr>
                <w:sz w:val="18"/>
                <w:szCs w:val="18"/>
                <w:lang w:eastAsia="zh-CN"/>
              </w:rPr>
              <w:t>214</w:t>
            </w:r>
          </w:p>
        </w:tc>
        <w:tc>
          <w:tcPr>
            <w:tcW w:w="695" w:type="dxa"/>
            <w:tcBorders>
              <w:top w:val="single" w:sz="4" w:space="0" w:color="000000"/>
              <w:bottom w:val="single" w:sz="4" w:space="0" w:color="000000"/>
            </w:tcBorders>
            <w:shd w:val="clear" w:color="auto" w:fill="auto"/>
            <w:vAlign w:val="bottom"/>
            <w:hideMark/>
          </w:tcPr>
          <w:p w14:paraId="6EE6F063" w14:textId="77777777" w:rsidR="00F904CC" w:rsidRPr="00F904CC" w:rsidRDefault="00F904CC" w:rsidP="00F904CC">
            <w:pPr>
              <w:suppressAutoHyphens w:val="0"/>
              <w:spacing w:before="40" w:after="40" w:line="220" w:lineRule="exact"/>
              <w:jc w:val="right"/>
              <w:rPr>
                <w:sz w:val="18"/>
                <w:szCs w:val="18"/>
                <w:lang w:eastAsia="zh-CN"/>
              </w:rPr>
            </w:pPr>
            <w:r w:rsidRPr="00F904CC">
              <w:rPr>
                <w:sz w:val="18"/>
                <w:szCs w:val="18"/>
                <w:lang w:eastAsia="zh-CN"/>
              </w:rPr>
              <w:t>179</w:t>
            </w:r>
          </w:p>
        </w:tc>
        <w:tc>
          <w:tcPr>
            <w:tcW w:w="1208" w:type="dxa"/>
            <w:tcBorders>
              <w:top w:val="single" w:sz="4" w:space="0" w:color="000000"/>
              <w:bottom w:val="single" w:sz="4" w:space="0" w:color="000000"/>
            </w:tcBorders>
            <w:shd w:val="clear" w:color="auto" w:fill="auto"/>
            <w:vAlign w:val="bottom"/>
            <w:hideMark/>
          </w:tcPr>
          <w:p w14:paraId="2CA0FC21" w14:textId="77777777" w:rsidR="00F904CC" w:rsidRPr="00F904CC" w:rsidRDefault="00F904CC" w:rsidP="00F904CC">
            <w:pPr>
              <w:suppressAutoHyphens w:val="0"/>
              <w:spacing w:before="40" w:after="40" w:line="220" w:lineRule="exact"/>
              <w:jc w:val="right"/>
              <w:rPr>
                <w:b/>
                <w:bCs/>
                <w:sz w:val="18"/>
                <w:szCs w:val="18"/>
                <w:lang w:eastAsia="zh-CN"/>
              </w:rPr>
            </w:pPr>
            <w:r w:rsidRPr="00F904CC">
              <w:rPr>
                <w:b/>
                <w:bCs/>
                <w:sz w:val="18"/>
                <w:szCs w:val="18"/>
                <w:lang w:eastAsia="zh-CN"/>
              </w:rPr>
              <w:t>84%</w:t>
            </w:r>
          </w:p>
        </w:tc>
      </w:tr>
      <w:tr w:rsidR="00F904CC" w:rsidRPr="00F904CC" w14:paraId="1EB6AA8C" w14:textId="77777777" w:rsidTr="00F904CC">
        <w:tc>
          <w:tcPr>
            <w:tcW w:w="4749" w:type="dxa"/>
            <w:tcBorders>
              <w:top w:val="single" w:sz="4" w:space="0" w:color="000000"/>
              <w:bottom w:val="single" w:sz="4" w:space="0" w:color="000000"/>
            </w:tcBorders>
            <w:shd w:val="clear" w:color="auto" w:fill="auto"/>
            <w:hideMark/>
          </w:tcPr>
          <w:p w14:paraId="7A0C9627" w14:textId="77777777" w:rsidR="00F904CC" w:rsidRPr="00F904CC" w:rsidRDefault="00F904CC" w:rsidP="00F904CC">
            <w:pPr>
              <w:suppressAutoHyphens w:val="0"/>
              <w:spacing w:before="40" w:after="40" w:line="220" w:lineRule="exact"/>
              <w:rPr>
                <w:sz w:val="18"/>
                <w:szCs w:val="18"/>
                <w:lang w:eastAsia="zh-CN"/>
              </w:rPr>
            </w:pPr>
            <w:r w:rsidRPr="00F904CC">
              <w:rPr>
                <w:sz w:val="18"/>
                <w:szCs w:val="18"/>
                <w:lang w:eastAsia="zh-CN"/>
              </w:rPr>
              <w:t>e. Working Party on Transport Trends and Economics and subsidiary groups of experts</w:t>
            </w:r>
          </w:p>
        </w:tc>
        <w:tc>
          <w:tcPr>
            <w:tcW w:w="718" w:type="dxa"/>
            <w:tcBorders>
              <w:top w:val="single" w:sz="4" w:space="0" w:color="000000"/>
              <w:bottom w:val="single" w:sz="4" w:space="0" w:color="000000"/>
            </w:tcBorders>
            <w:shd w:val="clear" w:color="auto" w:fill="auto"/>
            <w:vAlign w:val="bottom"/>
            <w:hideMark/>
          </w:tcPr>
          <w:p w14:paraId="4FE96129" w14:textId="77777777" w:rsidR="00F904CC" w:rsidRPr="00F904CC" w:rsidRDefault="00F904CC" w:rsidP="00F904CC">
            <w:pPr>
              <w:suppressAutoHyphens w:val="0"/>
              <w:spacing w:before="40" w:after="40" w:line="220" w:lineRule="exact"/>
              <w:jc w:val="right"/>
              <w:rPr>
                <w:sz w:val="18"/>
                <w:szCs w:val="18"/>
                <w:lang w:eastAsia="zh-CN"/>
              </w:rPr>
            </w:pPr>
            <w:r w:rsidRPr="00F904CC">
              <w:rPr>
                <w:sz w:val="18"/>
                <w:szCs w:val="18"/>
                <w:lang w:eastAsia="zh-CN"/>
              </w:rPr>
              <w:t>20</w:t>
            </w:r>
          </w:p>
        </w:tc>
        <w:tc>
          <w:tcPr>
            <w:tcW w:w="695" w:type="dxa"/>
            <w:tcBorders>
              <w:top w:val="single" w:sz="4" w:space="0" w:color="000000"/>
              <w:bottom w:val="single" w:sz="4" w:space="0" w:color="000000"/>
            </w:tcBorders>
            <w:shd w:val="clear" w:color="auto" w:fill="auto"/>
            <w:vAlign w:val="bottom"/>
            <w:hideMark/>
          </w:tcPr>
          <w:p w14:paraId="474139A3" w14:textId="77777777" w:rsidR="00F904CC" w:rsidRPr="00F904CC" w:rsidRDefault="00F904CC" w:rsidP="00F904CC">
            <w:pPr>
              <w:suppressAutoHyphens w:val="0"/>
              <w:spacing w:before="40" w:after="40" w:line="220" w:lineRule="exact"/>
              <w:jc w:val="right"/>
              <w:rPr>
                <w:sz w:val="18"/>
                <w:szCs w:val="18"/>
                <w:lang w:eastAsia="zh-CN"/>
              </w:rPr>
            </w:pPr>
            <w:r w:rsidRPr="00F904CC">
              <w:rPr>
                <w:sz w:val="18"/>
                <w:szCs w:val="18"/>
                <w:lang w:eastAsia="zh-CN"/>
              </w:rPr>
              <w:t>25</w:t>
            </w:r>
          </w:p>
        </w:tc>
        <w:tc>
          <w:tcPr>
            <w:tcW w:w="1208" w:type="dxa"/>
            <w:tcBorders>
              <w:top w:val="single" w:sz="4" w:space="0" w:color="000000"/>
              <w:bottom w:val="single" w:sz="4" w:space="0" w:color="000000"/>
            </w:tcBorders>
            <w:shd w:val="clear" w:color="auto" w:fill="auto"/>
            <w:vAlign w:val="bottom"/>
            <w:hideMark/>
          </w:tcPr>
          <w:p w14:paraId="2C4CF097" w14:textId="77777777" w:rsidR="00F904CC" w:rsidRPr="00F904CC" w:rsidRDefault="00F904CC" w:rsidP="00F904CC">
            <w:pPr>
              <w:suppressAutoHyphens w:val="0"/>
              <w:spacing w:before="40" w:after="40" w:line="220" w:lineRule="exact"/>
              <w:jc w:val="right"/>
              <w:rPr>
                <w:b/>
                <w:bCs/>
                <w:sz w:val="18"/>
                <w:szCs w:val="18"/>
                <w:lang w:eastAsia="zh-CN"/>
              </w:rPr>
            </w:pPr>
            <w:r w:rsidRPr="00F904CC">
              <w:rPr>
                <w:b/>
                <w:bCs/>
                <w:sz w:val="18"/>
                <w:szCs w:val="18"/>
                <w:lang w:eastAsia="zh-CN"/>
              </w:rPr>
              <w:t>125%</w:t>
            </w:r>
          </w:p>
        </w:tc>
      </w:tr>
      <w:tr w:rsidR="00F904CC" w:rsidRPr="00F904CC" w14:paraId="18022DFC" w14:textId="77777777" w:rsidTr="00F904CC">
        <w:tc>
          <w:tcPr>
            <w:tcW w:w="4749" w:type="dxa"/>
            <w:tcBorders>
              <w:top w:val="single" w:sz="4" w:space="0" w:color="000000"/>
              <w:bottom w:val="single" w:sz="4" w:space="0" w:color="000000"/>
            </w:tcBorders>
            <w:shd w:val="clear" w:color="auto" w:fill="auto"/>
            <w:hideMark/>
          </w:tcPr>
          <w:p w14:paraId="60B98098" w14:textId="77777777" w:rsidR="00F904CC" w:rsidRPr="00F904CC" w:rsidRDefault="00F904CC" w:rsidP="00F904CC">
            <w:pPr>
              <w:suppressAutoHyphens w:val="0"/>
              <w:spacing w:before="40" w:after="40" w:line="220" w:lineRule="exact"/>
              <w:rPr>
                <w:sz w:val="18"/>
                <w:szCs w:val="18"/>
                <w:lang w:eastAsia="zh-CN"/>
              </w:rPr>
            </w:pPr>
            <w:r w:rsidRPr="00F904CC">
              <w:rPr>
                <w:sz w:val="18"/>
                <w:szCs w:val="18"/>
                <w:lang w:eastAsia="zh-CN"/>
              </w:rPr>
              <w:t>f. Working Party on Transport Statistics</w:t>
            </w:r>
          </w:p>
        </w:tc>
        <w:tc>
          <w:tcPr>
            <w:tcW w:w="718" w:type="dxa"/>
            <w:tcBorders>
              <w:top w:val="single" w:sz="4" w:space="0" w:color="000000"/>
              <w:bottom w:val="single" w:sz="4" w:space="0" w:color="000000"/>
            </w:tcBorders>
            <w:shd w:val="clear" w:color="auto" w:fill="auto"/>
            <w:vAlign w:val="bottom"/>
            <w:hideMark/>
          </w:tcPr>
          <w:p w14:paraId="478728DA" w14:textId="77777777" w:rsidR="00F904CC" w:rsidRPr="00F904CC" w:rsidRDefault="00F904CC" w:rsidP="00F904CC">
            <w:pPr>
              <w:suppressAutoHyphens w:val="0"/>
              <w:spacing w:before="40" w:after="40" w:line="220" w:lineRule="exact"/>
              <w:jc w:val="right"/>
              <w:rPr>
                <w:sz w:val="18"/>
                <w:szCs w:val="18"/>
                <w:lang w:eastAsia="zh-CN"/>
              </w:rPr>
            </w:pPr>
            <w:r w:rsidRPr="00F904CC">
              <w:rPr>
                <w:sz w:val="18"/>
                <w:szCs w:val="18"/>
                <w:lang w:eastAsia="zh-CN"/>
              </w:rPr>
              <w:t>14</w:t>
            </w:r>
          </w:p>
        </w:tc>
        <w:tc>
          <w:tcPr>
            <w:tcW w:w="695" w:type="dxa"/>
            <w:tcBorders>
              <w:top w:val="single" w:sz="4" w:space="0" w:color="000000"/>
              <w:bottom w:val="single" w:sz="4" w:space="0" w:color="000000"/>
            </w:tcBorders>
            <w:shd w:val="clear" w:color="auto" w:fill="auto"/>
            <w:vAlign w:val="bottom"/>
            <w:hideMark/>
          </w:tcPr>
          <w:p w14:paraId="273700AC" w14:textId="77777777" w:rsidR="00F904CC" w:rsidRPr="00F904CC" w:rsidRDefault="00F904CC" w:rsidP="00F904CC">
            <w:pPr>
              <w:suppressAutoHyphens w:val="0"/>
              <w:spacing w:before="40" w:after="40" w:line="220" w:lineRule="exact"/>
              <w:jc w:val="right"/>
              <w:rPr>
                <w:sz w:val="18"/>
                <w:szCs w:val="18"/>
                <w:lang w:eastAsia="zh-CN"/>
              </w:rPr>
            </w:pPr>
            <w:r w:rsidRPr="00F904CC">
              <w:rPr>
                <w:sz w:val="18"/>
                <w:szCs w:val="18"/>
                <w:lang w:eastAsia="zh-CN"/>
              </w:rPr>
              <w:t>14</w:t>
            </w:r>
          </w:p>
        </w:tc>
        <w:tc>
          <w:tcPr>
            <w:tcW w:w="1208" w:type="dxa"/>
            <w:tcBorders>
              <w:top w:val="single" w:sz="4" w:space="0" w:color="000000"/>
              <w:bottom w:val="single" w:sz="4" w:space="0" w:color="000000"/>
            </w:tcBorders>
            <w:shd w:val="clear" w:color="auto" w:fill="auto"/>
            <w:vAlign w:val="bottom"/>
            <w:hideMark/>
          </w:tcPr>
          <w:p w14:paraId="04219949" w14:textId="77777777" w:rsidR="00F904CC" w:rsidRPr="00F904CC" w:rsidRDefault="00F904CC" w:rsidP="00F904CC">
            <w:pPr>
              <w:suppressAutoHyphens w:val="0"/>
              <w:spacing w:before="40" w:after="40" w:line="220" w:lineRule="exact"/>
              <w:jc w:val="right"/>
              <w:rPr>
                <w:b/>
                <w:bCs/>
                <w:sz w:val="18"/>
                <w:szCs w:val="18"/>
                <w:lang w:eastAsia="zh-CN"/>
              </w:rPr>
            </w:pPr>
            <w:r w:rsidRPr="00F904CC">
              <w:rPr>
                <w:b/>
                <w:bCs/>
                <w:sz w:val="18"/>
                <w:szCs w:val="18"/>
                <w:lang w:eastAsia="zh-CN"/>
              </w:rPr>
              <w:t>100%</w:t>
            </w:r>
          </w:p>
        </w:tc>
      </w:tr>
      <w:tr w:rsidR="00F904CC" w:rsidRPr="00F904CC" w14:paraId="22DFA8D6" w14:textId="77777777" w:rsidTr="00F904CC">
        <w:tc>
          <w:tcPr>
            <w:tcW w:w="4749" w:type="dxa"/>
            <w:tcBorders>
              <w:top w:val="single" w:sz="4" w:space="0" w:color="000000"/>
              <w:bottom w:val="single" w:sz="4" w:space="0" w:color="000000"/>
            </w:tcBorders>
            <w:shd w:val="clear" w:color="auto" w:fill="auto"/>
            <w:hideMark/>
          </w:tcPr>
          <w:p w14:paraId="26AAD352" w14:textId="77777777" w:rsidR="00F904CC" w:rsidRPr="00F904CC" w:rsidRDefault="00F904CC" w:rsidP="00F904CC">
            <w:pPr>
              <w:suppressAutoHyphens w:val="0"/>
              <w:spacing w:before="40" w:after="40" w:line="220" w:lineRule="exact"/>
              <w:rPr>
                <w:sz w:val="18"/>
                <w:szCs w:val="18"/>
                <w:lang w:eastAsia="zh-CN"/>
              </w:rPr>
            </w:pPr>
            <w:r w:rsidRPr="00F904CC">
              <w:rPr>
                <w:sz w:val="18"/>
                <w:szCs w:val="18"/>
                <w:lang w:eastAsia="zh-CN"/>
              </w:rPr>
              <w:t>g. Working Party on Road Transport and subsidiary groups of experts</w:t>
            </w:r>
          </w:p>
        </w:tc>
        <w:tc>
          <w:tcPr>
            <w:tcW w:w="718" w:type="dxa"/>
            <w:tcBorders>
              <w:top w:val="single" w:sz="4" w:space="0" w:color="000000"/>
              <w:bottom w:val="single" w:sz="4" w:space="0" w:color="000000"/>
            </w:tcBorders>
            <w:shd w:val="clear" w:color="auto" w:fill="auto"/>
            <w:vAlign w:val="bottom"/>
            <w:hideMark/>
          </w:tcPr>
          <w:p w14:paraId="0279C22A" w14:textId="77777777" w:rsidR="00F904CC" w:rsidRPr="00F904CC" w:rsidRDefault="00F904CC" w:rsidP="00F904CC">
            <w:pPr>
              <w:suppressAutoHyphens w:val="0"/>
              <w:spacing w:before="40" w:after="40" w:line="220" w:lineRule="exact"/>
              <w:jc w:val="right"/>
              <w:rPr>
                <w:sz w:val="18"/>
                <w:szCs w:val="18"/>
                <w:lang w:eastAsia="zh-CN"/>
              </w:rPr>
            </w:pPr>
            <w:r w:rsidRPr="00F904CC">
              <w:rPr>
                <w:sz w:val="18"/>
                <w:szCs w:val="18"/>
                <w:lang w:eastAsia="zh-CN"/>
              </w:rPr>
              <w:t>10</w:t>
            </w:r>
          </w:p>
        </w:tc>
        <w:tc>
          <w:tcPr>
            <w:tcW w:w="695" w:type="dxa"/>
            <w:tcBorders>
              <w:top w:val="single" w:sz="4" w:space="0" w:color="000000"/>
              <w:bottom w:val="single" w:sz="4" w:space="0" w:color="000000"/>
            </w:tcBorders>
            <w:shd w:val="clear" w:color="auto" w:fill="auto"/>
            <w:vAlign w:val="bottom"/>
            <w:hideMark/>
          </w:tcPr>
          <w:p w14:paraId="141A82C7" w14:textId="77777777" w:rsidR="00F904CC" w:rsidRPr="00F904CC" w:rsidRDefault="00F904CC" w:rsidP="00F904CC">
            <w:pPr>
              <w:suppressAutoHyphens w:val="0"/>
              <w:spacing w:before="40" w:after="40" w:line="220" w:lineRule="exact"/>
              <w:jc w:val="right"/>
              <w:rPr>
                <w:sz w:val="18"/>
                <w:szCs w:val="18"/>
                <w:lang w:eastAsia="zh-CN"/>
              </w:rPr>
            </w:pPr>
            <w:r w:rsidRPr="00F904CC">
              <w:rPr>
                <w:sz w:val="18"/>
                <w:szCs w:val="18"/>
                <w:lang w:eastAsia="zh-CN"/>
              </w:rPr>
              <w:t>16</w:t>
            </w:r>
          </w:p>
        </w:tc>
        <w:tc>
          <w:tcPr>
            <w:tcW w:w="1208" w:type="dxa"/>
            <w:tcBorders>
              <w:top w:val="single" w:sz="4" w:space="0" w:color="000000"/>
              <w:bottom w:val="single" w:sz="4" w:space="0" w:color="000000"/>
            </w:tcBorders>
            <w:shd w:val="clear" w:color="auto" w:fill="auto"/>
            <w:vAlign w:val="bottom"/>
            <w:hideMark/>
          </w:tcPr>
          <w:p w14:paraId="5817C4A4" w14:textId="77777777" w:rsidR="00F904CC" w:rsidRPr="00F904CC" w:rsidRDefault="00F904CC" w:rsidP="00F904CC">
            <w:pPr>
              <w:suppressAutoHyphens w:val="0"/>
              <w:spacing w:before="40" w:after="40" w:line="220" w:lineRule="exact"/>
              <w:jc w:val="right"/>
              <w:rPr>
                <w:b/>
                <w:bCs/>
                <w:sz w:val="18"/>
                <w:szCs w:val="18"/>
                <w:lang w:eastAsia="zh-CN"/>
              </w:rPr>
            </w:pPr>
            <w:r w:rsidRPr="00F904CC">
              <w:rPr>
                <w:b/>
                <w:bCs/>
                <w:sz w:val="18"/>
                <w:szCs w:val="18"/>
                <w:lang w:eastAsia="zh-CN"/>
              </w:rPr>
              <w:t>160%</w:t>
            </w:r>
          </w:p>
        </w:tc>
      </w:tr>
      <w:tr w:rsidR="00F904CC" w:rsidRPr="00F904CC" w14:paraId="4237B8AC" w14:textId="77777777" w:rsidTr="00F904CC">
        <w:tc>
          <w:tcPr>
            <w:tcW w:w="4749" w:type="dxa"/>
            <w:tcBorders>
              <w:top w:val="single" w:sz="4" w:space="0" w:color="000000"/>
              <w:bottom w:val="single" w:sz="4" w:space="0" w:color="000000"/>
            </w:tcBorders>
            <w:shd w:val="clear" w:color="auto" w:fill="auto"/>
            <w:hideMark/>
          </w:tcPr>
          <w:p w14:paraId="795CEABD" w14:textId="77777777" w:rsidR="00F904CC" w:rsidRPr="00F904CC" w:rsidRDefault="00F904CC" w:rsidP="00F904CC">
            <w:pPr>
              <w:suppressAutoHyphens w:val="0"/>
              <w:spacing w:before="40" w:after="40" w:line="220" w:lineRule="exact"/>
              <w:rPr>
                <w:sz w:val="18"/>
                <w:szCs w:val="18"/>
                <w:lang w:eastAsia="zh-CN"/>
              </w:rPr>
            </w:pPr>
            <w:r w:rsidRPr="00F904CC">
              <w:rPr>
                <w:sz w:val="18"/>
                <w:szCs w:val="18"/>
                <w:lang w:eastAsia="zh-CN"/>
              </w:rPr>
              <w:t>h. Global Forum for Road Traffic Safety and subsidiary groups of experts</w:t>
            </w:r>
          </w:p>
        </w:tc>
        <w:tc>
          <w:tcPr>
            <w:tcW w:w="718" w:type="dxa"/>
            <w:tcBorders>
              <w:top w:val="single" w:sz="4" w:space="0" w:color="000000"/>
              <w:bottom w:val="single" w:sz="4" w:space="0" w:color="000000"/>
            </w:tcBorders>
            <w:shd w:val="clear" w:color="auto" w:fill="auto"/>
            <w:vAlign w:val="bottom"/>
            <w:hideMark/>
          </w:tcPr>
          <w:p w14:paraId="7CA63C0F" w14:textId="77777777" w:rsidR="00F904CC" w:rsidRPr="00F904CC" w:rsidRDefault="00F904CC" w:rsidP="00F904CC">
            <w:pPr>
              <w:suppressAutoHyphens w:val="0"/>
              <w:spacing w:before="40" w:after="40" w:line="220" w:lineRule="exact"/>
              <w:jc w:val="right"/>
              <w:rPr>
                <w:sz w:val="18"/>
                <w:szCs w:val="18"/>
                <w:lang w:eastAsia="zh-CN"/>
              </w:rPr>
            </w:pPr>
            <w:r w:rsidRPr="00F904CC">
              <w:rPr>
                <w:sz w:val="18"/>
                <w:szCs w:val="18"/>
                <w:lang w:eastAsia="zh-CN"/>
              </w:rPr>
              <w:t>16</w:t>
            </w:r>
          </w:p>
        </w:tc>
        <w:tc>
          <w:tcPr>
            <w:tcW w:w="695" w:type="dxa"/>
            <w:tcBorders>
              <w:top w:val="single" w:sz="4" w:space="0" w:color="000000"/>
              <w:bottom w:val="single" w:sz="4" w:space="0" w:color="000000"/>
            </w:tcBorders>
            <w:shd w:val="clear" w:color="auto" w:fill="auto"/>
            <w:vAlign w:val="bottom"/>
            <w:hideMark/>
          </w:tcPr>
          <w:p w14:paraId="105AFEC4" w14:textId="77777777" w:rsidR="00F904CC" w:rsidRPr="00F904CC" w:rsidRDefault="00F904CC" w:rsidP="00F904CC">
            <w:pPr>
              <w:suppressAutoHyphens w:val="0"/>
              <w:spacing w:before="40" w:after="40" w:line="220" w:lineRule="exact"/>
              <w:jc w:val="right"/>
              <w:rPr>
                <w:sz w:val="18"/>
                <w:szCs w:val="18"/>
                <w:lang w:eastAsia="zh-CN"/>
              </w:rPr>
            </w:pPr>
            <w:r w:rsidRPr="00F904CC">
              <w:rPr>
                <w:sz w:val="18"/>
                <w:szCs w:val="18"/>
                <w:lang w:eastAsia="zh-CN"/>
              </w:rPr>
              <w:t>12</w:t>
            </w:r>
          </w:p>
        </w:tc>
        <w:tc>
          <w:tcPr>
            <w:tcW w:w="1208" w:type="dxa"/>
            <w:tcBorders>
              <w:top w:val="single" w:sz="4" w:space="0" w:color="000000"/>
              <w:bottom w:val="single" w:sz="4" w:space="0" w:color="000000"/>
            </w:tcBorders>
            <w:shd w:val="clear" w:color="auto" w:fill="auto"/>
            <w:vAlign w:val="bottom"/>
            <w:hideMark/>
          </w:tcPr>
          <w:p w14:paraId="0DEC6DAA" w14:textId="77777777" w:rsidR="00F904CC" w:rsidRPr="00F904CC" w:rsidRDefault="00F904CC" w:rsidP="00F904CC">
            <w:pPr>
              <w:suppressAutoHyphens w:val="0"/>
              <w:spacing w:before="40" w:after="40" w:line="220" w:lineRule="exact"/>
              <w:jc w:val="right"/>
              <w:rPr>
                <w:b/>
                <w:bCs/>
                <w:sz w:val="18"/>
                <w:szCs w:val="18"/>
                <w:lang w:eastAsia="zh-CN"/>
              </w:rPr>
            </w:pPr>
            <w:r w:rsidRPr="00F904CC">
              <w:rPr>
                <w:b/>
                <w:bCs/>
                <w:sz w:val="18"/>
                <w:szCs w:val="18"/>
                <w:lang w:eastAsia="zh-CN"/>
              </w:rPr>
              <w:t>75%</w:t>
            </w:r>
          </w:p>
        </w:tc>
      </w:tr>
      <w:tr w:rsidR="00F904CC" w:rsidRPr="00F904CC" w14:paraId="690D3C7C" w14:textId="77777777" w:rsidTr="00F904CC">
        <w:tc>
          <w:tcPr>
            <w:tcW w:w="4749" w:type="dxa"/>
            <w:tcBorders>
              <w:top w:val="single" w:sz="4" w:space="0" w:color="000000"/>
              <w:bottom w:val="single" w:sz="4" w:space="0" w:color="000000"/>
            </w:tcBorders>
            <w:shd w:val="clear" w:color="auto" w:fill="auto"/>
            <w:hideMark/>
          </w:tcPr>
          <w:p w14:paraId="6EB474E0" w14:textId="77777777" w:rsidR="00F904CC" w:rsidRPr="00F904CC" w:rsidRDefault="00F904CC" w:rsidP="00F904CC">
            <w:pPr>
              <w:suppressAutoHyphens w:val="0"/>
              <w:spacing w:before="40" w:after="40" w:line="220" w:lineRule="exact"/>
              <w:rPr>
                <w:sz w:val="18"/>
                <w:szCs w:val="18"/>
                <w:lang w:eastAsia="zh-CN"/>
              </w:rPr>
            </w:pPr>
            <w:r w:rsidRPr="00F904CC">
              <w:rPr>
                <w:sz w:val="18"/>
                <w:szCs w:val="18"/>
                <w:lang w:eastAsia="zh-CN"/>
              </w:rPr>
              <w:lastRenderedPageBreak/>
              <w:t>i. Working Party on Rail Transport and subsidiary groups of experts</w:t>
            </w:r>
          </w:p>
        </w:tc>
        <w:tc>
          <w:tcPr>
            <w:tcW w:w="718" w:type="dxa"/>
            <w:tcBorders>
              <w:top w:val="single" w:sz="4" w:space="0" w:color="000000"/>
              <w:bottom w:val="single" w:sz="4" w:space="0" w:color="000000"/>
            </w:tcBorders>
            <w:shd w:val="clear" w:color="auto" w:fill="auto"/>
            <w:vAlign w:val="bottom"/>
            <w:hideMark/>
          </w:tcPr>
          <w:p w14:paraId="1BF49FC7" w14:textId="77777777" w:rsidR="00F904CC" w:rsidRPr="00F904CC" w:rsidRDefault="00F904CC" w:rsidP="00F904CC">
            <w:pPr>
              <w:suppressAutoHyphens w:val="0"/>
              <w:spacing w:before="40" w:after="40" w:line="220" w:lineRule="exact"/>
              <w:jc w:val="right"/>
              <w:rPr>
                <w:sz w:val="18"/>
                <w:szCs w:val="18"/>
                <w:lang w:eastAsia="zh-CN"/>
              </w:rPr>
            </w:pPr>
            <w:r w:rsidRPr="00F904CC">
              <w:rPr>
                <w:sz w:val="18"/>
                <w:szCs w:val="18"/>
                <w:lang w:eastAsia="zh-CN"/>
              </w:rPr>
              <w:t>26</w:t>
            </w:r>
          </w:p>
        </w:tc>
        <w:tc>
          <w:tcPr>
            <w:tcW w:w="695" w:type="dxa"/>
            <w:tcBorders>
              <w:top w:val="single" w:sz="4" w:space="0" w:color="000000"/>
              <w:bottom w:val="single" w:sz="4" w:space="0" w:color="000000"/>
            </w:tcBorders>
            <w:shd w:val="clear" w:color="auto" w:fill="auto"/>
            <w:vAlign w:val="bottom"/>
            <w:hideMark/>
          </w:tcPr>
          <w:p w14:paraId="12A24613" w14:textId="77777777" w:rsidR="00F904CC" w:rsidRPr="00F904CC" w:rsidRDefault="00F904CC" w:rsidP="00F904CC">
            <w:pPr>
              <w:suppressAutoHyphens w:val="0"/>
              <w:spacing w:before="40" w:after="40" w:line="220" w:lineRule="exact"/>
              <w:jc w:val="right"/>
              <w:rPr>
                <w:sz w:val="18"/>
                <w:szCs w:val="18"/>
                <w:lang w:eastAsia="zh-CN"/>
              </w:rPr>
            </w:pPr>
            <w:r w:rsidRPr="00F904CC">
              <w:rPr>
                <w:sz w:val="18"/>
                <w:szCs w:val="18"/>
                <w:lang w:eastAsia="zh-CN"/>
              </w:rPr>
              <w:t>30</w:t>
            </w:r>
          </w:p>
        </w:tc>
        <w:tc>
          <w:tcPr>
            <w:tcW w:w="1208" w:type="dxa"/>
            <w:tcBorders>
              <w:top w:val="single" w:sz="4" w:space="0" w:color="000000"/>
              <w:bottom w:val="single" w:sz="4" w:space="0" w:color="000000"/>
            </w:tcBorders>
            <w:shd w:val="clear" w:color="auto" w:fill="auto"/>
            <w:vAlign w:val="bottom"/>
            <w:hideMark/>
          </w:tcPr>
          <w:p w14:paraId="766703E4" w14:textId="77777777" w:rsidR="00F904CC" w:rsidRPr="00F904CC" w:rsidRDefault="00F904CC" w:rsidP="00F904CC">
            <w:pPr>
              <w:suppressAutoHyphens w:val="0"/>
              <w:spacing w:before="40" w:after="40" w:line="220" w:lineRule="exact"/>
              <w:jc w:val="right"/>
              <w:rPr>
                <w:b/>
                <w:bCs/>
                <w:sz w:val="18"/>
                <w:szCs w:val="18"/>
                <w:lang w:eastAsia="zh-CN"/>
              </w:rPr>
            </w:pPr>
            <w:r w:rsidRPr="00F904CC">
              <w:rPr>
                <w:b/>
                <w:bCs/>
                <w:sz w:val="18"/>
                <w:szCs w:val="18"/>
                <w:lang w:eastAsia="zh-CN"/>
              </w:rPr>
              <w:t>115%</w:t>
            </w:r>
          </w:p>
        </w:tc>
      </w:tr>
      <w:tr w:rsidR="00F904CC" w:rsidRPr="00F904CC" w14:paraId="5DA176B4" w14:textId="77777777" w:rsidTr="00F904CC">
        <w:tc>
          <w:tcPr>
            <w:tcW w:w="4749" w:type="dxa"/>
            <w:tcBorders>
              <w:top w:val="single" w:sz="4" w:space="0" w:color="000000"/>
              <w:bottom w:val="single" w:sz="4" w:space="0" w:color="000000"/>
            </w:tcBorders>
            <w:shd w:val="clear" w:color="auto" w:fill="auto"/>
            <w:hideMark/>
          </w:tcPr>
          <w:p w14:paraId="3BD64839" w14:textId="77777777" w:rsidR="00F904CC" w:rsidRPr="00F904CC" w:rsidRDefault="00F904CC" w:rsidP="00F904CC">
            <w:pPr>
              <w:suppressAutoHyphens w:val="0"/>
              <w:spacing w:before="40" w:after="40" w:line="220" w:lineRule="exact"/>
              <w:rPr>
                <w:sz w:val="18"/>
                <w:szCs w:val="18"/>
                <w:lang w:eastAsia="zh-CN"/>
              </w:rPr>
            </w:pPr>
            <w:r w:rsidRPr="00F904CC">
              <w:rPr>
                <w:sz w:val="18"/>
                <w:szCs w:val="18"/>
                <w:lang w:eastAsia="zh-CN"/>
              </w:rPr>
              <w:t>j. Working Party on Intermodal Transport and Logistics</w:t>
            </w:r>
          </w:p>
        </w:tc>
        <w:tc>
          <w:tcPr>
            <w:tcW w:w="718" w:type="dxa"/>
            <w:tcBorders>
              <w:top w:val="single" w:sz="4" w:space="0" w:color="000000"/>
              <w:bottom w:val="single" w:sz="4" w:space="0" w:color="000000"/>
            </w:tcBorders>
            <w:shd w:val="clear" w:color="auto" w:fill="auto"/>
            <w:vAlign w:val="bottom"/>
            <w:hideMark/>
          </w:tcPr>
          <w:p w14:paraId="269D911E" w14:textId="77777777" w:rsidR="00F904CC" w:rsidRPr="00F904CC" w:rsidRDefault="00F904CC" w:rsidP="00F904CC">
            <w:pPr>
              <w:suppressAutoHyphens w:val="0"/>
              <w:spacing w:before="40" w:after="40" w:line="220" w:lineRule="exact"/>
              <w:jc w:val="right"/>
              <w:rPr>
                <w:sz w:val="18"/>
                <w:szCs w:val="18"/>
                <w:lang w:eastAsia="zh-CN"/>
              </w:rPr>
            </w:pPr>
            <w:r w:rsidRPr="00F904CC">
              <w:rPr>
                <w:sz w:val="18"/>
                <w:szCs w:val="18"/>
                <w:lang w:eastAsia="zh-CN"/>
              </w:rPr>
              <w:t>15</w:t>
            </w:r>
          </w:p>
        </w:tc>
        <w:tc>
          <w:tcPr>
            <w:tcW w:w="695" w:type="dxa"/>
            <w:tcBorders>
              <w:top w:val="single" w:sz="4" w:space="0" w:color="000000"/>
              <w:bottom w:val="single" w:sz="4" w:space="0" w:color="000000"/>
            </w:tcBorders>
            <w:shd w:val="clear" w:color="auto" w:fill="auto"/>
            <w:vAlign w:val="bottom"/>
            <w:hideMark/>
          </w:tcPr>
          <w:p w14:paraId="05D500A5" w14:textId="77777777" w:rsidR="00F904CC" w:rsidRPr="00F904CC" w:rsidRDefault="00F904CC" w:rsidP="00F904CC">
            <w:pPr>
              <w:suppressAutoHyphens w:val="0"/>
              <w:spacing w:before="40" w:after="40" w:line="220" w:lineRule="exact"/>
              <w:jc w:val="right"/>
              <w:rPr>
                <w:sz w:val="18"/>
                <w:szCs w:val="18"/>
                <w:lang w:eastAsia="zh-CN"/>
              </w:rPr>
            </w:pPr>
            <w:r w:rsidRPr="00F904CC">
              <w:rPr>
                <w:sz w:val="18"/>
                <w:szCs w:val="18"/>
                <w:lang w:eastAsia="zh-CN"/>
              </w:rPr>
              <w:t>15</w:t>
            </w:r>
          </w:p>
        </w:tc>
        <w:tc>
          <w:tcPr>
            <w:tcW w:w="1208" w:type="dxa"/>
            <w:tcBorders>
              <w:top w:val="single" w:sz="4" w:space="0" w:color="000000"/>
              <w:bottom w:val="single" w:sz="4" w:space="0" w:color="000000"/>
            </w:tcBorders>
            <w:shd w:val="clear" w:color="auto" w:fill="auto"/>
            <w:vAlign w:val="bottom"/>
            <w:hideMark/>
          </w:tcPr>
          <w:p w14:paraId="57867E20" w14:textId="77777777" w:rsidR="00F904CC" w:rsidRPr="00F904CC" w:rsidRDefault="00F904CC" w:rsidP="00F904CC">
            <w:pPr>
              <w:suppressAutoHyphens w:val="0"/>
              <w:spacing w:before="40" w:after="40" w:line="220" w:lineRule="exact"/>
              <w:jc w:val="right"/>
              <w:rPr>
                <w:b/>
                <w:bCs/>
                <w:sz w:val="18"/>
                <w:szCs w:val="18"/>
                <w:lang w:eastAsia="zh-CN"/>
              </w:rPr>
            </w:pPr>
            <w:r w:rsidRPr="00F904CC">
              <w:rPr>
                <w:b/>
                <w:bCs/>
                <w:sz w:val="18"/>
                <w:szCs w:val="18"/>
                <w:lang w:eastAsia="zh-CN"/>
              </w:rPr>
              <w:t>100%</w:t>
            </w:r>
          </w:p>
        </w:tc>
      </w:tr>
      <w:tr w:rsidR="00F904CC" w:rsidRPr="00F904CC" w14:paraId="44850A24" w14:textId="77777777" w:rsidTr="00F904CC">
        <w:tc>
          <w:tcPr>
            <w:tcW w:w="4749" w:type="dxa"/>
            <w:tcBorders>
              <w:top w:val="single" w:sz="4" w:space="0" w:color="000000"/>
              <w:bottom w:val="single" w:sz="4" w:space="0" w:color="000000"/>
            </w:tcBorders>
            <w:shd w:val="clear" w:color="auto" w:fill="auto"/>
            <w:hideMark/>
          </w:tcPr>
          <w:p w14:paraId="1653B282" w14:textId="77777777" w:rsidR="00F904CC" w:rsidRPr="00F904CC" w:rsidRDefault="00F904CC" w:rsidP="00F904CC">
            <w:pPr>
              <w:suppressAutoHyphens w:val="0"/>
              <w:spacing w:before="40" w:after="40" w:line="220" w:lineRule="exact"/>
              <w:rPr>
                <w:sz w:val="18"/>
                <w:szCs w:val="18"/>
                <w:lang w:eastAsia="zh-CN"/>
              </w:rPr>
            </w:pPr>
            <w:r w:rsidRPr="00F904CC">
              <w:rPr>
                <w:sz w:val="18"/>
                <w:szCs w:val="18"/>
                <w:lang w:eastAsia="zh-CN"/>
              </w:rPr>
              <w:t>k. Working Party on Inland Water Transport</w:t>
            </w:r>
          </w:p>
        </w:tc>
        <w:tc>
          <w:tcPr>
            <w:tcW w:w="718" w:type="dxa"/>
            <w:tcBorders>
              <w:top w:val="single" w:sz="4" w:space="0" w:color="000000"/>
              <w:bottom w:val="single" w:sz="4" w:space="0" w:color="000000"/>
            </w:tcBorders>
            <w:shd w:val="clear" w:color="auto" w:fill="auto"/>
            <w:vAlign w:val="bottom"/>
            <w:hideMark/>
          </w:tcPr>
          <w:p w14:paraId="23F3D3E9" w14:textId="77777777" w:rsidR="00F904CC" w:rsidRPr="00F904CC" w:rsidRDefault="00F904CC" w:rsidP="00F904CC">
            <w:pPr>
              <w:suppressAutoHyphens w:val="0"/>
              <w:spacing w:before="40" w:after="40" w:line="220" w:lineRule="exact"/>
              <w:jc w:val="right"/>
              <w:rPr>
                <w:sz w:val="18"/>
                <w:szCs w:val="18"/>
                <w:lang w:eastAsia="zh-CN"/>
              </w:rPr>
            </w:pPr>
            <w:r w:rsidRPr="00F904CC">
              <w:rPr>
                <w:sz w:val="18"/>
                <w:szCs w:val="18"/>
                <w:lang w:eastAsia="zh-CN"/>
              </w:rPr>
              <w:t>41</w:t>
            </w:r>
          </w:p>
        </w:tc>
        <w:tc>
          <w:tcPr>
            <w:tcW w:w="695" w:type="dxa"/>
            <w:tcBorders>
              <w:top w:val="single" w:sz="4" w:space="0" w:color="000000"/>
              <w:bottom w:val="single" w:sz="4" w:space="0" w:color="000000"/>
            </w:tcBorders>
            <w:shd w:val="clear" w:color="auto" w:fill="auto"/>
            <w:vAlign w:val="bottom"/>
            <w:hideMark/>
          </w:tcPr>
          <w:p w14:paraId="5C154B57" w14:textId="77777777" w:rsidR="00F904CC" w:rsidRPr="00F904CC" w:rsidRDefault="00F904CC" w:rsidP="00F904CC">
            <w:pPr>
              <w:suppressAutoHyphens w:val="0"/>
              <w:spacing w:before="40" w:after="40" w:line="220" w:lineRule="exact"/>
              <w:jc w:val="right"/>
              <w:rPr>
                <w:sz w:val="18"/>
                <w:szCs w:val="18"/>
                <w:lang w:eastAsia="zh-CN"/>
              </w:rPr>
            </w:pPr>
            <w:r w:rsidRPr="00F904CC">
              <w:rPr>
                <w:sz w:val="18"/>
                <w:szCs w:val="18"/>
                <w:lang w:eastAsia="zh-CN"/>
              </w:rPr>
              <w:t>50</w:t>
            </w:r>
          </w:p>
        </w:tc>
        <w:tc>
          <w:tcPr>
            <w:tcW w:w="1208" w:type="dxa"/>
            <w:tcBorders>
              <w:top w:val="single" w:sz="4" w:space="0" w:color="000000"/>
              <w:bottom w:val="single" w:sz="4" w:space="0" w:color="000000"/>
            </w:tcBorders>
            <w:shd w:val="clear" w:color="auto" w:fill="auto"/>
            <w:vAlign w:val="bottom"/>
            <w:hideMark/>
          </w:tcPr>
          <w:p w14:paraId="37F81D33" w14:textId="77777777" w:rsidR="00F904CC" w:rsidRPr="00F904CC" w:rsidRDefault="00F904CC" w:rsidP="00F904CC">
            <w:pPr>
              <w:suppressAutoHyphens w:val="0"/>
              <w:spacing w:before="40" w:after="40" w:line="220" w:lineRule="exact"/>
              <w:jc w:val="right"/>
              <w:rPr>
                <w:b/>
                <w:bCs/>
                <w:sz w:val="18"/>
                <w:szCs w:val="18"/>
                <w:lang w:eastAsia="zh-CN"/>
              </w:rPr>
            </w:pPr>
            <w:r w:rsidRPr="00F904CC">
              <w:rPr>
                <w:b/>
                <w:bCs/>
                <w:sz w:val="18"/>
                <w:szCs w:val="18"/>
                <w:lang w:eastAsia="zh-CN"/>
              </w:rPr>
              <w:t>122%</w:t>
            </w:r>
          </w:p>
        </w:tc>
      </w:tr>
      <w:tr w:rsidR="00F904CC" w:rsidRPr="00F904CC" w14:paraId="54987A91" w14:textId="77777777" w:rsidTr="00F904CC">
        <w:tc>
          <w:tcPr>
            <w:tcW w:w="4749" w:type="dxa"/>
            <w:tcBorders>
              <w:top w:val="single" w:sz="4" w:space="0" w:color="000000"/>
              <w:bottom w:val="single" w:sz="4" w:space="0" w:color="000000"/>
            </w:tcBorders>
            <w:shd w:val="clear" w:color="auto" w:fill="auto"/>
            <w:hideMark/>
          </w:tcPr>
          <w:p w14:paraId="3EE2CE09" w14:textId="77777777" w:rsidR="00F904CC" w:rsidRPr="00F904CC" w:rsidRDefault="00F904CC" w:rsidP="00F904CC">
            <w:pPr>
              <w:suppressAutoHyphens w:val="0"/>
              <w:spacing w:before="40" w:after="40" w:line="220" w:lineRule="exact"/>
              <w:rPr>
                <w:sz w:val="18"/>
                <w:szCs w:val="18"/>
                <w:lang w:eastAsia="zh-CN"/>
              </w:rPr>
            </w:pPr>
            <w:r w:rsidRPr="00F904CC">
              <w:rPr>
                <w:sz w:val="18"/>
                <w:szCs w:val="18"/>
                <w:lang w:eastAsia="zh-CN"/>
              </w:rPr>
              <w:t>l. Working Party on Customs Questions affecting Transport and subsidiary groups of experts</w:t>
            </w:r>
          </w:p>
        </w:tc>
        <w:tc>
          <w:tcPr>
            <w:tcW w:w="718" w:type="dxa"/>
            <w:tcBorders>
              <w:top w:val="single" w:sz="4" w:space="0" w:color="000000"/>
              <w:bottom w:val="single" w:sz="4" w:space="0" w:color="000000"/>
            </w:tcBorders>
            <w:shd w:val="clear" w:color="auto" w:fill="auto"/>
            <w:vAlign w:val="bottom"/>
            <w:hideMark/>
          </w:tcPr>
          <w:p w14:paraId="1E0709A3" w14:textId="77777777" w:rsidR="00F904CC" w:rsidRPr="00F904CC" w:rsidRDefault="00F904CC" w:rsidP="00F904CC">
            <w:pPr>
              <w:suppressAutoHyphens w:val="0"/>
              <w:spacing w:before="40" w:after="40" w:line="220" w:lineRule="exact"/>
              <w:jc w:val="right"/>
              <w:rPr>
                <w:sz w:val="18"/>
                <w:szCs w:val="18"/>
                <w:lang w:eastAsia="zh-CN"/>
              </w:rPr>
            </w:pPr>
            <w:r w:rsidRPr="00F904CC">
              <w:rPr>
                <w:sz w:val="18"/>
                <w:szCs w:val="18"/>
                <w:lang w:eastAsia="zh-CN"/>
              </w:rPr>
              <w:t>71</w:t>
            </w:r>
          </w:p>
        </w:tc>
        <w:tc>
          <w:tcPr>
            <w:tcW w:w="695" w:type="dxa"/>
            <w:tcBorders>
              <w:top w:val="single" w:sz="4" w:space="0" w:color="000000"/>
              <w:bottom w:val="single" w:sz="4" w:space="0" w:color="000000"/>
            </w:tcBorders>
            <w:shd w:val="clear" w:color="auto" w:fill="auto"/>
            <w:vAlign w:val="bottom"/>
            <w:hideMark/>
          </w:tcPr>
          <w:p w14:paraId="0F0967F1" w14:textId="77777777" w:rsidR="00F904CC" w:rsidRPr="00F904CC" w:rsidRDefault="00F904CC" w:rsidP="00F904CC">
            <w:pPr>
              <w:suppressAutoHyphens w:val="0"/>
              <w:spacing w:before="40" w:after="40" w:line="220" w:lineRule="exact"/>
              <w:jc w:val="right"/>
              <w:rPr>
                <w:sz w:val="18"/>
                <w:szCs w:val="18"/>
                <w:lang w:eastAsia="zh-CN"/>
              </w:rPr>
            </w:pPr>
            <w:r w:rsidRPr="00F904CC">
              <w:rPr>
                <w:sz w:val="18"/>
                <w:szCs w:val="18"/>
                <w:lang w:eastAsia="zh-CN"/>
              </w:rPr>
              <w:t>104</w:t>
            </w:r>
          </w:p>
        </w:tc>
        <w:tc>
          <w:tcPr>
            <w:tcW w:w="1208" w:type="dxa"/>
            <w:tcBorders>
              <w:top w:val="single" w:sz="4" w:space="0" w:color="000000"/>
              <w:bottom w:val="single" w:sz="4" w:space="0" w:color="000000"/>
            </w:tcBorders>
            <w:shd w:val="clear" w:color="auto" w:fill="auto"/>
            <w:vAlign w:val="bottom"/>
            <w:hideMark/>
          </w:tcPr>
          <w:p w14:paraId="76E54517" w14:textId="77777777" w:rsidR="00F904CC" w:rsidRPr="00F904CC" w:rsidRDefault="00F904CC" w:rsidP="00F904CC">
            <w:pPr>
              <w:suppressAutoHyphens w:val="0"/>
              <w:spacing w:before="40" w:after="40" w:line="220" w:lineRule="exact"/>
              <w:jc w:val="right"/>
              <w:rPr>
                <w:b/>
                <w:bCs/>
                <w:sz w:val="18"/>
                <w:szCs w:val="18"/>
                <w:lang w:eastAsia="zh-CN"/>
              </w:rPr>
            </w:pPr>
            <w:r w:rsidRPr="00F904CC">
              <w:rPr>
                <w:b/>
                <w:bCs/>
                <w:sz w:val="18"/>
                <w:szCs w:val="18"/>
                <w:lang w:eastAsia="zh-CN"/>
              </w:rPr>
              <w:t>146%</w:t>
            </w:r>
          </w:p>
        </w:tc>
      </w:tr>
      <w:tr w:rsidR="00F904CC" w:rsidRPr="00F904CC" w14:paraId="5C9B12C4" w14:textId="77777777" w:rsidTr="00F904CC">
        <w:tc>
          <w:tcPr>
            <w:tcW w:w="4749" w:type="dxa"/>
            <w:tcBorders>
              <w:top w:val="single" w:sz="4" w:space="0" w:color="000000"/>
              <w:bottom w:val="single" w:sz="4" w:space="0" w:color="000000"/>
            </w:tcBorders>
            <w:shd w:val="clear" w:color="auto" w:fill="auto"/>
            <w:hideMark/>
          </w:tcPr>
          <w:p w14:paraId="78A2E636" w14:textId="77777777" w:rsidR="00F904CC" w:rsidRPr="00F904CC" w:rsidRDefault="00F904CC" w:rsidP="00F904CC">
            <w:pPr>
              <w:suppressAutoHyphens w:val="0"/>
              <w:spacing w:before="40" w:after="40" w:line="220" w:lineRule="exact"/>
              <w:rPr>
                <w:b/>
                <w:bCs/>
                <w:sz w:val="18"/>
                <w:szCs w:val="18"/>
                <w:lang w:eastAsia="zh-CN"/>
              </w:rPr>
            </w:pPr>
            <w:r w:rsidRPr="00F904CC">
              <w:rPr>
                <w:b/>
                <w:bCs/>
                <w:sz w:val="18"/>
                <w:szCs w:val="18"/>
                <w:lang w:eastAsia="zh-CN"/>
              </w:rPr>
              <w:t>2. The Economic and Social Council</w:t>
            </w:r>
          </w:p>
        </w:tc>
        <w:tc>
          <w:tcPr>
            <w:tcW w:w="718" w:type="dxa"/>
            <w:tcBorders>
              <w:top w:val="single" w:sz="4" w:space="0" w:color="000000"/>
              <w:bottom w:val="single" w:sz="4" w:space="0" w:color="000000"/>
            </w:tcBorders>
            <w:shd w:val="clear" w:color="auto" w:fill="auto"/>
            <w:vAlign w:val="bottom"/>
            <w:hideMark/>
          </w:tcPr>
          <w:p w14:paraId="1C66A825" w14:textId="77777777" w:rsidR="00F904CC" w:rsidRPr="00F904CC" w:rsidRDefault="00F904CC" w:rsidP="00F904CC">
            <w:pPr>
              <w:suppressAutoHyphens w:val="0"/>
              <w:spacing w:before="40" w:after="40" w:line="220" w:lineRule="exact"/>
              <w:jc w:val="right"/>
              <w:rPr>
                <w:b/>
                <w:bCs/>
                <w:sz w:val="18"/>
                <w:szCs w:val="18"/>
                <w:lang w:eastAsia="zh-CN"/>
              </w:rPr>
            </w:pPr>
            <w:r w:rsidRPr="00F904CC">
              <w:rPr>
                <w:b/>
                <w:bCs/>
                <w:sz w:val="18"/>
                <w:szCs w:val="18"/>
                <w:lang w:eastAsia="zh-CN"/>
              </w:rPr>
              <w:t>190</w:t>
            </w:r>
          </w:p>
        </w:tc>
        <w:tc>
          <w:tcPr>
            <w:tcW w:w="695" w:type="dxa"/>
            <w:tcBorders>
              <w:top w:val="single" w:sz="4" w:space="0" w:color="000000"/>
              <w:bottom w:val="single" w:sz="4" w:space="0" w:color="000000"/>
            </w:tcBorders>
            <w:shd w:val="clear" w:color="auto" w:fill="auto"/>
            <w:vAlign w:val="bottom"/>
            <w:hideMark/>
          </w:tcPr>
          <w:p w14:paraId="294D571A" w14:textId="77777777" w:rsidR="00F904CC" w:rsidRPr="00F904CC" w:rsidRDefault="00F904CC" w:rsidP="00F904CC">
            <w:pPr>
              <w:suppressAutoHyphens w:val="0"/>
              <w:spacing w:before="40" w:after="40" w:line="220" w:lineRule="exact"/>
              <w:jc w:val="right"/>
              <w:rPr>
                <w:b/>
                <w:bCs/>
                <w:sz w:val="18"/>
                <w:szCs w:val="18"/>
                <w:lang w:eastAsia="zh-CN"/>
              </w:rPr>
            </w:pPr>
            <w:r w:rsidRPr="00F904CC">
              <w:rPr>
                <w:b/>
                <w:bCs/>
                <w:sz w:val="18"/>
                <w:szCs w:val="18"/>
                <w:lang w:eastAsia="zh-CN"/>
              </w:rPr>
              <w:t>101</w:t>
            </w:r>
          </w:p>
        </w:tc>
        <w:tc>
          <w:tcPr>
            <w:tcW w:w="1208" w:type="dxa"/>
            <w:tcBorders>
              <w:top w:val="single" w:sz="4" w:space="0" w:color="000000"/>
              <w:bottom w:val="single" w:sz="4" w:space="0" w:color="000000"/>
            </w:tcBorders>
            <w:shd w:val="clear" w:color="auto" w:fill="auto"/>
            <w:vAlign w:val="bottom"/>
            <w:hideMark/>
          </w:tcPr>
          <w:p w14:paraId="17135B1D" w14:textId="77777777" w:rsidR="00F904CC" w:rsidRPr="00F904CC" w:rsidRDefault="00F904CC" w:rsidP="00F904CC">
            <w:pPr>
              <w:suppressAutoHyphens w:val="0"/>
              <w:spacing w:before="40" w:after="40" w:line="220" w:lineRule="exact"/>
              <w:jc w:val="right"/>
              <w:rPr>
                <w:b/>
                <w:bCs/>
                <w:sz w:val="18"/>
                <w:szCs w:val="18"/>
                <w:lang w:eastAsia="zh-CN"/>
              </w:rPr>
            </w:pPr>
            <w:r w:rsidRPr="00F904CC">
              <w:rPr>
                <w:b/>
                <w:bCs/>
                <w:sz w:val="18"/>
                <w:szCs w:val="18"/>
                <w:lang w:eastAsia="zh-CN"/>
              </w:rPr>
              <w:t>53%</w:t>
            </w:r>
          </w:p>
        </w:tc>
      </w:tr>
      <w:tr w:rsidR="00F904CC" w:rsidRPr="00F904CC" w14:paraId="03E36B14" w14:textId="77777777" w:rsidTr="00F904CC">
        <w:tc>
          <w:tcPr>
            <w:tcW w:w="4749" w:type="dxa"/>
            <w:tcBorders>
              <w:top w:val="single" w:sz="4" w:space="0" w:color="000000"/>
              <w:bottom w:val="single" w:sz="4" w:space="0" w:color="000000"/>
            </w:tcBorders>
            <w:shd w:val="clear" w:color="auto" w:fill="auto"/>
            <w:hideMark/>
          </w:tcPr>
          <w:p w14:paraId="442BE1FD" w14:textId="77777777" w:rsidR="00F904CC" w:rsidRPr="00F904CC" w:rsidRDefault="00F904CC" w:rsidP="00F904CC">
            <w:pPr>
              <w:suppressAutoHyphens w:val="0"/>
              <w:spacing w:before="40" w:after="40" w:line="220" w:lineRule="exact"/>
              <w:rPr>
                <w:sz w:val="18"/>
                <w:szCs w:val="18"/>
                <w:lang w:eastAsia="zh-CN"/>
              </w:rPr>
            </w:pPr>
            <w:r w:rsidRPr="00F904CC">
              <w:rPr>
                <w:sz w:val="18"/>
                <w:szCs w:val="18"/>
                <w:lang w:eastAsia="zh-CN"/>
              </w:rPr>
              <w:t>a. Committee of Experts on the Transport of Dangerous Goods and on the Globally Harmonized System of Classification and Labelling of Chemicals</w:t>
            </w:r>
          </w:p>
        </w:tc>
        <w:tc>
          <w:tcPr>
            <w:tcW w:w="718" w:type="dxa"/>
            <w:tcBorders>
              <w:top w:val="single" w:sz="4" w:space="0" w:color="000000"/>
              <w:bottom w:val="single" w:sz="4" w:space="0" w:color="000000"/>
            </w:tcBorders>
            <w:shd w:val="clear" w:color="auto" w:fill="auto"/>
            <w:vAlign w:val="bottom"/>
            <w:hideMark/>
          </w:tcPr>
          <w:p w14:paraId="62897941" w14:textId="77777777" w:rsidR="00F904CC" w:rsidRPr="00F904CC" w:rsidRDefault="00F904CC" w:rsidP="00F904CC">
            <w:pPr>
              <w:suppressAutoHyphens w:val="0"/>
              <w:spacing w:before="40" w:after="40" w:line="220" w:lineRule="exact"/>
              <w:jc w:val="right"/>
              <w:rPr>
                <w:sz w:val="18"/>
                <w:szCs w:val="18"/>
                <w:lang w:eastAsia="zh-CN"/>
              </w:rPr>
            </w:pPr>
            <w:r w:rsidRPr="00F904CC">
              <w:rPr>
                <w:sz w:val="18"/>
                <w:szCs w:val="18"/>
                <w:lang w:eastAsia="zh-CN"/>
              </w:rPr>
              <w:t>1</w:t>
            </w:r>
          </w:p>
        </w:tc>
        <w:tc>
          <w:tcPr>
            <w:tcW w:w="695" w:type="dxa"/>
            <w:tcBorders>
              <w:top w:val="single" w:sz="4" w:space="0" w:color="000000"/>
              <w:bottom w:val="single" w:sz="4" w:space="0" w:color="000000"/>
            </w:tcBorders>
            <w:shd w:val="clear" w:color="auto" w:fill="auto"/>
            <w:vAlign w:val="bottom"/>
            <w:hideMark/>
          </w:tcPr>
          <w:p w14:paraId="4EFDA45B" w14:textId="77777777" w:rsidR="00F904CC" w:rsidRPr="00F904CC" w:rsidRDefault="00F904CC" w:rsidP="00F904CC">
            <w:pPr>
              <w:suppressAutoHyphens w:val="0"/>
              <w:spacing w:before="40" w:after="40" w:line="220" w:lineRule="exact"/>
              <w:jc w:val="right"/>
              <w:rPr>
                <w:sz w:val="18"/>
                <w:szCs w:val="18"/>
                <w:lang w:eastAsia="zh-CN"/>
              </w:rPr>
            </w:pPr>
            <w:r w:rsidRPr="00F904CC">
              <w:rPr>
                <w:sz w:val="18"/>
                <w:szCs w:val="18"/>
                <w:lang w:eastAsia="zh-CN"/>
              </w:rPr>
              <w:t>1</w:t>
            </w:r>
          </w:p>
        </w:tc>
        <w:tc>
          <w:tcPr>
            <w:tcW w:w="1208" w:type="dxa"/>
            <w:tcBorders>
              <w:top w:val="single" w:sz="4" w:space="0" w:color="000000"/>
              <w:bottom w:val="single" w:sz="4" w:space="0" w:color="000000"/>
            </w:tcBorders>
            <w:shd w:val="clear" w:color="auto" w:fill="auto"/>
            <w:vAlign w:val="bottom"/>
            <w:hideMark/>
          </w:tcPr>
          <w:p w14:paraId="7397068E" w14:textId="77777777" w:rsidR="00F904CC" w:rsidRPr="00F904CC" w:rsidRDefault="00F904CC" w:rsidP="00F904CC">
            <w:pPr>
              <w:suppressAutoHyphens w:val="0"/>
              <w:spacing w:before="40" w:after="40" w:line="220" w:lineRule="exact"/>
              <w:jc w:val="right"/>
              <w:rPr>
                <w:b/>
                <w:bCs/>
                <w:sz w:val="18"/>
                <w:szCs w:val="18"/>
                <w:lang w:eastAsia="zh-CN"/>
              </w:rPr>
            </w:pPr>
            <w:r w:rsidRPr="00F904CC">
              <w:rPr>
                <w:b/>
                <w:bCs/>
                <w:sz w:val="18"/>
                <w:szCs w:val="18"/>
                <w:lang w:eastAsia="zh-CN"/>
              </w:rPr>
              <w:t>100%</w:t>
            </w:r>
          </w:p>
        </w:tc>
      </w:tr>
      <w:tr w:rsidR="00F904CC" w:rsidRPr="00F904CC" w14:paraId="699CF964" w14:textId="77777777" w:rsidTr="00F904CC">
        <w:tc>
          <w:tcPr>
            <w:tcW w:w="4749" w:type="dxa"/>
            <w:tcBorders>
              <w:top w:val="single" w:sz="4" w:space="0" w:color="000000"/>
              <w:bottom w:val="single" w:sz="4" w:space="0" w:color="000000"/>
            </w:tcBorders>
            <w:shd w:val="clear" w:color="auto" w:fill="auto"/>
            <w:hideMark/>
          </w:tcPr>
          <w:p w14:paraId="468F8A8C" w14:textId="77777777" w:rsidR="00F904CC" w:rsidRPr="00F904CC" w:rsidRDefault="00F904CC" w:rsidP="00F904CC">
            <w:pPr>
              <w:suppressAutoHyphens w:val="0"/>
              <w:spacing w:before="40" w:after="40" w:line="220" w:lineRule="exact"/>
              <w:rPr>
                <w:sz w:val="18"/>
                <w:szCs w:val="18"/>
                <w:lang w:eastAsia="zh-CN"/>
              </w:rPr>
            </w:pPr>
            <w:r w:rsidRPr="00F904CC">
              <w:rPr>
                <w:sz w:val="18"/>
                <w:szCs w:val="18"/>
                <w:lang w:eastAsia="zh-CN"/>
              </w:rPr>
              <w:t>b. Sub-Committee of Experts on the Transport of Dangerous Goods</w:t>
            </w:r>
          </w:p>
        </w:tc>
        <w:tc>
          <w:tcPr>
            <w:tcW w:w="718" w:type="dxa"/>
            <w:tcBorders>
              <w:top w:val="single" w:sz="4" w:space="0" w:color="000000"/>
              <w:bottom w:val="single" w:sz="4" w:space="0" w:color="000000"/>
            </w:tcBorders>
            <w:shd w:val="clear" w:color="auto" w:fill="auto"/>
            <w:vAlign w:val="bottom"/>
            <w:hideMark/>
          </w:tcPr>
          <w:p w14:paraId="0BC3041D" w14:textId="77777777" w:rsidR="00F904CC" w:rsidRPr="00F904CC" w:rsidRDefault="00F904CC" w:rsidP="00F904CC">
            <w:pPr>
              <w:suppressAutoHyphens w:val="0"/>
              <w:spacing w:before="40" w:after="40" w:line="220" w:lineRule="exact"/>
              <w:jc w:val="right"/>
              <w:rPr>
                <w:sz w:val="18"/>
                <w:szCs w:val="18"/>
                <w:lang w:eastAsia="zh-CN"/>
              </w:rPr>
            </w:pPr>
            <w:r w:rsidRPr="00F904CC">
              <w:rPr>
                <w:sz w:val="18"/>
                <w:szCs w:val="18"/>
                <w:lang w:eastAsia="zh-CN"/>
              </w:rPr>
              <w:t>157</w:t>
            </w:r>
          </w:p>
        </w:tc>
        <w:tc>
          <w:tcPr>
            <w:tcW w:w="695" w:type="dxa"/>
            <w:tcBorders>
              <w:top w:val="single" w:sz="4" w:space="0" w:color="000000"/>
              <w:bottom w:val="single" w:sz="4" w:space="0" w:color="000000"/>
            </w:tcBorders>
            <w:shd w:val="clear" w:color="auto" w:fill="auto"/>
            <w:vAlign w:val="bottom"/>
            <w:hideMark/>
          </w:tcPr>
          <w:p w14:paraId="53818B8D" w14:textId="77777777" w:rsidR="00F904CC" w:rsidRPr="00F904CC" w:rsidRDefault="00F904CC" w:rsidP="00F904CC">
            <w:pPr>
              <w:suppressAutoHyphens w:val="0"/>
              <w:spacing w:before="40" w:after="40" w:line="220" w:lineRule="exact"/>
              <w:jc w:val="right"/>
              <w:rPr>
                <w:sz w:val="18"/>
                <w:szCs w:val="18"/>
                <w:lang w:eastAsia="zh-CN"/>
              </w:rPr>
            </w:pPr>
            <w:r w:rsidRPr="00F904CC">
              <w:rPr>
                <w:sz w:val="18"/>
                <w:szCs w:val="18"/>
                <w:lang w:eastAsia="zh-CN"/>
              </w:rPr>
              <w:t>78</w:t>
            </w:r>
          </w:p>
        </w:tc>
        <w:tc>
          <w:tcPr>
            <w:tcW w:w="1208" w:type="dxa"/>
            <w:tcBorders>
              <w:top w:val="single" w:sz="4" w:space="0" w:color="000000"/>
              <w:bottom w:val="single" w:sz="4" w:space="0" w:color="000000"/>
            </w:tcBorders>
            <w:shd w:val="clear" w:color="auto" w:fill="auto"/>
            <w:vAlign w:val="bottom"/>
            <w:hideMark/>
          </w:tcPr>
          <w:p w14:paraId="2BD370D9" w14:textId="77777777" w:rsidR="00F904CC" w:rsidRPr="00F904CC" w:rsidRDefault="00F904CC" w:rsidP="00F904CC">
            <w:pPr>
              <w:suppressAutoHyphens w:val="0"/>
              <w:spacing w:before="40" w:after="40" w:line="220" w:lineRule="exact"/>
              <w:jc w:val="right"/>
              <w:rPr>
                <w:b/>
                <w:bCs/>
                <w:sz w:val="18"/>
                <w:szCs w:val="18"/>
                <w:lang w:eastAsia="zh-CN"/>
              </w:rPr>
            </w:pPr>
            <w:r w:rsidRPr="00F904CC">
              <w:rPr>
                <w:b/>
                <w:bCs/>
                <w:sz w:val="18"/>
                <w:szCs w:val="18"/>
                <w:lang w:eastAsia="zh-CN"/>
              </w:rPr>
              <w:t>50%</w:t>
            </w:r>
          </w:p>
        </w:tc>
      </w:tr>
      <w:tr w:rsidR="00F904CC" w:rsidRPr="00F904CC" w14:paraId="4DFEA0CF" w14:textId="77777777" w:rsidTr="00F904CC">
        <w:tc>
          <w:tcPr>
            <w:tcW w:w="4749" w:type="dxa"/>
            <w:tcBorders>
              <w:top w:val="single" w:sz="4" w:space="0" w:color="000000"/>
              <w:bottom w:val="single" w:sz="4" w:space="0" w:color="000000"/>
            </w:tcBorders>
            <w:shd w:val="clear" w:color="auto" w:fill="auto"/>
            <w:hideMark/>
          </w:tcPr>
          <w:p w14:paraId="461852E2" w14:textId="77777777" w:rsidR="00F904CC" w:rsidRPr="00F904CC" w:rsidRDefault="00F904CC" w:rsidP="00F904CC">
            <w:pPr>
              <w:suppressAutoHyphens w:val="0"/>
              <w:spacing w:before="40" w:after="40" w:line="220" w:lineRule="exact"/>
              <w:rPr>
                <w:sz w:val="18"/>
                <w:szCs w:val="18"/>
                <w:lang w:eastAsia="zh-CN"/>
              </w:rPr>
            </w:pPr>
            <w:r w:rsidRPr="00F904CC">
              <w:rPr>
                <w:sz w:val="18"/>
                <w:szCs w:val="18"/>
                <w:lang w:eastAsia="zh-CN"/>
              </w:rPr>
              <w:t>c. Sub-Committee of Experts on the Globally Harmonized System of Classification and Labelling of Chemicals</w:t>
            </w:r>
          </w:p>
        </w:tc>
        <w:tc>
          <w:tcPr>
            <w:tcW w:w="718" w:type="dxa"/>
            <w:tcBorders>
              <w:top w:val="single" w:sz="4" w:space="0" w:color="000000"/>
              <w:bottom w:val="single" w:sz="4" w:space="0" w:color="000000"/>
            </w:tcBorders>
            <w:shd w:val="clear" w:color="auto" w:fill="auto"/>
            <w:vAlign w:val="bottom"/>
            <w:hideMark/>
          </w:tcPr>
          <w:p w14:paraId="2E3094F9" w14:textId="77777777" w:rsidR="00F904CC" w:rsidRPr="00F904CC" w:rsidRDefault="00F904CC" w:rsidP="00F904CC">
            <w:pPr>
              <w:suppressAutoHyphens w:val="0"/>
              <w:spacing w:before="40" w:after="40" w:line="220" w:lineRule="exact"/>
              <w:jc w:val="right"/>
              <w:rPr>
                <w:sz w:val="18"/>
                <w:szCs w:val="18"/>
                <w:lang w:eastAsia="zh-CN"/>
              </w:rPr>
            </w:pPr>
            <w:r w:rsidRPr="00F904CC">
              <w:rPr>
                <w:sz w:val="18"/>
                <w:szCs w:val="18"/>
                <w:lang w:eastAsia="zh-CN"/>
              </w:rPr>
              <w:t>32</w:t>
            </w:r>
          </w:p>
        </w:tc>
        <w:tc>
          <w:tcPr>
            <w:tcW w:w="695" w:type="dxa"/>
            <w:tcBorders>
              <w:top w:val="single" w:sz="4" w:space="0" w:color="000000"/>
              <w:bottom w:val="single" w:sz="4" w:space="0" w:color="000000"/>
            </w:tcBorders>
            <w:shd w:val="clear" w:color="auto" w:fill="auto"/>
            <w:vAlign w:val="bottom"/>
            <w:hideMark/>
          </w:tcPr>
          <w:p w14:paraId="18CFEB60" w14:textId="77777777" w:rsidR="00F904CC" w:rsidRPr="00F904CC" w:rsidRDefault="00F904CC" w:rsidP="00F904CC">
            <w:pPr>
              <w:suppressAutoHyphens w:val="0"/>
              <w:spacing w:before="40" w:after="40" w:line="220" w:lineRule="exact"/>
              <w:jc w:val="right"/>
              <w:rPr>
                <w:sz w:val="18"/>
                <w:szCs w:val="18"/>
                <w:lang w:eastAsia="zh-CN"/>
              </w:rPr>
            </w:pPr>
            <w:r w:rsidRPr="00F904CC">
              <w:rPr>
                <w:sz w:val="18"/>
                <w:szCs w:val="18"/>
                <w:lang w:eastAsia="zh-CN"/>
              </w:rPr>
              <w:t>22</w:t>
            </w:r>
          </w:p>
        </w:tc>
        <w:tc>
          <w:tcPr>
            <w:tcW w:w="1208" w:type="dxa"/>
            <w:tcBorders>
              <w:top w:val="single" w:sz="4" w:space="0" w:color="000000"/>
              <w:bottom w:val="single" w:sz="4" w:space="0" w:color="000000"/>
            </w:tcBorders>
            <w:shd w:val="clear" w:color="auto" w:fill="auto"/>
            <w:vAlign w:val="bottom"/>
            <w:hideMark/>
          </w:tcPr>
          <w:p w14:paraId="7B859052" w14:textId="77777777" w:rsidR="00F904CC" w:rsidRPr="00F904CC" w:rsidRDefault="00F904CC" w:rsidP="00F904CC">
            <w:pPr>
              <w:suppressAutoHyphens w:val="0"/>
              <w:spacing w:before="40" w:after="40" w:line="220" w:lineRule="exact"/>
              <w:jc w:val="right"/>
              <w:rPr>
                <w:b/>
                <w:bCs/>
                <w:sz w:val="18"/>
                <w:szCs w:val="18"/>
                <w:lang w:eastAsia="zh-CN"/>
              </w:rPr>
            </w:pPr>
            <w:r w:rsidRPr="00F904CC">
              <w:rPr>
                <w:b/>
                <w:bCs/>
                <w:sz w:val="18"/>
                <w:szCs w:val="18"/>
                <w:lang w:eastAsia="zh-CN"/>
              </w:rPr>
              <w:t>69%</w:t>
            </w:r>
          </w:p>
        </w:tc>
      </w:tr>
      <w:tr w:rsidR="00F904CC" w:rsidRPr="00F904CC" w14:paraId="7D668460" w14:textId="77777777" w:rsidTr="00F904CC">
        <w:tc>
          <w:tcPr>
            <w:tcW w:w="4749" w:type="dxa"/>
            <w:tcBorders>
              <w:top w:val="single" w:sz="4" w:space="0" w:color="000000"/>
              <w:bottom w:val="single" w:sz="12" w:space="0" w:color="000000"/>
            </w:tcBorders>
            <w:shd w:val="clear" w:color="auto" w:fill="auto"/>
            <w:hideMark/>
          </w:tcPr>
          <w:p w14:paraId="3C6C0B54" w14:textId="77777777" w:rsidR="00F904CC" w:rsidRPr="00F904CC" w:rsidRDefault="00F904CC" w:rsidP="00F904CC">
            <w:pPr>
              <w:suppressAutoHyphens w:val="0"/>
              <w:spacing w:before="40" w:after="40" w:line="220" w:lineRule="exact"/>
              <w:rPr>
                <w:b/>
                <w:bCs/>
                <w:sz w:val="18"/>
                <w:szCs w:val="18"/>
                <w:lang w:eastAsia="zh-CN"/>
              </w:rPr>
            </w:pPr>
            <w:r w:rsidRPr="00F904CC">
              <w:rPr>
                <w:b/>
                <w:bCs/>
                <w:sz w:val="18"/>
                <w:szCs w:val="18"/>
                <w:lang w:eastAsia="zh-CN"/>
              </w:rPr>
              <w:t>3. The High-level Meeting on Transport, Health and Environment</w:t>
            </w:r>
          </w:p>
        </w:tc>
        <w:tc>
          <w:tcPr>
            <w:tcW w:w="718" w:type="dxa"/>
            <w:tcBorders>
              <w:top w:val="single" w:sz="4" w:space="0" w:color="000000"/>
              <w:bottom w:val="single" w:sz="12" w:space="0" w:color="000000"/>
            </w:tcBorders>
            <w:shd w:val="clear" w:color="auto" w:fill="auto"/>
            <w:vAlign w:val="bottom"/>
            <w:hideMark/>
          </w:tcPr>
          <w:p w14:paraId="17FB5F19" w14:textId="77777777" w:rsidR="00F904CC" w:rsidRPr="00F904CC" w:rsidRDefault="00F904CC" w:rsidP="00F904CC">
            <w:pPr>
              <w:suppressAutoHyphens w:val="0"/>
              <w:spacing w:before="40" w:after="40" w:line="220" w:lineRule="exact"/>
              <w:jc w:val="right"/>
              <w:rPr>
                <w:b/>
                <w:bCs/>
                <w:sz w:val="18"/>
                <w:szCs w:val="18"/>
                <w:lang w:eastAsia="zh-CN"/>
              </w:rPr>
            </w:pPr>
            <w:r w:rsidRPr="00F904CC">
              <w:rPr>
                <w:b/>
                <w:bCs/>
                <w:sz w:val="18"/>
                <w:szCs w:val="18"/>
                <w:lang w:eastAsia="zh-CN"/>
              </w:rPr>
              <w:t>3</w:t>
            </w:r>
          </w:p>
        </w:tc>
        <w:tc>
          <w:tcPr>
            <w:tcW w:w="695" w:type="dxa"/>
            <w:tcBorders>
              <w:top w:val="single" w:sz="4" w:space="0" w:color="000000"/>
              <w:bottom w:val="single" w:sz="12" w:space="0" w:color="000000"/>
            </w:tcBorders>
            <w:shd w:val="clear" w:color="auto" w:fill="auto"/>
            <w:vAlign w:val="bottom"/>
            <w:hideMark/>
          </w:tcPr>
          <w:p w14:paraId="217C03CC" w14:textId="77777777" w:rsidR="00F904CC" w:rsidRPr="00F904CC" w:rsidRDefault="00F904CC" w:rsidP="00F904CC">
            <w:pPr>
              <w:suppressAutoHyphens w:val="0"/>
              <w:spacing w:before="40" w:after="40" w:line="220" w:lineRule="exact"/>
              <w:jc w:val="right"/>
              <w:rPr>
                <w:b/>
                <w:bCs/>
                <w:sz w:val="18"/>
                <w:szCs w:val="18"/>
                <w:lang w:eastAsia="zh-CN"/>
              </w:rPr>
            </w:pPr>
            <w:r w:rsidRPr="00F904CC">
              <w:rPr>
                <w:b/>
                <w:bCs/>
                <w:sz w:val="18"/>
                <w:szCs w:val="18"/>
                <w:lang w:eastAsia="zh-CN"/>
              </w:rPr>
              <w:t>3</w:t>
            </w:r>
          </w:p>
        </w:tc>
        <w:tc>
          <w:tcPr>
            <w:tcW w:w="1208" w:type="dxa"/>
            <w:tcBorders>
              <w:top w:val="single" w:sz="4" w:space="0" w:color="000000"/>
              <w:bottom w:val="single" w:sz="12" w:space="0" w:color="000000"/>
            </w:tcBorders>
            <w:shd w:val="clear" w:color="auto" w:fill="auto"/>
            <w:vAlign w:val="bottom"/>
            <w:hideMark/>
          </w:tcPr>
          <w:p w14:paraId="2DAA680D" w14:textId="77777777" w:rsidR="00F904CC" w:rsidRPr="00F904CC" w:rsidRDefault="00F904CC" w:rsidP="00F904CC">
            <w:pPr>
              <w:suppressAutoHyphens w:val="0"/>
              <w:spacing w:before="40" w:after="40" w:line="220" w:lineRule="exact"/>
              <w:jc w:val="right"/>
              <w:rPr>
                <w:b/>
                <w:bCs/>
                <w:sz w:val="18"/>
                <w:szCs w:val="18"/>
                <w:lang w:eastAsia="zh-CN"/>
              </w:rPr>
            </w:pPr>
            <w:r w:rsidRPr="00F904CC">
              <w:rPr>
                <w:b/>
                <w:bCs/>
                <w:sz w:val="18"/>
                <w:szCs w:val="18"/>
                <w:lang w:eastAsia="zh-CN"/>
              </w:rPr>
              <w:t>100%</w:t>
            </w:r>
          </w:p>
        </w:tc>
      </w:tr>
    </w:tbl>
    <w:p w14:paraId="136FA295" w14:textId="6F468622" w:rsidR="005430F7" w:rsidRPr="005430F7" w:rsidRDefault="005430F7" w:rsidP="005430F7">
      <w:pPr>
        <w:spacing w:before="240"/>
        <w:jc w:val="center"/>
        <w:rPr>
          <w:u w:val="single"/>
        </w:rPr>
      </w:pPr>
      <w:r>
        <w:rPr>
          <w:u w:val="single"/>
        </w:rPr>
        <w:tab/>
      </w:r>
      <w:r>
        <w:rPr>
          <w:u w:val="single"/>
        </w:rPr>
        <w:tab/>
      </w:r>
      <w:r>
        <w:rPr>
          <w:u w:val="single"/>
        </w:rPr>
        <w:tab/>
      </w:r>
    </w:p>
    <w:sectPr w:rsidR="005430F7" w:rsidRPr="005430F7" w:rsidSect="00954785">
      <w:headerReference w:type="even" r:id="rId11"/>
      <w:headerReference w:type="default" r:id="rId12"/>
      <w:footerReference w:type="even" r:id="rId13"/>
      <w:footerReference w:type="default" r:id="rId14"/>
      <w:footerReference w:type="first" r:id="rId15"/>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4F527C" w14:textId="77777777" w:rsidR="002A7518" w:rsidRDefault="002A7518"/>
  </w:endnote>
  <w:endnote w:type="continuationSeparator" w:id="0">
    <w:p w14:paraId="0F9F0D08" w14:textId="77777777" w:rsidR="002A7518" w:rsidRDefault="002A7518"/>
  </w:endnote>
  <w:endnote w:type="continuationNotice" w:id="1">
    <w:p w14:paraId="6594E3F1" w14:textId="77777777" w:rsidR="002A7518" w:rsidRDefault="002A75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89935D" w14:textId="77777777" w:rsidR="00954785" w:rsidRPr="00954785" w:rsidRDefault="00954785" w:rsidP="00954785">
    <w:pPr>
      <w:pStyle w:val="Footer"/>
      <w:tabs>
        <w:tab w:val="right" w:pos="9638"/>
      </w:tabs>
      <w:rPr>
        <w:sz w:val="18"/>
      </w:rPr>
    </w:pPr>
    <w:r w:rsidRPr="00954785">
      <w:rPr>
        <w:b/>
        <w:sz w:val="18"/>
      </w:rPr>
      <w:fldChar w:fldCharType="begin"/>
    </w:r>
    <w:r w:rsidRPr="00954785">
      <w:rPr>
        <w:b/>
        <w:sz w:val="18"/>
      </w:rPr>
      <w:instrText xml:space="preserve"> PAGE  \* MERGEFORMAT </w:instrText>
    </w:r>
    <w:r w:rsidRPr="00954785">
      <w:rPr>
        <w:b/>
        <w:sz w:val="18"/>
      </w:rPr>
      <w:fldChar w:fldCharType="separate"/>
    </w:r>
    <w:r w:rsidRPr="00954785">
      <w:rPr>
        <w:b/>
        <w:noProof/>
        <w:sz w:val="18"/>
      </w:rPr>
      <w:t>2</w:t>
    </w:r>
    <w:r w:rsidRPr="00954785">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89935E" w14:textId="77777777" w:rsidR="00954785" w:rsidRPr="00954785" w:rsidRDefault="00954785" w:rsidP="00954785">
    <w:pPr>
      <w:pStyle w:val="Footer"/>
      <w:tabs>
        <w:tab w:val="right" w:pos="9638"/>
      </w:tabs>
      <w:rPr>
        <w:b/>
        <w:sz w:val="18"/>
      </w:rPr>
    </w:pPr>
    <w:r>
      <w:tab/>
    </w:r>
    <w:r w:rsidRPr="00954785">
      <w:rPr>
        <w:b/>
        <w:sz w:val="18"/>
      </w:rPr>
      <w:fldChar w:fldCharType="begin"/>
    </w:r>
    <w:r w:rsidRPr="00954785">
      <w:rPr>
        <w:b/>
        <w:sz w:val="18"/>
      </w:rPr>
      <w:instrText xml:space="preserve"> PAGE  \* MERGEFORMAT </w:instrText>
    </w:r>
    <w:r w:rsidRPr="00954785">
      <w:rPr>
        <w:b/>
        <w:sz w:val="18"/>
      </w:rPr>
      <w:fldChar w:fldCharType="separate"/>
    </w:r>
    <w:r w:rsidRPr="00954785">
      <w:rPr>
        <w:b/>
        <w:noProof/>
        <w:sz w:val="18"/>
      </w:rPr>
      <w:t>3</w:t>
    </w:r>
    <w:r w:rsidRPr="0095478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DEAED" w14:textId="3B557292" w:rsidR="00664DE1" w:rsidRDefault="00664DE1" w:rsidP="00664DE1">
    <w:pPr>
      <w:pStyle w:val="Footer"/>
    </w:pPr>
    <w:r w:rsidRPr="0027112F">
      <w:rPr>
        <w:noProof/>
        <w:lang w:val="en-US"/>
      </w:rPr>
      <w:drawing>
        <wp:anchor distT="0" distB="0" distL="114300" distR="114300" simplePos="0" relativeHeight="251659264" behindDoc="0" locked="1" layoutInCell="1" allowOverlap="1" wp14:anchorId="06CE8605" wp14:editId="3BF82FFB">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58192254" w14:textId="3ACF08EE" w:rsidR="00664DE1" w:rsidRPr="00664DE1" w:rsidRDefault="00664DE1" w:rsidP="00664DE1">
    <w:pPr>
      <w:pStyle w:val="Footer"/>
      <w:ind w:right="1134"/>
      <w:rPr>
        <w:sz w:val="20"/>
      </w:rPr>
    </w:pPr>
    <w:r>
      <w:rPr>
        <w:sz w:val="20"/>
      </w:rPr>
      <w:t>GE.21-18484(E)</w:t>
    </w:r>
    <w:r>
      <w:rPr>
        <w:noProof/>
        <w:sz w:val="20"/>
      </w:rPr>
      <w:drawing>
        <wp:anchor distT="0" distB="0" distL="114300" distR="114300" simplePos="0" relativeHeight="251660288" behindDoc="0" locked="0" layoutInCell="1" allowOverlap="1" wp14:anchorId="22CB3045" wp14:editId="0F448E16">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81F749" w14:textId="77777777" w:rsidR="002A7518" w:rsidRPr="000B175B" w:rsidRDefault="002A7518" w:rsidP="000B175B">
      <w:pPr>
        <w:tabs>
          <w:tab w:val="right" w:pos="2155"/>
        </w:tabs>
        <w:spacing w:after="80"/>
        <w:ind w:left="680"/>
        <w:rPr>
          <w:u w:val="single"/>
        </w:rPr>
      </w:pPr>
      <w:r>
        <w:rPr>
          <w:u w:val="single"/>
        </w:rPr>
        <w:tab/>
      </w:r>
    </w:p>
  </w:footnote>
  <w:footnote w:type="continuationSeparator" w:id="0">
    <w:p w14:paraId="21F8ADE8" w14:textId="77777777" w:rsidR="002A7518" w:rsidRPr="00FC68B7" w:rsidRDefault="002A7518" w:rsidP="00FC68B7">
      <w:pPr>
        <w:tabs>
          <w:tab w:val="left" w:pos="2155"/>
        </w:tabs>
        <w:spacing w:after="80"/>
        <w:ind w:left="680"/>
        <w:rPr>
          <w:u w:val="single"/>
        </w:rPr>
      </w:pPr>
      <w:r>
        <w:rPr>
          <w:u w:val="single"/>
        </w:rPr>
        <w:tab/>
      </w:r>
    </w:p>
  </w:footnote>
  <w:footnote w:type="continuationNotice" w:id="1">
    <w:p w14:paraId="60DF538E" w14:textId="77777777" w:rsidR="002A7518" w:rsidRDefault="002A7518"/>
  </w:footnote>
  <w:footnote w:id="2">
    <w:p w14:paraId="7FAA6E44" w14:textId="7D2EADEF" w:rsidR="00251CDF" w:rsidRPr="00F00B28" w:rsidRDefault="00251CDF" w:rsidP="00251CDF">
      <w:pPr>
        <w:pStyle w:val="FootnoteText"/>
        <w:rPr>
          <w:lang w:val="en-US"/>
        </w:rPr>
      </w:pPr>
      <w:r>
        <w:rPr>
          <w:rStyle w:val="FootnoteReference"/>
        </w:rPr>
        <w:tab/>
      </w:r>
      <w:r w:rsidRPr="00251CDF">
        <w:rPr>
          <w:rStyle w:val="FootnoteReference"/>
          <w:sz w:val="20"/>
          <w:vertAlign w:val="baseline"/>
        </w:rPr>
        <w:t>*</w:t>
      </w:r>
      <w:r>
        <w:rPr>
          <w:rStyle w:val="FootnoteReference"/>
          <w:sz w:val="20"/>
          <w:vertAlign w:val="baseline"/>
        </w:rPr>
        <w:tab/>
      </w:r>
      <w:r w:rsidRPr="00251CDF">
        <w:t>This document was scheduled for publication after the standard publication date owing to circumstances beyond the submitter's control.</w:t>
      </w:r>
    </w:p>
  </w:footnote>
  <w:footnote w:id="3">
    <w:p w14:paraId="6967A943" w14:textId="77777777" w:rsidR="005430F7" w:rsidRPr="00D922A0" w:rsidRDefault="005430F7" w:rsidP="005430F7">
      <w:pPr>
        <w:pStyle w:val="FootnoteText"/>
        <w:rPr>
          <w:lang w:val="en-US"/>
        </w:rPr>
      </w:pPr>
      <w:r>
        <w:tab/>
      </w:r>
      <w:r>
        <w:rPr>
          <w:rStyle w:val="FootnoteReference"/>
        </w:rPr>
        <w:footnoteRef/>
      </w:r>
      <w:r>
        <w:t xml:space="preserve"> </w:t>
      </w:r>
      <w:r>
        <w:tab/>
      </w:r>
      <w:r>
        <w:rPr>
          <w:lang w:val="en-US"/>
        </w:rPr>
        <w:t>Information correct at the time of preparation of this table; subject to further changes due to the fluid situation.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89935B" w14:textId="2F6B8AF2" w:rsidR="00954785" w:rsidRPr="00954785" w:rsidRDefault="00134B12">
    <w:pPr>
      <w:pStyle w:val="Header"/>
    </w:pPr>
    <w:r>
      <w:t>ECE/TRANS/2022/4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89935C" w14:textId="5CF9BCC6" w:rsidR="00954785" w:rsidRPr="00954785" w:rsidRDefault="00134B12" w:rsidP="00954785">
    <w:pPr>
      <w:pStyle w:val="Header"/>
      <w:jc w:val="right"/>
    </w:pPr>
    <w:r>
      <w:t>ECE/TRANS/2022/4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C7B41C0"/>
    <w:multiLevelType w:val="hybridMultilevel"/>
    <w:tmpl w:val="468E359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8" w15:restartNumberingAfterBreak="0">
    <w:nsid w:val="53482AA9"/>
    <w:multiLevelType w:val="hybridMultilevel"/>
    <w:tmpl w:val="915AB906"/>
    <w:lvl w:ilvl="0" w:tplc="08090001">
      <w:start w:val="1"/>
      <w:numFmt w:val="bullet"/>
      <w:lvlText w:val=""/>
      <w:lvlJc w:val="left"/>
      <w:pPr>
        <w:ind w:left="1900" w:hanging="360"/>
      </w:pPr>
      <w:rPr>
        <w:rFonts w:ascii="Symbol" w:hAnsi="Symbol" w:hint="default"/>
      </w:rPr>
    </w:lvl>
    <w:lvl w:ilvl="1" w:tplc="08090003" w:tentative="1">
      <w:start w:val="1"/>
      <w:numFmt w:val="bullet"/>
      <w:lvlText w:val="o"/>
      <w:lvlJc w:val="left"/>
      <w:pPr>
        <w:ind w:left="2620" w:hanging="360"/>
      </w:pPr>
      <w:rPr>
        <w:rFonts w:ascii="Courier New" w:hAnsi="Courier New" w:cs="Courier New" w:hint="default"/>
      </w:rPr>
    </w:lvl>
    <w:lvl w:ilvl="2" w:tplc="08090005" w:tentative="1">
      <w:start w:val="1"/>
      <w:numFmt w:val="bullet"/>
      <w:lvlText w:val=""/>
      <w:lvlJc w:val="left"/>
      <w:pPr>
        <w:ind w:left="3340" w:hanging="360"/>
      </w:pPr>
      <w:rPr>
        <w:rFonts w:ascii="Wingdings" w:hAnsi="Wingdings" w:hint="default"/>
      </w:rPr>
    </w:lvl>
    <w:lvl w:ilvl="3" w:tplc="08090001" w:tentative="1">
      <w:start w:val="1"/>
      <w:numFmt w:val="bullet"/>
      <w:lvlText w:val=""/>
      <w:lvlJc w:val="left"/>
      <w:pPr>
        <w:ind w:left="4060" w:hanging="360"/>
      </w:pPr>
      <w:rPr>
        <w:rFonts w:ascii="Symbol" w:hAnsi="Symbol" w:hint="default"/>
      </w:rPr>
    </w:lvl>
    <w:lvl w:ilvl="4" w:tplc="08090003" w:tentative="1">
      <w:start w:val="1"/>
      <w:numFmt w:val="bullet"/>
      <w:lvlText w:val="o"/>
      <w:lvlJc w:val="left"/>
      <w:pPr>
        <w:ind w:left="4780" w:hanging="360"/>
      </w:pPr>
      <w:rPr>
        <w:rFonts w:ascii="Courier New" w:hAnsi="Courier New" w:cs="Courier New" w:hint="default"/>
      </w:rPr>
    </w:lvl>
    <w:lvl w:ilvl="5" w:tplc="08090005" w:tentative="1">
      <w:start w:val="1"/>
      <w:numFmt w:val="bullet"/>
      <w:lvlText w:val=""/>
      <w:lvlJc w:val="left"/>
      <w:pPr>
        <w:ind w:left="5500" w:hanging="360"/>
      </w:pPr>
      <w:rPr>
        <w:rFonts w:ascii="Wingdings" w:hAnsi="Wingdings" w:hint="default"/>
      </w:rPr>
    </w:lvl>
    <w:lvl w:ilvl="6" w:tplc="08090001" w:tentative="1">
      <w:start w:val="1"/>
      <w:numFmt w:val="bullet"/>
      <w:lvlText w:val=""/>
      <w:lvlJc w:val="left"/>
      <w:pPr>
        <w:ind w:left="6220" w:hanging="360"/>
      </w:pPr>
      <w:rPr>
        <w:rFonts w:ascii="Symbol" w:hAnsi="Symbol" w:hint="default"/>
      </w:rPr>
    </w:lvl>
    <w:lvl w:ilvl="7" w:tplc="08090003" w:tentative="1">
      <w:start w:val="1"/>
      <w:numFmt w:val="bullet"/>
      <w:lvlText w:val="o"/>
      <w:lvlJc w:val="left"/>
      <w:pPr>
        <w:ind w:left="6940" w:hanging="360"/>
      </w:pPr>
      <w:rPr>
        <w:rFonts w:ascii="Courier New" w:hAnsi="Courier New" w:cs="Courier New" w:hint="default"/>
      </w:rPr>
    </w:lvl>
    <w:lvl w:ilvl="8" w:tplc="08090005" w:tentative="1">
      <w:start w:val="1"/>
      <w:numFmt w:val="bullet"/>
      <w:lvlText w:val=""/>
      <w:lvlJc w:val="left"/>
      <w:pPr>
        <w:ind w:left="7660" w:hanging="360"/>
      </w:pPr>
      <w:rPr>
        <w:rFonts w:ascii="Wingdings" w:hAnsi="Wingdings" w:hint="default"/>
      </w:rPr>
    </w:lvl>
  </w:abstractNum>
  <w:abstractNum w:abstractNumId="1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9"/>
  </w:num>
  <w:num w:numId="18">
    <w:abstractNumId w:val="20"/>
  </w:num>
  <w:num w:numId="19">
    <w:abstractNumId w:val="11"/>
  </w:num>
  <w:num w:numId="20">
    <w:abstractNumId w:val="18"/>
  </w:num>
  <w:num w:numId="21">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8"/>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785"/>
    <w:rsid w:val="00002A7D"/>
    <w:rsid w:val="000038A8"/>
    <w:rsid w:val="00006790"/>
    <w:rsid w:val="00027624"/>
    <w:rsid w:val="00050F6B"/>
    <w:rsid w:val="00064C41"/>
    <w:rsid w:val="000678CD"/>
    <w:rsid w:val="00072C8C"/>
    <w:rsid w:val="00081CE0"/>
    <w:rsid w:val="00084D30"/>
    <w:rsid w:val="00090320"/>
    <w:rsid w:val="000931C0"/>
    <w:rsid w:val="000A2E09"/>
    <w:rsid w:val="000B175B"/>
    <w:rsid w:val="000B3A0F"/>
    <w:rsid w:val="000D79E4"/>
    <w:rsid w:val="000E0415"/>
    <w:rsid w:val="000F7715"/>
    <w:rsid w:val="00134B12"/>
    <w:rsid w:val="00141A5A"/>
    <w:rsid w:val="00156B99"/>
    <w:rsid w:val="00166124"/>
    <w:rsid w:val="00184DDA"/>
    <w:rsid w:val="00186BF7"/>
    <w:rsid w:val="001900CD"/>
    <w:rsid w:val="001A0452"/>
    <w:rsid w:val="001B4B04"/>
    <w:rsid w:val="001B5875"/>
    <w:rsid w:val="001B7F86"/>
    <w:rsid w:val="001C4B9C"/>
    <w:rsid w:val="001C6663"/>
    <w:rsid w:val="001C7895"/>
    <w:rsid w:val="001D26DF"/>
    <w:rsid w:val="001F1599"/>
    <w:rsid w:val="001F19C4"/>
    <w:rsid w:val="001F5316"/>
    <w:rsid w:val="002043F0"/>
    <w:rsid w:val="002119C6"/>
    <w:rsid w:val="00211E0B"/>
    <w:rsid w:val="0022137B"/>
    <w:rsid w:val="00231128"/>
    <w:rsid w:val="00232575"/>
    <w:rsid w:val="00247258"/>
    <w:rsid w:val="00250503"/>
    <w:rsid w:val="00251CDF"/>
    <w:rsid w:val="00256D64"/>
    <w:rsid w:val="00257CAC"/>
    <w:rsid w:val="0027237A"/>
    <w:rsid w:val="002974E9"/>
    <w:rsid w:val="002A7518"/>
    <w:rsid w:val="002A7F94"/>
    <w:rsid w:val="002B109A"/>
    <w:rsid w:val="002C6D45"/>
    <w:rsid w:val="002D6E53"/>
    <w:rsid w:val="002F046D"/>
    <w:rsid w:val="002F3023"/>
    <w:rsid w:val="00301764"/>
    <w:rsid w:val="003034A9"/>
    <w:rsid w:val="003229D8"/>
    <w:rsid w:val="00336C97"/>
    <w:rsid w:val="00337F88"/>
    <w:rsid w:val="00342432"/>
    <w:rsid w:val="0035223F"/>
    <w:rsid w:val="00352D4B"/>
    <w:rsid w:val="0035638C"/>
    <w:rsid w:val="00374ECF"/>
    <w:rsid w:val="0039451F"/>
    <w:rsid w:val="003A46BB"/>
    <w:rsid w:val="003A4EC7"/>
    <w:rsid w:val="003A7295"/>
    <w:rsid w:val="003B1F60"/>
    <w:rsid w:val="003C2CC4"/>
    <w:rsid w:val="003C359D"/>
    <w:rsid w:val="003D4B23"/>
    <w:rsid w:val="003E278A"/>
    <w:rsid w:val="003F4176"/>
    <w:rsid w:val="0040185F"/>
    <w:rsid w:val="00413520"/>
    <w:rsid w:val="004325CB"/>
    <w:rsid w:val="00440A07"/>
    <w:rsid w:val="00462880"/>
    <w:rsid w:val="00476F24"/>
    <w:rsid w:val="004923A8"/>
    <w:rsid w:val="004C55B0"/>
    <w:rsid w:val="004D2755"/>
    <w:rsid w:val="004E3474"/>
    <w:rsid w:val="004F6BA0"/>
    <w:rsid w:val="00503BEA"/>
    <w:rsid w:val="005051FB"/>
    <w:rsid w:val="00526898"/>
    <w:rsid w:val="00533616"/>
    <w:rsid w:val="00535ABA"/>
    <w:rsid w:val="0053768B"/>
    <w:rsid w:val="005420F2"/>
    <w:rsid w:val="0054285C"/>
    <w:rsid w:val="005430F7"/>
    <w:rsid w:val="00566F8D"/>
    <w:rsid w:val="00576DDB"/>
    <w:rsid w:val="00584173"/>
    <w:rsid w:val="00595099"/>
    <w:rsid w:val="00595520"/>
    <w:rsid w:val="005A1769"/>
    <w:rsid w:val="005A44B9"/>
    <w:rsid w:val="005B1BA0"/>
    <w:rsid w:val="005B3DB3"/>
    <w:rsid w:val="005C2198"/>
    <w:rsid w:val="005D15CA"/>
    <w:rsid w:val="005E32B5"/>
    <w:rsid w:val="005F08DF"/>
    <w:rsid w:val="005F3066"/>
    <w:rsid w:val="005F3E61"/>
    <w:rsid w:val="00604DDD"/>
    <w:rsid w:val="006115CC"/>
    <w:rsid w:val="00611FC4"/>
    <w:rsid w:val="006176FB"/>
    <w:rsid w:val="00617883"/>
    <w:rsid w:val="00620F69"/>
    <w:rsid w:val="00630FCB"/>
    <w:rsid w:val="00640B26"/>
    <w:rsid w:val="0065766B"/>
    <w:rsid w:val="00664DE1"/>
    <w:rsid w:val="006770B2"/>
    <w:rsid w:val="00686A48"/>
    <w:rsid w:val="006940E1"/>
    <w:rsid w:val="006A3C72"/>
    <w:rsid w:val="006A7392"/>
    <w:rsid w:val="006B03A1"/>
    <w:rsid w:val="006B3ABA"/>
    <w:rsid w:val="006B67D9"/>
    <w:rsid w:val="006B788D"/>
    <w:rsid w:val="006C5535"/>
    <w:rsid w:val="006D0589"/>
    <w:rsid w:val="006E564B"/>
    <w:rsid w:val="006E7154"/>
    <w:rsid w:val="006F2D59"/>
    <w:rsid w:val="007003CD"/>
    <w:rsid w:val="0070701E"/>
    <w:rsid w:val="00713152"/>
    <w:rsid w:val="0072632A"/>
    <w:rsid w:val="007358E8"/>
    <w:rsid w:val="00736ECE"/>
    <w:rsid w:val="0074533B"/>
    <w:rsid w:val="007643BC"/>
    <w:rsid w:val="00765FAF"/>
    <w:rsid w:val="00780C68"/>
    <w:rsid w:val="00795386"/>
    <w:rsid w:val="007959FE"/>
    <w:rsid w:val="007A0CF1"/>
    <w:rsid w:val="007A2C8E"/>
    <w:rsid w:val="007B6BA5"/>
    <w:rsid w:val="007C3390"/>
    <w:rsid w:val="007C42D8"/>
    <w:rsid w:val="007C4F4B"/>
    <w:rsid w:val="007D7362"/>
    <w:rsid w:val="007F33B7"/>
    <w:rsid w:val="007F5CE2"/>
    <w:rsid w:val="007F6611"/>
    <w:rsid w:val="00810BAC"/>
    <w:rsid w:val="00815316"/>
    <w:rsid w:val="008175E9"/>
    <w:rsid w:val="008242D7"/>
    <w:rsid w:val="0082577B"/>
    <w:rsid w:val="008304E1"/>
    <w:rsid w:val="00866893"/>
    <w:rsid w:val="00866F02"/>
    <w:rsid w:val="00867D18"/>
    <w:rsid w:val="00871F9A"/>
    <w:rsid w:val="00871FD5"/>
    <w:rsid w:val="00872533"/>
    <w:rsid w:val="0088172E"/>
    <w:rsid w:val="00881EFA"/>
    <w:rsid w:val="008879CB"/>
    <w:rsid w:val="008979B1"/>
    <w:rsid w:val="008A6B25"/>
    <w:rsid w:val="008A6C4F"/>
    <w:rsid w:val="008B389E"/>
    <w:rsid w:val="008C6230"/>
    <w:rsid w:val="008D045E"/>
    <w:rsid w:val="008D3F25"/>
    <w:rsid w:val="008D4D82"/>
    <w:rsid w:val="008E0E46"/>
    <w:rsid w:val="008E7116"/>
    <w:rsid w:val="008F143B"/>
    <w:rsid w:val="008F3882"/>
    <w:rsid w:val="008F4B7C"/>
    <w:rsid w:val="0090235E"/>
    <w:rsid w:val="00926E47"/>
    <w:rsid w:val="00943748"/>
    <w:rsid w:val="00947162"/>
    <w:rsid w:val="00954785"/>
    <w:rsid w:val="009610D0"/>
    <w:rsid w:val="0096375C"/>
    <w:rsid w:val="009662E6"/>
    <w:rsid w:val="009679D0"/>
    <w:rsid w:val="0097095E"/>
    <w:rsid w:val="0098592B"/>
    <w:rsid w:val="00985FC4"/>
    <w:rsid w:val="0098657C"/>
    <w:rsid w:val="00990766"/>
    <w:rsid w:val="00991261"/>
    <w:rsid w:val="009964C4"/>
    <w:rsid w:val="009A7B81"/>
    <w:rsid w:val="009D01C0"/>
    <w:rsid w:val="009D6A08"/>
    <w:rsid w:val="009E0A16"/>
    <w:rsid w:val="009E6CB7"/>
    <w:rsid w:val="009E7970"/>
    <w:rsid w:val="009F2EAC"/>
    <w:rsid w:val="009F57E3"/>
    <w:rsid w:val="00A06F27"/>
    <w:rsid w:val="00A10F4F"/>
    <w:rsid w:val="00A11067"/>
    <w:rsid w:val="00A1704A"/>
    <w:rsid w:val="00A302B8"/>
    <w:rsid w:val="00A425EB"/>
    <w:rsid w:val="00A472B9"/>
    <w:rsid w:val="00A72F22"/>
    <w:rsid w:val="00A733BC"/>
    <w:rsid w:val="00A748A6"/>
    <w:rsid w:val="00A76A69"/>
    <w:rsid w:val="00A86A43"/>
    <w:rsid w:val="00A879A4"/>
    <w:rsid w:val="00AA0FF8"/>
    <w:rsid w:val="00AC0F2C"/>
    <w:rsid w:val="00AC3F16"/>
    <w:rsid w:val="00AC502A"/>
    <w:rsid w:val="00AC5F5D"/>
    <w:rsid w:val="00AD1A66"/>
    <w:rsid w:val="00AD234F"/>
    <w:rsid w:val="00AF58C1"/>
    <w:rsid w:val="00B04A3F"/>
    <w:rsid w:val="00B06643"/>
    <w:rsid w:val="00B1378B"/>
    <w:rsid w:val="00B15055"/>
    <w:rsid w:val="00B20551"/>
    <w:rsid w:val="00B30179"/>
    <w:rsid w:val="00B33FC7"/>
    <w:rsid w:val="00B37B15"/>
    <w:rsid w:val="00B45C02"/>
    <w:rsid w:val="00B70B63"/>
    <w:rsid w:val="00B72A1E"/>
    <w:rsid w:val="00B80B71"/>
    <w:rsid w:val="00B81E12"/>
    <w:rsid w:val="00BA339B"/>
    <w:rsid w:val="00BB23CC"/>
    <w:rsid w:val="00BC109C"/>
    <w:rsid w:val="00BC1E7E"/>
    <w:rsid w:val="00BC74E9"/>
    <w:rsid w:val="00BE36A9"/>
    <w:rsid w:val="00BE618E"/>
    <w:rsid w:val="00BE7A2E"/>
    <w:rsid w:val="00BE7BEC"/>
    <w:rsid w:val="00BF0A5A"/>
    <w:rsid w:val="00BF0E63"/>
    <w:rsid w:val="00BF12A3"/>
    <w:rsid w:val="00BF16D7"/>
    <w:rsid w:val="00BF2373"/>
    <w:rsid w:val="00C044E2"/>
    <w:rsid w:val="00C048CB"/>
    <w:rsid w:val="00C066F3"/>
    <w:rsid w:val="00C45C24"/>
    <w:rsid w:val="00C463DD"/>
    <w:rsid w:val="00C70947"/>
    <w:rsid w:val="00C745C3"/>
    <w:rsid w:val="00C978F5"/>
    <w:rsid w:val="00CA24A4"/>
    <w:rsid w:val="00CB0EAD"/>
    <w:rsid w:val="00CB348D"/>
    <w:rsid w:val="00CB42AE"/>
    <w:rsid w:val="00CD3488"/>
    <w:rsid w:val="00CD46F5"/>
    <w:rsid w:val="00CE4A8F"/>
    <w:rsid w:val="00CF071D"/>
    <w:rsid w:val="00CF331B"/>
    <w:rsid w:val="00D0123D"/>
    <w:rsid w:val="00D15B04"/>
    <w:rsid w:val="00D17694"/>
    <w:rsid w:val="00D2031B"/>
    <w:rsid w:val="00D25FE2"/>
    <w:rsid w:val="00D34FDA"/>
    <w:rsid w:val="00D37DA9"/>
    <w:rsid w:val="00D406A7"/>
    <w:rsid w:val="00D43252"/>
    <w:rsid w:val="00D44D86"/>
    <w:rsid w:val="00D50B7D"/>
    <w:rsid w:val="00D52012"/>
    <w:rsid w:val="00D704E5"/>
    <w:rsid w:val="00D72727"/>
    <w:rsid w:val="00D83C37"/>
    <w:rsid w:val="00D842B8"/>
    <w:rsid w:val="00D91676"/>
    <w:rsid w:val="00D9391B"/>
    <w:rsid w:val="00D978C6"/>
    <w:rsid w:val="00DA0956"/>
    <w:rsid w:val="00DA357F"/>
    <w:rsid w:val="00DA3E12"/>
    <w:rsid w:val="00DA674A"/>
    <w:rsid w:val="00DA6F43"/>
    <w:rsid w:val="00DC18AD"/>
    <w:rsid w:val="00DF7CAE"/>
    <w:rsid w:val="00E07235"/>
    <w:rsid w:val="00E11BD6"/>
    <w:rsid w:val="00E30B03"/>
    <w:rsid w:val="00E36CF5"/>
    <w:rsid w:val="00E423C0"/>
    <w:rsid w:val="00E63960"/>
    <w:rsid w:val="00E6414C"/>
    <w:rsid w:val="00E7260F"/>
    <w:rsid w:val="00E826E9"/>
    <w:rsid w:val="00E8702D"/>
    <w:rsid w:val="00E905F4"/>
    <w:rsid w:val="00E916A9"/>
    <w:rsid w:val="00E916DE"/>
    <w:rsid w:val="00E925AD"/>
    <w:rsid w:val="00E9506C"/>
    <w:rsid w:val="00E96630"/>
    <w:rsid w:val="00EA2B64"/>
    <w:rsid w:val="00ED18DC"/>
    <w:rsid w:val="00ED6201"/>
    <w:rsid w:val="00ED7A2A"/>
    <w:rsid w:val="00EF1D7F"/>
    <w:rsid w:val="00EF33DF"/>
    <w:rsid w:val="00EF459A"/>
    <w:rsid w:val="00F00B28"/>
    <w:rsid w:val="00F0137E"/>
    <w:rsid w:val="00F060D1"/>
    <w:rsid w:val="00F12306"/>
    <w:rsid w:val="00F12D70"/>
    <w:rsid w:val="00F21786"/>
    <w:rsid w:val="00F3742B"/>
    <w:rsid w:val="00F41FDB"/>
    <w:rsid w:val="00F56D63"/>
    <w:rsid w:val="00F609A9"/>
    <w:rsid w:val="00F65422"/>
    <w:rsid w:val="00F666A1"/>
    <w:rsid w:val="00F80C99"/>
    <w:rsid w:val="00F82481"/>
    <w:rsid w:val="00F867EC"/>
    <w:rsid w:val="00F904CC"/>
    <w:rsid w:val="00F91B2B"/>
    <w:rsid w:val="00FB22A2"/>
    <w:rsid w:val="00FC03CD"/>
    <w:rsid w:val="00FC0595"/>
    <w:rsid w:val="00FC0646"/>
    <w:rsid w:val="00FC68B7"/>
    <w:rsid w:val="00FD78EB"/>
    <w:rsid w:val="00FE6985"/>
    <w:rsid w:val="00FF02F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60899343"/>
  <w15:docId w15:val="{4FD638F1-0A27-40B9-B063-4C3B44E23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8304E1"/>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304E1"/>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815316"/>
    <w:pPr>
      <w:numPr>
        <w:numId w:val="19"/>
      </w:numPr>
      <w:suppressAutoHyphens w:val="0"/>
    </w:pPr>
  </w:style>
  <w:style w:type="character" w:customStyle="1" w:styleId="HChGChar">
    <w:name w:val="_ H _Ch_G Char"/>
    <w:link w:val="HChG"/>
    <w:rsid w:val="00250503"/>
    <w:rPr>
      <w:b/>
      <w:sz w:val="28"/>
      <w:lang w:val="en-GB"/>
    </w:rPr>
  </w:style>
  <w:style w:type="character" w:customStyle="1" w:styleId="FootnoteTextChar">
    <w:name w:val="Footnote Text Char"/>
    <w:aliases w:val="5_G Char"/>
    <w:link w:val="FootnoteText"/>
    <w:rsid w:val="00250503"/>
    <w:rPr>
      <w:sz w:val="18"/>
      <w:lang w:val="en-GB"/>
    </w:rPr>
  </w:style>
  <w:style w:type="character" w:styleId="UnresolvedMention">
    <w:name w:val="Unresolved Mention"/>
    <w:basedOn w:val="DefaultParagraphFont"/>
    <w:uiPriority w:val="99"/>
    <w:semiHidden/>
    <w:unhideWhenUsed/>
    <w:rsid w:val="00FD78EB"/>
    <w:rPr>
      <w:color w:val="605E5C"/>
      <w:shd w:val="clear" w:color="auto" w:fill="E1DFDD"/>
    </w:rPr>
  </w:style>
  <w:style w:type="character" w:customStyle="1" w:styleId="SingleTxtGChar">
    <w:name w:val="_ Single Txt_G Char"/>
    <w:link w:val="SingleTxtG"/>
    <w:rsid w:val="005430F7"/>
    <w:rPr>
      <w:lang w:val="en-GB"/>
    </w:rPr>
  </w:style>
  <w:style w:type="character" w:customStyle="1" w:styleId="H1GChar">
    <w:name w:val="_ H_1_G Char"/>
    <w:link w:val="H1G"/>
    <w:rsid w:val="005430F7"/>
    <w:rPr>
      <w:b/>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266800">
      <w:bodyDiv w:val="1"/>
      <w:marLeft w:val="0"/>
      <w:marRight w:val="0"/>
      <w:marTop w:val="0"/>
      <w:marBottom w:val="0"/>
      <w:divBdr>
        <w:top w:val="none" w:sz="0" w:space="0" w:color="auto"/>
        <w:left w:val="none" w:sz="0" w:space="0" w:color="auto"/>
        <w:bottom w:val="none" w:sz="0" w:space="0" w:color="auto"/>
        <w:right w:val="none" w:sz="0" w:space="0" w:color="auto"/>
      </w:divBdr>
    </w:div>
    <w:div w:id="988633613">
      <w:bodyDiv w:val="1"/>
      <w:marLeft w:val="0"/>
      <w:marRight w:val="0"/>
      <w:marTop w:val="0"/>
      <w:marBottom w:val="0"/>
      <w:divBdr>
        <w:top w:val="none" w:sz="0" w:space="0" w:color="auto"/>
        <w:left w:val="none" w:sz="0" w:space="0" w:color="auto"/>
        <w:bottom w:val="none" w:sz="0" w:space="0" w:color="auto"/>
        <w:right w:val="none" w:sz="0" w:space="0" w:color="auto"/>
      </w:divBdr>
    </w:div>
    <w:div w:id="1613366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84AA40-CF27-4C5F-AD5D-75D429EED8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E86059-684F-420E-8F97-DA076358C9D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44798AB-F688-433E-80C7-B3E9554C39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2291</Words>
  <Characters>11874</Characters>
  <Application>Microsoft Office Word</Application>
  <DocSecurity>0</DocSecurity>
  <Lines>632</Lines>
  <Paragraphs>402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ECE/TRANS/2022/4</vt:lpstr>
      <vt:lpstr/>
    </vt:vector>
  </TitlesOfParts>
  <Company>CSD</Company>
  <LinksUpToDate>false</LinksUpToDate>
  <CharactersWithSpaces>13822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ECE/TRANS/2022/4</dc:title>
  <dc:subject>2118484</dc:subject>
  <dc:creator>Anastasia Barinova</dc:creator>
  <cp:keywords/>
  <dc:description/>
  <cp:lastModifiedBy>Cristina BRIGOLI</cp:lastModifiedBy>
  <cp:revision>2</cp:revision>
  <cp:lastPrinted>2021-12-09T13:48:00Z</cp:lastPrinted>
  <dcterms:created xsi:type="dcterms:W3CDTF">2022-01-18T08:24:00Z</dcterms:created>
  <dcterms:modified xsi:type="dcterms:W3CDTF">2022-01-18T08:24:00Z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3033600</vt:r8>
  </property>
</Properties>
</file>