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592B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F494C5" w14:textId="77777777" w:rsidR="002D5AAC" w:rsidRDefault="002D5AAC" w:rsidP="008357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FC52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E604F6" w14:textId="4A0D07C8" w:rsidR="002D5AAC" w:rsidRDefault="00835727" w:rsidP="00835727">
            <w:pPr>
              <w:jc w:val="right"/>
            </w:pPr>
            <w:r w:rsidRPr="00835727">
              <w:rPr>
                <w:sz w:val="40"/>
              </w:rPr>
              <w:t>ECE</w:t>
            </w:r>
            <w:r>
              <w:t>/TRANS/2022/29</w:t>
            </w:r>
          </w:p>
        </w:tc>
      </w:tr>
      <w:tr w:rsidR="002D5AAC" w:rsidRPr="00597463" w14:paraId="7E0D86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9C1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CAB747" wp14:editId="33E5E5E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A8AC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E207ED" w14:textId="77777777" w:rsidR="002D5AAC" w:rsidRDefault="008357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EFA653" w14:textId="77777777" w:rsidR="00835727" w:rsidRDefault="00835727" w:rsidP="008357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2021</w:t>
            </w:r>
          </w:p>
          <w:p w14:paraId="3E3925E3" w14:textId="77777777" w:rsidR="00835727" w:rsidRDefault="00835727" w:rsidP="008357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DBEC85" w14:textId="1508E31B" w:rsidR="00835727" w:rsidRPr="008D53B6" w:rsidRDefault="00835727" w:rsidP="008357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F57FC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795C5F" w14:textId="77777777" w:rsidR="00835727" w:rsidRPr="00E634EA" w:rsidRDefault="00835727" w:rsidP="00835727">
      <w:pPr>
        <w:spacing w:before="120"/>
        <w:rPr>
          <w:sz w:val="28"/>
          <w:szCs w:val="28"/>
        </w:rPr>
      </w:pPr>
      <w:r w:rsidRPr="00E634EA">
        <w:rPr>
          <w:sz w:val="28"/>
          <w:szCs w:val="28"/>
        </w:rPr>
        <w:t>Комитет по внутреннему транспорту</w:t>
      </w:r>
    </w:p>
    <w:p w14:paraId="44D985A6" w14:textId="77777777" w:rsidR="00835727" w:rsidRPr="00E634EA" w:rsidRDefault="00835727" w:rsidP="00835727">
      <w:pPr>
        <w:spacing w:before="120"/>
        <w:rPr>
          <w:b/>
          <w:bCs/>
        </w:rPr>
      </w:pPr>
      <w:r w:rsidRPr="00E634EA">
        <w:rPr>
          <w:b/>
          <w:bCs/>
        </w:rPr>
        <w:t>Восемьдесят четвертая сессия</w:t>
      </w:r>
    </w:p>
    <w:p w14:paraId="67E902AD" w14:textId="77777777" w:rsidR="00835727" w:rsidRPr="00E634EA" w:rsidRDefault="00835727" w:rsidP="00835727">
      <w:r w:rsidRPr="00E634EA">
        <w:t xml:space="preserve">Женева, 22‒25 февраля 2022 года </w:t>
      </w:r>
    </w:p>
    <w:p w14:paraId="71188AB9" w14:textId="77777777" w:rsidR="00835727" w:rsidRPr="00E634EA" w:rsidRDefault="00835727" w:rsidP="00835727">
      <w:r w:rsidRPr="00E634EA">
        <w:t xml:space="preserve">Пункт 14 предварительной повестки дня </w:t>
      </w:r>
    </w:p>
    <w:p w14:paraId="558EE047" w14:textId="50CEE705" w:rsidR="00835727" w:rsidRPr="00E634EA" w:rsidRDefault="00835727" w:rsidP="00835727">
      <w:pPr>
        <w:tabs>
          <w:tab w:val="left" w:pos="4820"/>
        </w:tabs>
        <w:rPr>
          <w:b/>
          <w:bCs/>
        </w:rPr>
      </w:pPr>
      <w:r w:rsidRPr="00E634EA">
        <w:rPr>
          <w:b/>
          <w:bCs/>
        </w:rPr>
        <w:t xml:space="preserve">Тема круглого стола: «На пути к обеспечению </w:t>
      </w:r>
      <w:r>
        <w:rPr>
          <w:b/>
          <w:bCs/>
        </w:rPr>
        <w:br/>
      </w:r>
      <w:r w:rsidRPr="00E634EA">
        <w:rPr>
          <w:b/>
          <w:bCs/>
        </w:rPr>
        <w:t xml:space="preserve">устойчивого и полного восстановления в период </w:t>
      </w:r>
      <w:r>
        <w:rPr>
          <w:b/>
          <w:bCs/>
        </w:rPr>
        <w:br/>
      </w:r>
      <w:r w:rsidRPr="00E634EA">
        <w:rPr>
          <w:b/>
          <w:bCs/>
        </w:rPr>
        <w:t xml:space="preserve">после COVID-19: инициатива в области внутреннего </w:t>
      </w:r>
      <w:r>
        <w:rPr>
          <w:b/>
          <w:bCs/>
        </w:rPr>
        <w:br/>
      </w:r>
      <w:r w:rsidRPr="00E634EA">
        <w:rPr>
          <w:b/>
          <w:bCs/>
        </w:rPr>
        <w:t xml:space="preserve">транспорта и роль Комитета» </w:t>
      </w:r>
    </w:p>
    <w:p w14:paraId="653EF469" w14:textId="39CFFA64" w:rsidR="00835727" w:rsidRPr="00E634EA" w:rsidRDefault="00835727" w:rsidP="00835727">
      <w:pPr>
        <w:pStyle w:val="HChG"/>
      </w:pPr>
      <w:r w:rsidRPr="00E634EA">
        <w:tab/>
      </w:r>
      <w:r w:rsidRPr="00E634EA">
        <w:tab/>
      </w:r>
      <w:r w:rsidRPr="00E634EA">
        <w:rPr>
          <w:bCs/>
        </w:rPr>
        <w:t>Концептуальная записка по круглому столу, организуемому КВТ в 202</w:t>
      </w:r>
      <w:r w:rsidR="00597463" w:rsidRPr="00597463">
        <w:rPr>
          <w:bCs/>
        </w:rPr>
        <w:t>2</w:t>
      </w:r>
      <w:r w:rsidRPr="00E634EA">
        <w:rPr>
          <w:bCs/>
        </w:rPr>
        <w:t xml:space="preserve"> году, на тему: «На пути к</w:t>
      </w:r>
      <w:r>
        <w:rPr>
          <w:bCs/>
          <w:lang w:val="en-US"/>
        </w:rPr>
        <w:t> </w:t>
      </w:r>
      <w:r w:rsidRPr="00E634EA">
        <w:rPr>
          <w:bCs/>
        </w:rPr>
        <w:t>обеспечению устойчивого и полного восстановления в</w:t>
      </w:r>
      <w:r>
        <w:rPr>
          <w:bCs/>
          <w:lang w:val="en-US"/>
        </w:rPr>
        <w:t> </w:t>
      </w:r>
      <w:r w:rsidRPr="00E634EA">
        <w:rPr>
          <w:bCs/>
        </w:rPr>
        <w:t>период после COVID-19: инициатива в области внутреннего транспорта и роль Комитета»</w:t>
      </w:r>
    </w:p>
    <w:p w14:paraId="3B333A35" w14:textId="77777777" w:rsidR="00835727" w:rsidRPr="00E634EA" w:rsidRDefault="00835727" w:rsidP="00835727">
      <w:pPr>
        <w:pStyle w:val="H1G"/>
      </w:pPr>
      <w:r w:rsidRPr="00E634EA">
        <w:tab/>
      </w:r>
      <w:r w:rsidRPr="00E634EA">
        <w:tab/>
      </w:r>
      <w:r w:rsidRPr="00E634EA">
        <w:rPr>
          <w:bCs/>
        </w:rPr>
        <w:t>Записка секретариата</w:t>
      </w:r>
    </w:p>
    <w:p w14:paraId="374CE9D5" w14:textId="77777777" w:rsidR="00835727" w:rsidRPr="00835727" w:rsidRDefault="00835727" w:rsidP="00835727">
      <w:pPr>
        <w:pStyle w:val="HChG"/>
      </w:pPr>
      <w:r w:rsidRPr="00E634EA">
        <w:tab/>
        <w:t>I.</w:t>
      </w:r>
      <w:r w:rsidRPr="00E634EA">
        <w:tab/>
        <w:t>Введение</w:t>
      </w:r>
    </w:p>
    <w:p w14:paraId="1CB35D68" w14:textId="77777777" w:rsidR="00835727" w:rsidRPr="00E634EA" w:rsidRDefault="00835727" w:rsidP="00835727">
      <w:pPr>
        <w:pStyle w:val="SingleTxtG"/>
      </w:pPr>
      <w:r w:rsidRPr="00E634EA">
        <w:t>1.</w:t>
      </w:r>
      <w:r w:rsidRPr="00E634EA">
        <w:tab/>
        <w:t>В ходе своих восемьдесят третьей (25–28 февраля 2020 года) и восемьдесят четвертой (23–26 февраля 2021 года) пленарных сессий Комитет по внутреннему транспорту (КВТ) взял на себя руководящую роль в содействии формированию консенсуса в отношении ведущей роли транспорта в глобальном процессе восстановления после пандемии и укреплении устойчивости к кризисам в будущем, в том числе путем одобрения Министерской резолюции «Укрепление надежной связанности внутреннего транспорта в чрезвычайных ситуациях: настоятельный призыв к согласованным действиям» (ECE/TRANS/304, приложение I).</w:t>
      </w:r>
    </w:p>
    <w:p w14:paraId="28132E22" w14:textId="1834E1B9" w:rsidR="00835727" w:rsidRPr="00E634EA" w:rsidRDefault="00835727" w:rsidP="00835727">
      <w:pPr>
        <w:pStyle w:val="SingleTxtG"/>
      </w:pPr>
      <w:r w:rsidRPr="00E634EA">
        <w:t>2.</w:t>
      </w:r>
      <w:r w:rsidRPr="00E634EA">
        <w:tab/>
        <w:t>Несмотря на активные и последовательные усилия государств-членов, меры по восстановлению еще не привели к желаемому возвращению к уровню роста и устойчивого развития, существовавшему до пандемии. Задачи по-прежнему масштабны, а прогресс является фрагментарным и неравномерно распределенным во всем мире, что еще больше затрудняет реализацию Повестки дня на период до 2030</w:t>
      </w:r>
      <w:r>
        <w:rPr>
          <w:lang w:val="en-US"/>
        </w:rPr>
        <w:t> </w:t>
      </w:r>
      <w:r w:rsidRPr="00E634EA">
        <w:t>года и достижение целей в области устойчивого развития.</w:t>
      </w:r>
    </w:p>
    <w:p w14:paraId="02DD8F8B" w14:textId="77777777" w:rsidR="00835727" w:rsidRPr="00E634EA" w:rsidRDefault="00835727" w:rsidP="00835727">
      <w:pPr>
        <w:pStyle w:val="SingleTxtG"/>
      </w:pPr>
      <w:r w:rsidRPr="00E634EA">
        <w:t>3.</w:t>
      </w:r>
      <w:r w:rsidRPr="00E634EA">
        <w:tab/>
        <w:t>Круглый стол КВТ соберет вместе ключевые заинтересованные стороны во всем мире в целях проведения стратегического обсуждения нового курса действий, который необходим для достижения реального прогресса в деле успешного преодоления этого продолжающегося кризиса (ECE/TRANS/2022/28).</w:t>
      </w:r>
    </w:p>
    <w:p w14:paraId="08D87C06" w14:textId="2AA7E6E4" w:rsidR="00835727" w:rsidRPr="00E634EA" w:rsidRDefault="00835727" w:rsidP="00835727">
      <w:pPr>
        <w:pStyle w:val="SingleTxtG"/>
      </w:pPr>
      <w:r w:rsidRPr="00E634EA">
        <w:t>4.</w:t>
      </w:r>
      <w:r w:rsidRPr="00E634EA">
        <w:tab/>
        <w:t xml:space="preserve">Непосредственно после пандемии COVID-19 под эгидой Рабочей группы КВТ по тенденциям и экономике транспорта (WP.5) была создана неофициальная многопрофильная консультативная группа по мерам реагирования транспорта на </w:t>
      </w:r>
      <w:r w:rsidRPr="00E634EA">
        <w:lastRenderedPageBreak/>
        <w:t>кризис COVID-19 с участием представителей транспортных, таможенных и медицинских служб, а также ВОЗ, ВТамО, ВТО, ИКАО и ИМО, которая на данный момент провела четыре совещания, состоявшиеся в июне и сентябре 2020 и 2021 годов. В результате обсуждений консультативной группы были определены четыре основных аспекта возможной последующей деятельности, перечисленные ниже. Выступающим на «круглом столе» предлагается пролить свет на эти аспекты и поделиться своими взглядами на эти предложения.</w:t>
      </w:r>
    </w:p>
    <w:p w14:paraId="741AB251" w14:textId="0D0E76B8" w:rsidR="00835727" w:rsidRPr="00E634EA" w:rsidRDefault="00835727" w:rsidP="00835727">
      <w:pPr>
        <w:pStyle w:val="HChG"/>
      </w:pPr>
      <w:r w:rsidRPr="00E634EA">
        <w:rPr>
          <w:bCs/>
        </w:rPr>
        <w:tab/>
        <w:t>II.</w:t>
      </w:r>
      <w:r w:rsidRPr="00E634EA">
        <w:tab/>
      </w:r>
      <w:r w:rsidRPr="00E634EA">
        <w:rPr>
          <w:bCs/>
        </w:rPr>
        <w:t>Обсуждение возможных дальнейших действий со</w:t>
      </w:r>
      <w:r w:rsidR="00597463">
        <w:rPr>
          <w:bCs/>
          <w:lang w:val="en-US"/>
        </w:rPr>
        <w:t> </w:t>
      </w:r>
      <w:r w:rsidRPr="00E634EA">
        <w:rPr>
          <w:bCs/>
        </w:rPr>
        <w:t>стороны сектора внутреннего транспорта</w:t>
      </w:r>
    </w:p>
    <w:p w14:paraId="3F37D0D7" w14:textId="77777777" w:rsidR="00835727" w:rsidRPr="00E634EA" w:rsidRDefault="00835727" w:rsidP="00835727">
      <w:pPr>
        <w:pStyle w:val="SingleTxtG"/>
      </w:pPr>
      <w:r w:rsidRPr="00E634EA">
        <w:t>5.</w:t>
      </w:r>
      <w:r w:rsidRPr="00E634EA">
        <w:tab/>
        <w:t>Учитывая отсутствие согласованного между странами и различными подсекторами транспорта подхода к принятию ответных мер по борьбе с пандемией, недостаточный уровень координации и сотрудничества между различными заинтересованными сторонами на национальном, региональном и международном уровнях, а также отсутствие планов действий на случай экстренных и чрезвычайных ситуаций, консультативная группа выявила области, в которых могут быть предприняты дальнейшие действия. Ниже приведен перечень этих областей</w:t>
      </w:r>
      <w:r>
        <w:t>.</w:t>
      </w:r>
      <w:r w:rsidRPr="00E634EA">
        <w:t xml:space="preserve"> </w:t>
      </w:r>
    </w:p>
    <w:p w14:paraId="5B53A9BC" w14:textId="77777777" w:rsidR="00835727" w:rsidRPr="00E634EA" w:rsidRDefault="00835727" w:rsidP="00835727">
      <w:pPr>
        <w:pStyle w:val="H23G"/>
      </w:pPr>
      <w:r w:rsidRPr="00E634EA">
        <w:rPr>
          <w:bCs/>
        </w:rPr>
        <w:tab/>
        <w:t>a)</w:t>
      </w:r>
      <w:r w:rsidRPr="00E634EA">
        <w:tab/>
      </w:r>
      <w:r w:rsidRPr="00E634EA">
        <w:rPr>
          <w:bCs/>
        </w:rPr>
        <w:t>На уровне международного регулирования транспортного сектора</w:t>
      </w:r>
      <w:r w:rsidRPr="00E634EA">
        <w:t xml:space="preserve"> </w:t>
      </w:r>
    </w:p>
    <w:p w14:paraId="33A38523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 xml:space="preserve">Разработать комплексную концепцию международного управления чрезвычайными ситуациями и планирования соответствующих действий для региона ЕЭК, содержащую перечень подробных шагов/действий, которые </w:t>
      </w:r>
      <w:r>
        <w:t>надлежит предпринять в</w:t>
      </w:r>
      <w:r w:rsidRPr="00E634EA">
        <w:t xml:space="preserve"> сектора</w:t>
      </w:r>
      <w:r>
        <w:t>х</w:t>
      </w:r>
      <w:r w:rsidRPr="00E634EA">
        <w:t xml:space="preserve"> железнодорожного, автомобильного, внутреннего водного транспорта и интермодальных перевозок в случае возникновения чрезвычайных ситуаций/внешних потрясений, таких как пандемии или другие виды международных чрезвычайных ситуаций.</w:t>
      </w:r>
    </w:p>
    <w:p w14:paraId="23376283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 xml:space="preserve">Продолжать поддерживать предпринимаемые усилия по цифровизации транспортных документов, но при этом ставить на первое место человекоцентричный подход и продвигать среди правительств, операторов </w:t>
      </w:r>
      <w:r>
        <w:t xml:space="preserve">в </w:t>
      </w:r>
      <w:r w:rsidRPr="00E634EA">
        <w:t>частно</w:t>
      </w:r>
      <w:r>
        <w:t>м</w:t>
      </w:r>
      <w:r w:rsidRPr="00E634EA">
        <w:t xml:space="preserve"> сектор</w:t>
      </w:r>
      <w:r>
        <w:t>е</w:t>
      </w:r>
      <w:r w:rsidRPr="00E634EA">
        <w:t xml:space="preserve"> и других участников глобальных цепей поставок точку зрения, согласно которой работники транспорта играют ключевую роль в поддержании работоспособности цепей поставок и должны признаваться в качестве таковых, особенно во время международных чрезвычайных ситуаций. </w:t>
      </w:r>
    </w:p>
    <w:p w14:paraId="1ECB0A6B" w14:textId="0651724D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 xml:space="preserve">На уровне существующей административной/нормативной базы, касающейся внутреннего транспорта, а также секторов морских и воздушных перевозок, провести оценку того, каким образом многочисленные «временные» меры (временное продление срока действия разрешений и документов или временные исключения и меры по облегчению), принятые правительствами в </w:t>
      </w:r>
      <w:r w:rsidR="00901B29">
        <w:br/>
      </w:r>
      <w:r w:rsidRPr="00E634EA">
        <w:t>секторе внутреннего транспорта в ответ на вспышку COVID-19, можно преобразовать в принятые и согласованные на национальном/региональном или международном уровнях протоколы и планы действий на случай чрезвычайных ситуаций, которые могли бы вступить в силу в момент возникновения новой пандемии или чрезвычайной ситуации. Это позволит избежать потери ценного опыта, полученного в ходе текущей пандемии.</w:t>
      </w:r>
    </w:p>
    <w:p w14:paraId="6E5B61A4" w14:textId="77777777" w:rsidR="00835727" w:rsidRPr="00E634EA" w:rsidRDefault="00835727" w:rsidP="00835727">
      <w:pPr>
        <w:pStyle w:val="H23G"/>
      </w:pPr>
      <w:r w:rsidRPr="00E634EA">
        <w:rPr>
          <w:bCs/>
        </w:rPr>
        <w:tab/>
        <w:t>b)</w:t>
      </w:r>
      <w:r w:rsidRPr="00E634EA">
        <w:tab/>
      </w:r>
      <w:r w:rsidRPr="00E634EA">
        <w:rPr>
          <w:bCs/>
        </w:rPr>
        <w:t>На уровне существующих правовых документов</w:t>
      </w:r>
      <w:r w:rsidRPr="00E634EA">
        <w:t xml:space="preserve"> </w:t>
      </w:r>
    </w:p>
    <w:p w14:paraId="42BDC850" w14:textId="7D9AB3A9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ab/>
        <w:t xml:space="preserve">Если это будет сочтено целесообразным соответствующими рабочими группами, занимающимися конкретными видами транспорта, провести стресс-тесты в отношении различных конвенций ЕЭК, касающихся сектора внутреннего транспорта, с целью определить, какие поправки можно/нужно внести, с тем чтобы сделать эти правовые документы (МДП/eTIR, КДПГ/eCMR и Конвенцию о согласовании) более «устойчивыми к пандемиям/ чрезвычайным ситуациям» и/или превратить эти документы в инструменты, которые могут помочь правительствам различных стран смягчить воздействие возможных будущих внешних потрясений/чрезвычайных ситуаций. </w:t>
      </w:r>
    </w:p>
    <w:p w14:paraId="05BA8918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lastRenderedPageBreak/>
        <w:tab/>
        <w:t xml:space="preserve">В отношении соглашений по транспортной инфраструктуре: инфраструктурные соглашения ЕЭК, а именно Европейское соглашение о важнейших линиях международных комбинированных перевозок и соответствующих объектах (СЛКП), Европейское соглашение о международных автомагистралях (СМА), Европейское соглашение o международных магистральных железнодорожных линиях (СМЖЛ) и Европейское соглашение о важнейших внутренних водных путях международного значения (СМВП), в которых определяются и подробно описываются основные сети интермодальных, автомобильных, железнодорожных перевозок и перевозок по внутренним водным путям в регионе ЕЭК и за его пределами, могут стать основой для </w:t>
      </w:r>
      <w:r>
        <w:rPr>
          <w:rFonts w:eastAsiaTheme="minorEastAsia"/>
          <w:lang w:eastAsia="zh-CN" w:bidi="ar-TN"/>
        </w:rPr>
        <w:t>выявления</w:t>
      </w:r>
      <w:r w:rsidRPr="00E634EA">
        <w:t xml:space="preserve"> критически важных маршрутов и узлов, которые должны оставаться открытыми при любых обстоятельствах, в том числе во время международных чрезвычайных ситуаций и пандемий. </w:t>
      </w:r>
    </w:p>
    <w:p w14:paraId="602A2400" w14:textId="0684596C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В отношении соглашений об облегчении процедур пересечения границ: в</w:t>
      </w:r>
      <w:r w:rsidR="00901B29">
        <w:rPr>
          <w:lang w:val="en-US"/>
        </w:rPr>
        <w:t> </w:t>
      </w:r>
      <w:r w:rsidRPr="00E634EA">
        <w:t xml:space="preserve">рамках Конвенции о согласовании, например, могут быть определены критерии для сухопутных пунктов пропуска через границы, которые должны оставаться открытыми в любое время, чтобы обеспечить возможность международных перевозок важнейших грузов и предметов первой необходимости, в том числе в случае пандемий и международных чрезвычайных ситуаций. </w:t>
      </w:r>
    </w:p>
    <w:p w14:paraId="4BB3FC60" w14:textId="5CFC129E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В отношении медицинского освидетельствования экипажей транспортных средств: введение электронных сертификатов о состоянии здоровья или (в</w:t>
      </w:r>
      <w:r>
        <w:rPr>
          <w:lang w:val="en-US"/>
        </w:rPr>
        <w:t> </w:t>
      </w:r>
      <w:r w:rsidRPr="00E634EA">
        <w:t xml:space="preserve">начале пандемии) деклараций о состоянии здоровья для </w:t>
      </w:r>
      <w:r>
        <w:t xml:space="preserve">членов </w:t>
      </w:r>
      <w:r w:rsidRPr="00E634EA">
        <w:t>экипаж</w:t>
      </w:r>
      <w:r>
        <w:t>а</w:t>
      </w:r>
      <w:r w:rsidRPr="00E634EA">
        <w:t>, транспортных работников и/или пассажиров, которые могут быть привязаны к существующим транспортным конвенциям Организации Объединенных Наций и их электронным приложениям (eTIR; eCMR и т. д.). Привязк</w:t>
      </w:r>
      <w:r>
        <w:t>а</w:t>
      </w:r>
      <w:r w:rsidRPr="00E634EA">
        <w:t>, например, книжки eTIR или любого другого цифрового транспортного документа к электронному сертификату о состоянии здоровья для экипажей, осуществляющих международные перевозки, может быть целесообразн</w:t>
      </w:r>
      <w:r>
        <w:t>ой</w:t>
      </w:r>
      <w:r w:rsidRPr="00E634EA">
        <w:t xml:space="preserve"> с точки зрения выявления рисков</w:t>
      </w:r>
      <w:r>
        <w:t xml:space="preserve"> и</w:t>
      </w:r>
      <w:r w:rsidRPr="00E634EA">
        <w:t xml:space="preserve"> обнаружения и отслеживания контактов, что </w:t>
      </w:r>
      <w:r>
        <w:t>крайне</w:t>
      </w:r>
      <w:r w:rsidRPr="00E634EA">
        <w:t xml:space="preserve"> важно на начальной стадии пандемии.</w:t>
      </w:r>
    </w:p>
    <w:p w14:paraId="52E5C9B0" w14:textId="77777777" w:rsidR="00835727" w:rsidRPr="00E634EA" w:rsidRDefault="00835727" w:rsidP="00835727">
      <w:pPr>
        <w:pStyle w:val="H23G"/>
      </w:pPr>
      <w:r w:rsidRPr="00E634EA">
        <w:rPr>
          <w:bCs/>
        </w:rPr>
        <w:tab/>
        <w:t>c)</w:t>
      </w:r>
      <w:r w:rsidRPr="00E634EA">
        <w:tab/>
      </w:r>
      <w:r w:rsidRPr="00E634EA">
        <w:rPr>
          <w:bCs/>
        </w:rPr>
        <w:t>В контексте цифровизации и автоматизации</w:t>
      </w:r>
      <w:r w:rsidRPr="00E634EA">
        <w:t xml:space="preserve"> </w:t>
      </w:r>
    </w:p>
    <w:p w14:paraId="54774478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Продолжать поддержку усилий по цифровизации документооборота в области транспорта/торговли: повышать осведомленность об этих процессах на глобальном уровне и, по возможности, ускорить работу по внедрению цифровых версий уже существующих правовых документов по цифровизации сектора внутреннего транспорта, таких как МДП/eTIR и КДПГ/eCMR.</w:t>
      </w:r>
    </w:p>
    <w:p w14:paraId="7E8AA022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Цифровизация и автоматизация широко признаются в качестве эффективных инструментов для смягчения последствий пандемий, поскольку благодаря этим процессам отпадает необходимость в прямых контактах между людьми для проведения таможенной очистки. При поддержке соответствующих рабочих групп ЕЭК (WP.30, SC.1, SC.2, WP.24 и др.) можно было бы разработать и внедрить по всему миру онлайновые учебные модули по использованию этих цифровых инструментов.</w:t>
      </w:r>
    </w:p>
    <w:p w14:paraId="272E31D0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ab/>
        <w:t>Деятельность по цифровизации транспортного сектора должна быть скоординирована, а электронные решения должны внедряться в различных транспортных подсекторах, включая внутренн</w:t>
      </w:r>
      <w:r>
        <w:t>ий</w:t>
      </w:r>
      <w:r w:rsidRPr="00E634EA">
        <w:t>, морско</w:t>
      </w:r>
      <w:r>
        <w:t>й</w:t>
      </w:r>
      <w:r w:rsidRPr="00E634EA">
        <w:t xml:space="preserve"> и воздушн</w:t>
      </w:r>
      <w:r>
        <w:t>ый</w:t>
      </w:r>
      <w:r w:rsidRPr="00E634EA">
        <w:t xml:space="preserve"> транспорт. </w:t>
      </w:r>
    </w:p>
    <w:p w14:paraId="3239BCF9" w14:textId="4D632146" w:rsidR="00835727" w:rsidRPr="00E634EA" w:rsidRDefault="00835727" w:rsidP="00835727">
      <w:pPr>
        <w:pStyle w:val="H23G"/>
      </w:pPr>
      <w:r w:rsidRPr="00E634EA">
        <w:rPr>
          <w:bCs/>
        </w:rPr>
        <w:tab/>
        <w:t>d)</w:t>
      </w:r>
      <w:r w:rsidRPr="00E634EA">
        <w:tab/>
      </w:r>
      <w:r w:rsidRPr="00E634EA">
        <w:rPr>
          <w:bCs/>
        </w:rPr>
        <w:t xml:space="preserve">На уровне непрерывного секторального и межсекторального диалога </w:t>
      </w:r>
      <w:r>
        <w:rPr>
          <w:bCs/>
        </w:rPr>
        <w:br/>
      </w:r>
      <w:r w:rsidRPr="00E634EA">
        <w:rPr>
          <w:bCs/>
        </w:rPr>
        <w:t>по вопросам подготовленности к пандемиям</w:t>
      </w:r>
      <w:r w:rsidRPr="00E634EA">
        <w:t xml:space="preserve"> </w:t>
      </w:r>
    </w:p>
    <w:p w14:paraId="6C137013" w14:textId="78B6A35E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Включить вопросы подготовленности к пандемиям/чрезвычайным ситуациям в качестве постоянного пункта повестки дня предстоящих сессий рабочих групп, занимающихся конкретными видами транспорта (SC.1, SC.2, SC.3, WP.24 и</w:t>
      </w:r>
      <w:r>
        <w:rPr>
          <w:lang w:val="en-US"/>
        </w:rPr>
        <w:t> </w:t>
      </w:r>
      <w:r w:rsidRPr="00E634EA">
        <w:t xml:space="preserve">WP.30). </w:t>
      </w:r>
    </w:p>
    <w:p w14:paraId="40BF7E04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lastRenderedPageBreak/>
        <w:t xml:space="preserve">Продолжать организовывать по мере необходимости целевые межсекторальные совещания (например, с участием представителей секторов морского и воздушного транспорта) для обмена опытом, а также проводить регулярный обзор и обсуждение вопросов взаимодействия между различными видами транспорта в целях предотвращения международного распространения инфекционных болезней в результате перевозок и укреплять региональную и межрегиональную координацию мер по облегчению пересечения границ. </w:t>
      </w:r>
    </w:p>
    <w:p w14:paraId="0D5235B3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 xml:space="preserve">Продолжать развивать и укреплять инициативу Общеевропейской программы по транспорту, окружающей среде и охране здоровья (ОПТОСОЗ), осуществляемую под совместным руководством ЕЭК и Европейского регионального бюро ВОЗ, в рамках которой после начала пандемии COVID-19 была учреждена Целевая группа, состоящая из представителей государств-членов, международных организаций, гражданского общества, научных кругов и других заинтересованных сторон. </w:t>
      </w:r>
    </w:p>
    <w:p w14:paraId="25E2CA21" w14:textId="77777777" w:rsidR="00835727" w:rsidRPr="00E634EA" w:rsidRDefault="00835727" w:rsidP="00835727">
      <w:pPr>
        <w:pStyle w:val="Bullet1G"/>
        <w:numPr>
          <w:ilvl w:val="0"/>
          <w:numId w:val="23"/>
        </w:numPr>
      </w:pPr>
      <w:r w:rsidRPr="00E634EA">
        <w:t>Рассмотреть вопрос о разработке справочных материалов, банков данных и хранилищ информации о передовом опыте в области обеспечения готовности к пандемиям, обобщающих опыт транспортных органов в регионе ЕЭК и за его пределами в том, что касается реагирования на кризис, вызванный пандемией COVID-19. Рассмотреть возможность консолидации таких усилий на межсекторальном уровне.</w:t>
      </w:r>
    </w:p>
    <w:p w14:paraId="08710D03" w14:textId="77777777" w:rsidR="00835727" w:rsidRPr="00E634EA" w:rsidRDefault="00835727" w:rsidP="00835727">
      <w:pPr>
        <w:pStyle w:val="HChG"/>
      </w:pPr>
      <w:r w:rsidRPr="00E634EA">
        <w:rPr>
          <w:bCs/>
        </w:rPr>
        <w:tab/>
        <w:t>III.</w:t>
      </w:r>
      <w:r w:rsidRPr="00E634EA">
        <w:tab/>
      </w:r>
      <w:r w:rsidRPr="00E634EA">
        <w:rPr>
          <w:bCs/>
        </w:rPr>
        <w:t>Цели круглого стола КВТ</w:t>
      </w:r>
    </w:p>
    <w:p w14:paraId="740CE854" w14:textId="1E6749C5" w:rsidR="00835727" w:rsidRPr="00E634EA" w:rsidRDefault="00835727" w:rsidP="00835727">
      <w:pPr>
        <w:pStyle w:val="SingleTxtG"/>
      </w:pPr>
      <w:r w:rsidRPr="00E634EA">
        <w:t>6.</w:t>
      </w:r>
      <w:r w:rsidRPr="00E634EA">
        <w:tab/>
        <w:t>Выступающим от правительств и международных организаций предлагается поделиться опытом разработки и реализации мер по восстановлению после пандемии и обсудить возможные дальнейшие шаги правительств и Комитета по поддержке устойчивого и полного восстановления международной транспортной системы и большей готовности к международным чрезвычайным ситуациям в будущем. Предполагается, что выступления прольют свет на:</w:t>
      </w:r>
    </w:p>
    <w:p w14:paraId="2E39E038" w14:textId="1D7720C4" w:rsidR="00835727" w:rsidRPr="00835727" w:rsidRDefault="00835727" w:rsidP="00835727">
      <w:pPr>
        <w:pStyle w:val="SingleTxtG"/>
      </w:pPr>
      <w:r>
        <w:tab/>
      </w:r>
      <w:r w:rsidRPr="00E634EA">
        <w:t>a</w:t>
      </w:r>
      <w:r w:rsidRPr="00835727">
        <w:t>)</w:t>
      </w:r>
      <w:r w:rsidRPr="00835727">
        <w:tab/>
        <w:t>состояние дел в транспортном секторе в результате пандемии, включая морской, воздушный и внутренний транспорт;</w:t>
      </w:r>
    </w:p>
    <w:p w14:paraId="7D5B8800" w14:textId="7E30CB54" w:rsidR="00835727" w:rsidRPr="00835727" w:rsidRDefault="00835727" w:rsidP="00835727">
      <w:pPr>
        <w:pStyle w:val="SingleTxtG"/>
      </w:pPr>
      <w:r>
        <w:tab/>
      </w:r>
      <w:r w:rsidRPr="00835727">
        <w:t>b)</w:t>
      </w:r>
      <w:r w:rsidRPr="00835727">
        <w:tab/>
        <w:t>проводимые при поддержке ЕЭК инициативы, направленные на смягчение воздействия пандемии на конкретные виды транспорта (внутренний водный транспорт, интермодальные перевозки и перевозка опасных грузов);</w:t>
      </w:r>
    </w:p>
    <w:p w14:paraId="3B7D6907" w14:textId="30F54456" w:rsidR="00835727" w:rsidRPr="00835727" w:rsidRDefault="00835727" w:rsidP="00835727">
      <w:pPr>
        <w:pStyle w:val="SingleTxtG"/>
      </w:pPr>
      <w:r>
        <w:tab/>
      </w:r>
      <w:r w:rsidRPr="00835727">
        <w:t>c)</w:t>
      </w:r>
      <w:r w:rsidRPr="00835727">
        <w:tab/>
        <w:t>национальный и международный опыт преодоления чрезвычайных ситуаций, связанных с транспортом;</w:t>
      </w:r>
    </w:p>
    <w:p w14:paraId="5533034A" w14:textId="4C4B6398" w:rsidR="00835727" w:rsidRPr="00835727" w:rsidRDefault="00835727" w:rsidP="00835727">
      <w:pPr>
        <w:pStyle w:val="SingleTxtG"/>
      </w:pPr>
      <w:r>
        <w:tab/>
      </w:r>
      <w:r w:rsidRPr="00835727">
        <w:t>d)</w:t>
      </w:r>
      <w:r w:rsidRPr="00835727">
        <w:tab/>
        <w:t xml:space="preserve">выявление и определение последующих действий, направленных на повышение устойчивости транспортного сектора к международным чрезвычайным ситуациям в будущем. </w:t>
      </w:r>
    </w:p>
    <w:p w14:paraId="21120E3E" w14:textId="77777777" w:rsidR="00835727" w:rsidRPr="00E634EA" w:rsidRDefault="00835727" w:rsidP="00835727">
      <w:pPr>
        <w:suppressAutoHyphens w:val="0"/>
        <w:spacing w:line="240" w:lineRule="auto"/>
        <w:rPr>
          <w:b/>
          <w:bCs/>
          <w:sz w:val="28"/>
        </w:rPr>
      </w:pPr>
      <w:r w:rsidRPr="00E634EA">
        <w:rPr>
          <w:bCs/>
        </w:rPr>
        <w:br w:type="page"/>
      </w:r>
    </w:p>
    <w:p w14:paraId="4CB92AA1" w14:textId="77777777" w:rsidR="00835727" w:rsidRPr="00835727" w:rsidRDefault="00835727" w:rsidP="00835727">
      <w:pPr>
        <w:pStyle w:val="HChG"/>
      </w:pPr>
      <w:r w:rsidRPr="00835727">
        <w:lastRenderedPageBreak/>
        <w:t xml:space="preserve">Приложение </w:t>
      </w:r>
    </w:p>
    <w:p w14:paraId="76A52E9D" w14:textId="77777777" w:rsidR="00835727" w:rsidRPr="00835727" w:rsidRDefault="00835727" w:rsidP="00835727">
      <w:pPr>
        <w:pStyle w:val="HChG"/>
      </w:pPr>
      <w:r w:rsidRPr="00835727">
        <w:tab/>
      </w:r>
      <w:r w:rsidRPr="00835727">
        <w:tab/>
        <w:t>Проект программы</w:t>
      </w:r>
    </w:p>
    <w:p w14:paraId="39FA2BDB" w14:textId="77777777" w:rsidR="00835727" w:rsidRPr="00E634EA" w:rsidRDefault="00835727" w:rsidP="00835727">
      <w:pPr>
        <w:pStyle w:val="SingleTxtG"/>
      </w:pPr>
      <w:r w:rsidRPr="00E634EA">
        <w:t>Тема круглого стола: «На пути к обеспечению устойчивого и полного восстановления в период после COVID-19: инициатива в области внутреннего транспорта и роль Комитета»</w:t>
      </w:r>
    </w:p>
    <w:p w14:paraId="4D713CE9" w14:textId="77777777" w:rsidR="00835727" w:rsidRPr="00E634EA" w:rsidRDefault="00835727" w:rsidP="00835727">
      <w:pPr>
        <w:pStyle w:val="SingleTxtG"/>
      </w:pPr>
      <w:r>
        <w:t>Совещание</w:t>
      </w:r>
      <w:r w:rsidRPr="00E634EA">
        <w:t xml:space="preserve"> в гибридном формате с обеспечением устного перевода</w:t>
      </w:r>
    </w:p>
    <w:p w14:paraId="0C3A9402" w14:textId="6D4BF04A" w:rsidR="00835727" w:rsidRPr="00E634EA" w:rsidRDefault="00835727" w:rsidP="00835727">
      <w:pPr>
        <w:pStyle w:val="SingleTxtG"/>
      </w:pPr>
      <w:r w:rsidRPr="008B5E54">
        <w:t>Февраль 202</w:t>
      </w:r>
      <w:r w:rsidR="00597463" w:rsidRPr="00597463">
        <w:t>2</w:t>
      </w:r>
      <w:r w:rsidRPr="008B5E54">
        <w:t xml:space="preserve"> года,</w:t>
      </w:r>
      <w:r w:rsidRPr="00E634EA">
        <w:t xml:space="preserve"> 10 ч 00 мин — 13 ч 00 мин, Дворец Наций, Женева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5"/>
      </w:tblGrid>
      <w:tr w:rsidR="00835727" w:rsidRPr="00E634EA" w14:paraId="5569A78D" w14:textId="77777777" w:rsidTr="008F071A">
        <w:trPr>
          <w:tblHeader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D0A4" w14:textId="56ECEE51" w:rsidR="00835727" w:rsidRPr="008F071A" w:rsidRDefault="00835727" w:rsidP="008F071A">
            <w:pPr>
              <w:spacing w:before="40" w:after="120"/>
              <w:ind w:right="113"/>
            </w:pPr>
            <w:r w:rsidRPr="008F071A">
              <w:t xml:space="preserve">10 ч 00 мин — </w:t>
            </w:r>
            <w:r w:rsidR="008F071A">
              <w:br/>
            </w:r>
            <w:r w:rsidRPr="008F071A">
              <w:t>10 ч 10 мин</w:t>
            </w:r>
          </w:p>
        </w:tc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CFB19" w14:textId="77777777" w:rsidR="00835727" w:rsidRPr="00E634EA" w:rsidRDefault="00835727" w:rsidP="008F071A">
            <w:pPr>
              <w:spacing w:before="40" w:after="120"/>
              <w:ind w:right="113"/>
              <w:rPr>
                <w:i/>
                <w:sz w:val="16"/>
              </w:rPr>
            </w:pPr>
            <w:r w:rsidRPr="008F071A">
              <w:rPr>
                <w:b/>
                <w:bCs/>
              </w:rPr>
              <w:t>Вступительные заявления, приветственные выступления</w:t>
            </w:r>
            <w:r w:rsidRPr="00E634EA">
              <w:rPr>
                <w:i/>
                <w:sz w:val="16"/>
              </w:rPr>
              <w:t xml:space="preserve"> </w:t>
            </w:r>
          </w:p>
        </w:tc>
      </w:tr>
      <w:tr w:rsidR="00835727" w:rsidRPr="00E634EA" w14:paraId="3031EB70" w14:textId="77777777" w:rsidTr="00416209"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50AF7" w14:textId="03389B95" w:rsidR="00835727" w:rsidRPr="00E634EA" w:rsidRDefault="00835727" w:rsidP="00416209">
            <w:pPr>
              <w:spacing w:before="40" w:after="120"/>
              <w:ind w:right="113"/>
            </w:pPr>
            <w:r w:rsidRPr="00E634EA">
              <w:t xml:space="preserve">10 ч 00 мин — </w:t>
            </w:r>
            <w:r>
              <w:br/>
            </w:r>
            <w:r w:rsidRPr="00E634EA">
              <w:t>10 ч 30 мин</w:t>
            </w:r>
          </w:p>
        </w:tc>
        <w:tc>
          <w:tcPr>
            <w:tcW w:w="53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272FB" w14:textId="77777777" w:rsidR="00835727" w:rsidRPr="00E634EA" w:rsidRDefault="00835727" w:rsidP="00416209">
            <w:pPr>
              <w:spacing w:before="40" w:after="120"/>
              <w:ind w:right="113"/>
              <w:rPr>
                <w:b/>
              </w:rPr>
            </w:pPr>
            <w:r w:rsidRPr="00E634EA">
              <w:rPr>
                <w:b/>
                <w:bCs/>
              </w:rPr>
              <w:t>Результаты принятых при поддержке ЕЭК ООН нормативных мер по смягчению воздействия пандемии (внутренний водный транспорт, интермодальные перевозки и перевозка опасных грузов)</w:t>
            </w:r>
          </w:p>
        </w:tc>
      </w:tr>
      <w:tr w:rsidR="00835727" w:rsidRPr="00E634EA" w14:paraId="4954DCE7" w14:textId="77777777" w:rsidTr="00416209"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202E1" w14:textId="2DB5630B" w:rsidR="00835727" w:rsidRPr="00E634EA" w:rsidRDefault="00835727" w:rsidP="00416209">
            <w:pPr>
              <w:spacing w:before="40" w:after="120"/>
              <w:ind w:right="113"/>
            </w:pPr>
            <w:r w:rsidRPr="00E634EA">
              <w:t xml:space="preserve">10 ч 30 мин — </w:t>
            </w:r>
            <w:r>
              <w:br/>
            </w:r>
            <w:r w:rsidRPr="00E634EA">
              <w:t>11 ч 30 мин</w:t>
            </w:r>
          </w:p>
        </w:tc>
        <w:tc>
          <w:tcPr>
            <w:tcW w:w="53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52763" w14:textId="77777777" w:rsidR="00835727" w:rsidRPr="00E634EA" w:rsidRDefault="00835727" w:rsidP="00416209">
            <w:pPr>
              <w:spacing w:before="40" w:after="120"/>
              <w:ind w:right="113"/>
              <w:rPr>
                <w:b/>
                <w:bCs/>
              </w:rPr>
            </w:pPr>
            <w:r w:rsidRPr="00E634EA">
              <w:rPr>
                <w:b/>
                <w:bCs/>
              </w:rPr>
              <w:t>Текущие действия и будущие планы правительств и международных организаций по поддержке устойчивого и полного восстановления — национальный и международный опыт</w:t>
            </w:r>
          </w:p>
        </w:tc>
      </w:tr>
      <w:tr w:rsidR="00835727" w:rsidRPr="00E634EA" w14:paraId="6BE9374C" w14:textId="77777777" w:rsidTr="00416209"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B5EE3" w14:textId="3DC44D4E" w:rsidR="00835727" w:rsidRPr="00E634EA" w:rsidRDefault="00835727" w:rsidP="00416209">
            <w:pPr>
              <w:spacing w:before="40" w:after="120"/>
              <w:ind w:right="113"/>
            </w:pPr>
            <w:r w:rsidRPr="00E634EA">
              <w:t xml:space="preserve">11 ч 30 мин </w:t>
            </w:r>
            <w:r>
              <w:rPr>
                <w:lang w:val="en-US"/>
              </w:rPr>
              <w:t>—</w:t>
            </w:r>
            <w:r w:rsidRPr="00E634EA">
              <w:t xml:space="preserve"> </w:t>
            </w:r>
            <w:r>
              <w:br/>
            </w:r>
            <w:r w:rsidRPr="00E634EA">
              <w:t>11 ч 45 мин</w:t>
            </w:r>
          </w:p>
        </w:tc>
        <w:tc>
          <w:tcPr>
            <w:tcW w:w="53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4038D" w14:textId="77777777" w:rsidR="00835727" w:rsidRPr="008F071A" w:rsidRDefault="00835727" w:rsidP="00416209">
            <w:pPr>
              <w:spacing w:before="40" w:after="120"/>
              <w:ind w:right="113"/>
              <w:rPr>
                <w:i/>
                <w:iCs/>
              </w:rPr>
            </w:pPr>
            <w:r w:rsidRPr="008F071A">
              <w:rPr>
                <w:i/>
                <w:iCs/>
              </w:rPr>
              <w:t>Кофе-пауза</w:t>
            </w:r>
          </w:p>
        </w:tc>
      </w:tr>
      <w:tr w:rsidR="00835727" w:rsidRPr="00E634EA" w14:paraId="1231AAA3" w14:textId="77777777" w:rsidTr="00416209"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B6135" w14:textId="75313580" w:rsidR="00835727" w:rsidRPr="00E634EA" w:rsidRDefault="00835727" w:rsidP="00416209">
            <w:pPr>
              <w:spacing w:before="40" w:after="120"/>
              <w:ind w:right="113"/>
            </w:pPr>
            <w:r w:rsidRPr="00E634EA">
              <w:t xml:space="preserve">11 ч 45 мин </w:t>
            </w:r>
            <w:r>
              <w:rPr>
                <w:lang w:val="en-US"/>
              </w:rPr>
              <w:t>—</w:t>
            </w:r>
            <w:r w:rsidRPr="00E634EA">
              <w:t xml:space="preserve"> </w:t>
            </w:r>
            <w:r>
              <w:br/>
            </w:r>
            <w:r w:rsidRPr="00E634EA">
              <w:t>12 ч 45 мин</w:t>
            </w:r>
          </w:p>
        </w:tc>
        <w:tc>
          <w:tcPr>
            <w:tcW w:w="53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D1F2D" w14:textId="77777777" w:rsidR="00835727" w:rsidRPr="00E634EA" w:rsidRDefault="00835727" w:rsidP="00416209">
            <w:pPr>
              <w:spacing w:before="40" w:after="120"/>
              <w:ind w:right="113"/>
              <w:rPr>
                <w:u w:val="single"/>
              </w:rPr>
            </w:pPr>
            <w:r w:rsidRPr="00E634EA">
              <w:rPr>
                <w:b/>
                <w:bCs/>
              </w:rPr>
              <w:t>Укрепление устойчивости сектора внутреннего транспорта — возможная роль Комитета</w:t>
            </w:r>
          </w:p>
        </w:tc>
      </w:tr>
      <w:tr w:rsidR="00835727" w:rsidRPr="00E634EA" w14:paraId="373B7871" w14:textId="77777777" w:rsidTr="00416209"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BE5EB" w14:textId="243A1070" w:rsidR="00835727" w:rsidRPr="00E634EA" w:rsidRDefault="00835727" w:rsidP="00416209">
            <w:pPr>
              <w:spacing w:before="40" w:after="120"/>
              <w:ind w:right="113"/>
            </w:pPr>
            <w:r w:rsidRPr="00E634EA">
              <w:t>12 ч 45 мин</w:t>
            </w:r>
            <w:r>
              <w:rPr>
                <w:lang w:val="en-US"/>
              </w:rPr>
              <w:t xml:space="preserve"> —</w:t>
            </w:r>
            <w:r w:rsidRPr="00E634EA">
              <w:t xml:space="preserve"> </w:t>
            </w:r>
            <w:r>
              <w:br/>
            </w:r>
            <w:r w:rsidRPr="00E634EA">
              <w:t>13 ч 00 мин</w:t>
            </w:r>
          </w:p>
        </w:tc>
        <w:tc>
          <w:tcPr>
            <w:tcW w:w="5385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0236A" w14:textId="77777777" w:rsidR="00835727" w:rsidRPr="00E634EA" w:rsidRDefault="00835727" w:rsidP="00416209">
            <w:pPr>
              <w:spacing w:before="40" w:after="120"/>
              <w:ind w:right="113"/>
            </w:pPr>
            <w:r w:rsidRPr="00E634EA">
              <w:rPr>
                <w:b/>
                <w:bCs/>
              </w:rPr>
              <w:t>Заключительные заявления</w:t>
            </w:r>
          </w:p>
        </w:tc>
      </w:tr>
    </w:tbl>
    <w:p w14:paraId="175BB919" w14:textId="154E4AFC" w:rsidR="00E12C5F" w:rsidRPr="008D53B6" w:rsidRDefault="00835727" w:rsidP="00597463">
      <w:pPr>
        <w:spacing w:before="240"/>
        <w:jc w:val="center"/>
      </w:pPr>
      <w:r w:rsidRPr="00E634EA">
        <w:rPr>
          <w:u w:val="single"/>
        </w:rPr>
        <w:tab/>
      </w:r>
      <w:r w:rsidRPr="00E634EA">
        <w:rPr>
          <w:u w:val="single"/>
        </w:rPr>
        <w:tab/>
      </w:r>
      <w:r w:rsidRPr="00E634EA">
        <w:rPr>
          <w:u w:val="single"/>
        </w:rPr>
        <w:tab/>
      </w:r>
    </w:p>
    <w:sectPr w:rsidR="00E12C5F" w:rsidRPr="008D53B6" w:rsidSect="008357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C45F" w14:textId="77777777" w:rsidR="001B40C7" w:rsidRPr="00A312BC" w:rsidRDefault="001B40C7" w:rsidP="00A312BC"/>
  </w:endnote>
  <w:endnote w:type="continuationSeparator" w:id="0">
    <w:p w14:paraId="0938B1EC" w14:textId="77777777" w:rsidR="001B40C7" w:rsidRPr="00A312BC" w:rsidRDefault="001B40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9DBF" w14:textId="28F37025" w:rsidR="00835727" w:rsidRPr="00835727" w:rsidRDefault="00835727">
    <w:pPr>
      <w:pStyle w:val="a8"/>
    </w:pPr>
    <w:r w:rsidRPr="00835727">
      <w:rPr>
        <w:b/>
        <w:sz w:val="18"/>
      </w:rPr>
      <w:fldChar w:fldCharType="begin"/>
    </w:r>
    <w:r w:rsidRPr="00835727">
      <w:rPr>
        <w:b/>
        <w:sz w:val="18"/>
      </w:rPr>
      <w:instrText xml:space="preserve"> PAGE  \* MERGEFORMAT </w:instrText>
    </w:r>
    <w:r w:rsidRPr="00835727">
      <w:rPr>
        <w:b/>
        <w:sz w:val="18"/>
      </w:rPr>
      <w:fldChar w:fldCharType="separate"/>
    </w:r>
    <w:r w:rsidRPr="00835727">
      <w:rPr>
        <w:b/>
        <w:noProof/>
        <w:sz w:val="18"/>
      </w:rPr>
      <w:t>2</w:t>
    </w:r>
    <w:r w:rsidRPr="00835727">
      <w:rPr>
        <w:b/>
        <w:sz w:val="18"/>
      </w:rPr>
      <w:fldChar w:fldCharType="end"/>
    </w:r>
    <w:r>
      <w:rPr>
        <w:b/>
        <w:sz w:val="18"/>
      </w:rPr>
      <w:tab/>
    </w:r>
    <w:r>
      <w:t>GE.21-18780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B670" w14:textId="675CB8A5" w:rsidR="00835727" w:rsidRPr="00835727" w:rsidRDefault="00835727" w:rsidP="00835727">
    <w:pPr>
      <w:pStyle w:val="a8"/>
      <w:tabs>
        <w:tab w:val="clear" w:pos="9639"/>
        <w:tab w:val="right" w:pos="9638"/>
      </w:tabs>
      <w:rPr>
        <w:b/>
        <w:sz w:val="18"/>
      </w:rPr>
    </w:pPr>
    <w:r>
      <w:t>GE.21-18780</w:t>
    </w:r>
    <w:r>
      <w:tab/>
    </w:r>
    <w:r w:rsidRPr="00835727">
      <w:rPr>
        <w:b/>
        <w:sz w:val="18"/>
      </w:rPr>
      <w:fldChar w:fldCharType="begin"/>
    </w:r>
    <w:r w:rsidRPr="00835727">
      <w:rPr>
        <w:b/>
        <w:sz w:val="18"/>
      </w:rPr>
      <w:instrText xml:space="preserve"> PAGE  \* MERGEFORMAT </w:instrText>
    </w:r>
    <w:r w:rsidRPr="00835727">
      <w:rPr>
        <w:b/>
        <w:sz w:val="18"/>
      </w:rPr>
      <w:fldChar w:fldCharType="separate"/>
    </w:r>
    <w:r w:rsidRPr="00835727">
      <w:rPr>
        <w:b/>
        <w:noProof/>
        <w:sz w:val="18"/>
      </w:rPr>
      <w:t>3</w:t>
    </w:r>
    <w:r w:rsidRPr="008357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3CED" w14:textId="5A08A59E" w:rsidR="00042B72" w:rsidRPr="00835727" w:rsidRDefault="00835727" w:rsidP="008357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EE692F" wp14:editId="5801CF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21-18780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0B60D9" wp14:editId="260838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040122  0</w:t>
    </w:r>
    <w:r w:rsidR="00597463">
      <w:rPr>
        <w:lang w:val="en-US"/>
      </w:rPr>
      <w:t>6</w:t>
    </w:r>
    <w:r>
      <w:rPr>
        <w:lang w:val="en-US"/>
      </w:rPr>
      <w:t>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90DC" w14:textId="77777777" w:rsidR="001B40C7" w:rsidRPr="001075E9" w:rsidRDefault="001B40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E95412" w14:textId="77777777" w:rsidR="001B40C7" w:rsidRDefault="001B40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1AA1" w14:textId="544FFB3F" w:rsidR="00835727" w:rsidRPr="00835727" w:rsidRDefault="008F0BE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E784" w14:textId="490EAB76" w:rsidR="00835727" w:rsidRPr="00835727" w:rsidRDefault="008F0BE3" w:rsidP="0083572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C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0C7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46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727"/>
    <w:rsid w:val="0086445C"/>
    <w:rsid w:val="00894693"/>
    <w:rsid w:val="008A08D7"/>
    <w:rsid w:val="008A37C8"/>
    <w:rsid w:val="008B6909"/>
    <w:rsid w:val="008D53B6"/>
    <w:rsid w:val="008F071A"/>
    <w:rsid w:val="008F0BE3"/>
    <w:rsid w:val="008F7609"/>
    <w:rsid w:val="00901B2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42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8E6CE"/>
  <w15:docId w15:val="{E827AA70-EC5F-472C-A4FE-AED8747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3572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35727"/>
    <w:rPr>
      <w:lang w:val="ru-RU" w:eastAsia="en-US"/>
    </w:rPr>
  </w:style>
  <w:style w:type="character" w:customStyle="1" w:styleId="H1GChar">
    <w:name w:val="_ H_1_G Char"/>
    <w:link w:val="H1G"/>
    <w:rsid w:val="0083572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3BD15-1B67-4559-9311-80D347E4D1C5}"/>
</file>

<file path=customXml/itemProps2.xml><?xml version="1.0" encoding="utf-8"?>
<ds:datastoreItem xmlns:ds="http://schemas.openxmlformats.org/officeDocument/2006/customXml" ds:itemID="{2F46A831-2DF6-4617-823A-A60D0EF3E0AE}"/>
</file>

<file path=customXml/itemProps3.xml><?xml version="1.0" encoding="utf-8"?>
<ds:datastoreItem xmlns:ds="http://schemas.openxmlformats.org/officeDocument/2006/customXml" ds:itemID="{DF44985A-8BA8-465B-9E35-D9E7573668B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1536</Words>
  <Characters>10865</Characters>
  <Application>Microsoft Office Word</Application>
  <DocSecurity>0</DocSecurity>
  <Lines>225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ECE/TRANS/2022/29</vt:lpstr>
      <vt:lpstr>A/</vt:lpstr>
      <vt:lpstr>A/</vt:lpstr>
    </vt:vector>
  </TitlesOfParts>
  <Company>DCM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ECE/TRANS/2022/29</dc:title>
  <dc:subject/>
  <dc:creator>Anna BLAGODATSKIKH</dc:creator>
  <cp:keywords/>
  <cp:lastModifiedBy>Ioulia Goussarova</cp:lastModifiedBy>
  <cp:revision>3</cp:revision>
  <cp:lastPrinted>2022-01-06T10:09:00Z</cp:lastPrinted>
  <dcterms:created xsi:type="dcterms:W3CDTF">2022-01-06T10:09:00Z</dcterms:created>
  <dcterms:modified xsi:type="dcterms:W3CDTF">2022-01-06T10:10:00Z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