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5BAF52CE" w:rsidR="009E6CB7" w:rsidRPr="00D47EEA" w:rsidRDefault="00772D17" w:rsidP="00772D17">
            <w:pPr>
              <w:jc w:val="right"/>
            </w:pPr>
            <w:r w:rsidRPr="00772D17">
              <w:rPr>
                <w:sz w:val="40"/>
              </w:rPr>
              <w:t>ECE</w:t>
            </w:r>
            <w:r>
              <w:t>/TRANS/WP.29/202</w:t>
            </w:r>
            <w:r w:rsidR="00AE5D86">
              <w:t>1</w:t>
            </w:r>
            <w:r>
              <w:t>/</w:t>
            </w:r>
            <w:r w:rsidR="0009690F">
              <w:t>5</w:t>
            </w:r>
            <w:r w:rsidR="003D2625">
              <w:t>3</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0EEFB771" w:rsidR="00772D17" w:rsidRDefault="00226BC8" w:rsidP="00772D17">
            <w:pPr>
              <w:spacing w:line="240" w:lineRule="exact"/>
            </w:pPr>
            <w:r>
              <w:t>18</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77466F2D" w:rsidR="00772D17" w:rsidRDefault="00772D17" w:rsidP="00772D17">
      <w:r w:rsidRPr="00020461">
        <w:t xml:space="preserve">Item </w:t>
      </w:r>
      <w:r w:rsidR="005864FB">
        <w:t>1</w:t>
      </w:r>
      <w:r w:rsidRPr="00020461">
        <w:t>4.</w:t>
      </w:r>
      <w:r w:rsidR="005864FB">
        <w:t>2</w:t>
      </w:r>
      <w:r w:rsidRPr="00020461">
        <w:t>.</w:t>
      </w:r>
      <w:r w:rsidR="00AA330A" w:rsidRPr="00020461">
        <w:t>1</w:t>
      </w:r>
      <w:r w:rsidRPr="00020461">
        <w:t xml:space="preserve"> of the provisional agenda</w:t>
      </w:r>
    </w:p>
    <w:p w14:paraId="20082425" w14:textId="59AE54E5" w:rsidR="001C6663" w:rsidRPr="00FB1193" w:rsidRDefault="00772D17" w:rsidP="00FB1193">
      <w:r>
        <w:rPr>
          <w:b/>
        </w:rPr>
        <w:t>19</w:t>
      </w:r>
      <w:r w:rsidR="005864FB">
        <w:rPr>
          <w:b/>
        </w:rPr>
        <w:t>9</w:t>
      </w:r>
      <w:r>
        <w:rPr>
          <w:b/>
        </w:rPr>
        <w:t>8 Agreement:</w:t>
      </w:r>
      <w:r>
        <w:rPr>
          <w:b/>
        </w:rPr>
        <w:br/>
      </w:r>
      <w:r w:rsidR="00FB1193" w:rsidRPr="00B5194D">
        <w:rPr>
          <w:b/>
        </w:rPr>
        <w:t>Consideration and vote by AC.3 of draft UN GTRs</w:t>
      </w:r>
      <w:r w:rsidR="00FB1193">
        <w:rPr>
          <w:b/>
        </w:rPr>
        <w:br/>
      </w:r>
      <w:r w:rsidR="00FB1193" w:rsidRPr="00B5194D">
        <w:rPr>
          <w:b/>
        </w:rPr>
        <w:t>and/or draft amendments to established UN GTRs</w:t>
      </w:r>
      <w:r w:rsidR="00FB1193">
        <w:rPr>
          <w:b/>
        </w:rPr>
        <w:t>, if any</w:t>
      </w:r>
    </w:p>
    <w:p w14:paraId="735F57C9" w14:textId="52492B7C" w:rsidR="00772D17" w:rsidRDefault="00772D17" w:rsidP="00772D17">
      <w:pPr>
        <w:pStyle w:val="HChG"/>
      </w:pPr>
      <w:r>
        <w:tab/>
      </w:r>
      <w:r>
        <w:tab/>
      </w:r>
      <w:r w:rsidR="003D2625">
        <w:t xml:space="preserve">Proposal for </w:t>
      </w:r>
      <w:r w:rsidR="006C250B">
        <w:t xml:space="preserve">Amendment </w:t>
      </w:r>
      <w:r w:rsidR="00D71085" w:rsidRPr="00D71085">
        <w:t>3 to UN</w:t>
      </w:r>
      <w:r w:rsidR="006C250B">
        <w:t xml:space="preserve"> Global Technical</w:t>
      </w:r>
      <w:r w:rsidR="00D71085" w:rsidRPr="00D71085">
        <w:t xml:space="preserve"> Regulatio</w:t>
      </w:r>
      <w:r w:rsidR="006C250B">
        <w:t>n</w:t>
      </w:r>
      <w:r w:rsidR="00D71085" w:rsidRPr="00D71085">
        <w:t xml:space="preserve"> No. </w:t>
      </w:r>
      <w:r w:rsidR="006C250B">
        <w:t>9</w:t>
      </w:r>
      <w:r w:rsidR="00D71085" w:rsidRPr="00D71085">
        <w:t xml:space="preserve"> (</w:t>
      </w:r>
      <w:r w:rsidR="00B949F2">
        <w:t>Pedestrian Protection</w:t>
      </w:r>
      <w:r w:rsidR="00D71085" w:rsidRPr="00D71085">
        <w:t>)</w:t>
      </w:r>
    </w:p>
    <w:p w14:paraId="2BB7AAA3" w14:textId="09243BDE"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r w:rsidR="00CD1CEC">
        <w:rPr>
          <w:szCs w:val="24"/>
        </w:rPr>
        <w:t>Passive Safety</w:t>
      </w:r>
      <w:r w:rsidR="00DB276D" w:rsidRPr="00CD2DAC">
        <w:rPr>
          <w:rStyle w:val="FootnoteReference"/>
          <w:sz w:val="20"/>
          <w:vertAlign w:val="baseline"/>
        </w:rPr>
        <w:footnoteReference w:customMarkFollows="1" w:id="2"/>
        <w:t>*</w:t>
      </w:r>
      <w:r w:rsidR="008D110A">
        <w:rPr>
          <w:sz w:val="20"/>
        </w:rPr>
        <w:t xml:space="preserve">, </w:t>
      </w:r>
      <w:r w:rsidR="008D110A" w:rsidRPr="008D110A">
        <w:rPr>
          <w:rStyle w:val="FootnoteReference"/>
          <w:sz w:val="20"/>
          <w:vertAlign w:val="baseline"/>
        </w:rPr>
        <w:footnoteReference w:customMarkFollows="1" w:id="3"/>
        <w:t>**</w:t>
      </w:r>
    </w:p>
    <w:p w14:paraId="5097E30E" w14:textId="72EDA120" w:rsidR="000600F0" w:rsidRDefault="00772D17" w:rsidP="00D43E2F">
      <w:pPr>
        <w:pStyle w:val="SingleTxtG"/>
        <w:ind w:firstLine="567"/>
        <w:rPr>
          <w:lang w:val="en-US"/>
        </w:rPr>
      </w:pPr>
      <w:r w:rsidRPr="008405E4">
        <w:rPr>
          <w:lang w:val="en-US"/>
        </w:rPr>
        <w:t>The text reproduced below was adopted by the Working Party on</w:t>
      </w:r>
      <w:r w:rsidR="00B949F2">
        <w:rPr>
          <w:lang w:val="en-US"/>
        </w:rPr>
        <w:t xml:space="preserve"> Passive Safety</w:t>
      </w:r>
      <w:r w:rsidR="00022931" w:rsidRPr="00022931">
        <w:rPr>
          <w:lang w:val="en-US"/>
        </w:rPr>
        <w:t xml:space="preserve"> (GR</w:t>
      </w:r>
      <w:r w:rsidR="00B949F2">
        <w:rPr>
          <w:lang w:val="en-US"/>
        </w:rPr>
        <w:t>SP</w:t>
      </w:r>
      <w:r w:rsidR="00022931" w:rsidRPr="00022931">
        <w:rPr>
          <w:lang w:val="en-US"/>
        </w:rPr>
        <w:t>) at its s</w:t>
      </w:r>
      <w:r w:rsidR="009A1A86">
        <w:rPr>
          <w:lang w:val="en-US"/>
        </w:rPr>
        <w:t>ixty</w:t>
      </w:r>
      <w:r w:rsidR="003C59AC">
        <w:rPr>
          <w:lang w:val="en-US"/>
        </w:rPr>
        <w:t>-se</w:t>
      </w:r>
      <w:r w:rsidR="009A1A86">
        <w:rPr>
          <w:lang w:val="en-US"/>
        </w:rPr>
        <w:t>venth</w:t>
      </w:r>
      <w:r w:rsidR="003C59AC">
        <w:rPr>
          <w:lang w:val="en-US"/>
        </w:rPr>
        <w:t xml:space="preserve"> </w:t>
      </w:r>
      <w:r w:rsidR="00022931" w:rsidRPr="00022931">
        <w:rPr>
          <w:lang w:val="en-US"/>
        </w:rPr>
        <w:t xml:space="preserve">session </w:t>
      </w:r>
      <w:r w:rsidR="00EF0C96">
        <w:rPr>
          <w:lang w:val="en-US"/>
        </w:rPr>
        <w:t>(</w:t>
      </w:r>
      <w:r w:rsidR="00EF0C96" w:rsidRPr="00EF0C96">
        <w:rPr>
          <w:lang w:val="en-US"/>
        </w:rPr>
        <w:t>ECE/TRANS/WP.29/GR</w:t>
      </w:r>
      <w:r w:rsidR="009A1A86">
        <w:rPr>
          <w:lang w:val="en-US"/>
        </w:rPr>
        <w:t>SP</w:t>
      </w:r>
      <w:r w:rsidR="00EF0C96" w:rsidRPr="00EF0C96">
        <w:rPr>
          <w:lang w:val="en-US"/>
        </w:rPr>
        <w:t>/</w:t>
      </w:r>
      <w:r w:rsidR="009A1A86">
        <w:rPr>
          <w:lang w:val="en-US"/>
        </w:rPr>
        <w:t>67</w:t>
      </w:r>
      <w:r w:rsidR="00EF0C96" w:rsidRPr="00EF0C96">
        <w:rPr>
          <w:lang w:val="en-US"/>
        </w:rPr>
        <w:t xml:space="preserve">, para. </w:t>
      </w:r>
      <w:r w:rsidR="009A1A86">
        <w:rPr>
          <w:lang w:val="en-US"/>
        </w:rPr>
        <w:t>5</w:t>
      </w:r>
      <w:r w:rsidR="003C59AC">
        <w:rPr>
          <w:lang w:val="en-US"/>
        </w:rPr>
        <w:t xml:space="preserve">). It is </w:t>
      </w:r>
      <w:r w:rsidR="00EF0C96" w:rsidRPr="00EF0C96">
        <w:rPr>
          <w:lang w:val="en-US"/>
        </w:rPr>
        <w:t>based on ECE/TRANS/WP.29/G</w:t>
      </w:r>
      <w:r w:rsidR="00ED6F91">
        <w:rPr>
          <w:lang w:val="en-US"/>
        </w:rPr>
        <w:t>RSP</w:t>
      </w:r>
      <w:r w:rsidR="00EF0C96" w:rsidRPr="00EF0C96">
        <w:rPr>
          <w:lang w:val="en-US"/>
        </w:rPr>
        <w:t>/20</w:t>
      </w:r>
      <w:r w:rsidR="00ED6F91">
        <w:rPr>
          <w:lang w:val="en-US"/>
        </w:rPr>
        <w:t>1</w:t>
      </w:r>
      <w:r w:rsidR="003D2625">
        <w:rPr>
          <w:lang w:val="en-US"/>
        </w:rPr>
        <w:t>4</w:t>
      </w:r>
      <w:r w:rsidR="00EF0C96" w:rsidRPr="00EF0C96">
        <w:rPr>
          <w:lang w:val="en-US"/>
        </w:rPr>
        <w:t>/</w:t>
      </w:r>
      <w:r w:rsidR="003D2625">
        <w:rPr>
          <w:lang w:val="en-US"/>
        </w:rPr>
        <w:t>5</w:t>
      </w:r>
      <w:r w:rsidR="00ED6F91">
        <w:rPr>
          <w:lang w:val="en-US"/>
        </w:rPr>
        <w:t>, as amended by Annex II to the report</w:t>
      </w:r>
      <w:r w:rsidR="00022931" w:rsidRPr="00022931">
        <w:rPr>
          <w:lang w:val="en-US"/>
        </w:rPr>
        <w:t xml:space="preserve">. </w:t>
      </w:r>
      <w:r w:rsidR="000600F0" w:rsidRPr="00C82D01">
        <w:rPr>
          <w:lang w:val="en-US"/>
        </w:rPr>
        <w:t xml:space="preserve">It is submitted to the World Forum for Harmonization of Vehicle Regulations (WP.29) and to the Executive Committee (AC.3) of the 1998 Agreement for consideration at </w:t>
      </w:r>
      <w:r w:rsidR="000600F0">
        <w:rPr>
          <w:lang w:val="en-US"/>
        </w:rPr>
        <w:t>its</w:t>
      </w:r>
      <w:r w:rsidR="000600F0" w:rsidRPr="004033E0">
        <w:rPr>
          <w:lang w:val="en-US"/>
        </w:rPr>
        <w:t xml:space="preserve"> </w:t>
      </w:r>
      <w:r w:rsidR="0018025B">
        <w:rPr>
          <w:lang w:val="en-US"/>
        </w:rPr>
        <w:t>March</w:t>
      </w:r>
      <w:r w:rsidR="000600F0" w:rsidRPr="004033E0">
        <w:rPr>
          <w:lang w:val="en-US"/>
        </w:rPr>
        <w:t xml:space="preserve"> 202</w:t>
      </w:r>
      <w:r w:rsidR="0018025B">
        <w:rPr>
          <w:lang w:val="en-US"/>
        </w:rPr>
        <w:t>1</w:t>
      </w:r>
      <w:r w:rsidR="000600F0" w:rsidRPr="004033E0">
        <w:rPr>
          <w:lang w:val="en-US"/>
        </w:rPr>
        <w:t xml:space="preserve"> sessions</w:t>
      </w:r>
      <w:r w:rsidR="000600F0">
        <w:rPr>
          <w:lang w:val="en-US"/>
        </w:rPr>
        <w:t>.</w:t>
      </w:r>
    </w:p>
    <w:p w14:paraId="2380A66E" w14:textId="77777777" w:rsidR="00DB276D" w:rsidRDefault="00DB276D" w:rsidP="00772D17">
      <w:pPr>
        <w:pStyle w:val="SingleTxtG"/>
        <w:ind w:firstLine="567"/>
      </w:pPr>
      <w:r>
        <w:br w:type="page"/>
      </w:r>
      <w:bookmarkStart w:id="0" w:name="_GoBack"/>
      <w:bookmarkEnd w:id="0"/>
    </w:p>
    <w:p w14:paraId="5D570A1E" w14:textId="77777777" w:rsidR="00AD4625" w:rsidRPr="002E11B3" w:rsidRDefault="00AD4625" w:rsidP="00AD4625">
      <w:pPr>
        <w:pStyle w:val="SingleTxtG"/>
        <w:rPr>
          <w:i/>
          <w:iCs/>
        </w:rPr>
      </w:pPr>
      <w:r>
        <w:rPr>
          <w:i/>
          <w:iCs/>
        </w:rPr>
        <w:lastRenderedPageBreak/>
        <w:t>In the text of the regulation (part B),</w:t>
      </w:r>
    </w:p>
    <w:p w14:paraId="0807D643" w14:textId="77777777" w:rsidR="00AD4625" w:rsidRPr="006A7C67" w:rsidRDefault="00AD4625" w:rsidP="00AD4625">
      <w:pPr>
        <w:pStyle w:val="SingleTxtG"/>
      </w:pPr>
      <w:r w:rsidRPr="006A7C67">
        <w:rPr>
          <w:i/>
        </w:rPr>
        <w:t>Paragraph 3.1.</w:t>
      </w:r>
      <w:r w:rsidRPr="006A7C67">
        <w:t>, amend to read:</w:t>
      </w:r>
    </w:p>
    <w:p w14:paraId="2FB3894E" w14:textId="4A91EC20" w:rsidR="00AD4625" w:rsidRPr="006A7C67" w:rsidRDefault="00AD4625" w:rsidP="00AD4625">
      <w:pPr>
        <w:pStyle w:val="SingleTxtG"/>
        <w:ind w:left="2268" w:hanging="1134"/>
      </w:pPr>
      <w:r w:rsidRPr="006A7C67">
        <w:t>"</w:t>
      </w:r>
      <w:r w:rsidRPr="001D2588">
        <w:t>3.1</w:t>
      </w:r>
      <w:r w:rsidRPr="006A7C67">
        <w:t>.</w:t>
      </w:r>
      <w:r w:rsidRPr="006A7C67">
        <w:tab/>
        <w:t>"</w:t>
      </w:r>
      <w:r w:rsidRPr="006A7C67">
        <w:rPr>
          <w:i/>
        </w:rPr>
        <w:t xml:space="preserve">Adult </w:t>
      </w:r>
      <w:proofErr w:type="spellStart"/>
      <w:r w:rsidRPr="006A7C67">
        <w:rPr>
          <w:i/>
        </w:rPr>
        <w:t>headform</w:t>
      </w:r>
      <w:proofErr w:type="spellEnd"/>
      <w:r w:rsidRPr="006A7C67">
        <w:rPr>
          <w:i/>
        </w:rPr>
        <w:t xml:space="preserve"> test area</w:t>
      </w:r>
      <w:r w:rsidRPr="006A7C67">
        <w:t>" is an area on the outer surfaces of the front structure. The area is bounded</w:t>
      </w:r>
      <w:r w:rsidR="005C6F29" w:rsidRPr="001756EA">
        <w:t>:</w:t>
      </w:r>
    </w:p>
    <w:p w14:paraId="15A73B52" w14:textId="64F82571" w:rsidR="00AD4625" w:rsidRPr="004530D3" w:rsidRDefault="00AD4625" w:rsidP="005A1885">
      <w:pPr>
        <w:pStyle w:val="SingleTxtG"/>
        <w:ind w:left="2835" w:hanging="569"/>
        <w:rPr>
          <w:bCs/>
        </w:rPr>
      </w:pPr>
      <w:r w:rsidRPr="004530D3">
        <w:rPr>
          <w:bCs/>
        </w:rPr>
        <w:t>(a)</w:t>
      </w:r>
      <w:r w:rsidRPr="004530D3">
        <w:rPr>
          <w:bCs/>
        </w:rPr>
        <w:tab/>
      </w:r>
      <w:r w:rsidR="00D43E2F">
        <w:rPr>
          <w:bCs/>
        </w:rPr>
        <w:t>I</w:t>
      </w:r>
      <w:r w:rsidRPr="004530D3">
        <w:rPr>
          <w:bCs/>
        </w:rPr>
        <w:t xml:space="preserve">n the front, by a </w:t>
      </w:r>
      <w:proofErr w:type="spellStart"/>
      <w:r w:rsidRPr="004530D3">
        <w:rPr>
          <w:bCs/>
        </w:rPr>
        <w:t>wrap around</w:t>
      </w:r>
      <w:proofErr w:type="spellEnd"/>
      <w:r w:rsidRPr="004530D3">
        <w:rPr>
          <w:bCs/>
        </w:rPr>
        <w:t xml:space="preserve"> distance (WAD) of 1,700 or a line 82.5 mm rearward of the bonnet leading edge reference line, </w:t>
      </w:r>
      <w:r w:rsidRPr="004530D3">
        <w:rPr>
          <w:bCs/>
        </w:rPr>
        <w:tab/>
        <w:t>whichever is most rearward at a given lateral position,</w:t>
      </w:r>
    </w:p>
    <w:p w14:paraId="4B9B854A" w14:textId="7AC498B9" w:rsidR="00AD4625" w:rsidRPr="004530D3" w:rsidRDefault="00AD4625" w:rsidP="005A1885">
      <w:pPr>
        <w:pStyle w:val="SingleTxtG"/>
        <w:ind w:left="2835" w:hanging="569"/>
        <w:rPr>
          <w:bCs/>
        </w:rPr>
      </w:pPr>
      <w:r w:rsidRPr="004530D3">
        <w:rPr>
          <w:bCs/>
        </w:rPr>
        <w:t>(b)</w:t>
      </w:r>
      <w:r w:rsidRPr="004530D3">
        <w:rPr>
          <w:bCs/>
        </w:rPr>
        <w:tab/>
      </w:r>
      <w:r w:rsidR="00D43E2F">
        <w:rPr>
          <w:bCs/>
        </w:rPr>
        <w:t>A</w:t>
      </w:r>
      <w:r w:rsidRPr="004530D3">
        <w:rPr>
          <w:bCs/>
        </w:rPr>
        <w:t>t the rear, by a WAD 2,100 or a line 82.5 mm forward of the bonnet rear reference line, whichever is most forward at a given lateral position; and</w:t>
      </w:r>
    </w:p>
    <w:p w14:paraId="2855532F" w14:textId="73F70611" w:rsidR="00AD4625" w:rsidRPr="004530D3" w:rsidRDefault="00AD4625" w:rsidP="005A1885">
      <w:pPr>
        <w:pStyle w:val="SingleTxtG"/>
        <w:ind w:left="2835" w:hanging="569"/>
        <w:rPr>
          <w:bCs/>
        </w:rPr>
      </w:pPr>
      <w:r w:rsidRPr="004530D3">
        <w:rPr>
          <w:bCs/>
        </w:rPr>
        <w:t>(c)</w:t>
      </w:r>
      <w:r w:rsidRPr="004530D3">
        <w:rPr>
          <w:bCs/>
        </w:rPr>
        <w:tab/>
      </w:r>
      <w:r w:rsidR="00D43E2F">
        <w:rPr>
          <w:bCs/>
        </w:rPr>
        <w:t>A</w:t>
      </w:r>
      <w:r w:rsidRPr="004530D3">
        <w:rPr>
          <w:bCs/>
        </w:rPr>
        <w:t>t each side, by a line 82.5 mm inside the side reference line.</w:t>
      </w:r>
    </w:p>
    <w:p w14:paraId="6C64E9BE" w14:textId="77777777" w:rsidR="00AD4625" w:rsidRPr="004530D3" w:rsidRDefault="00AD4625" w:rsidP="00AD4625">
      <w:pPr>
        <w:pStyle w:val="SingleTxtG"/>
        <w:ind w:left="2268" w:hanging="1134"/>
        <w:rPr>
          <w:bCs/>
        </w:rPr>
      </w:pPr>
      <w:r w:rsidRPr="004530D3">
        <w:rPr>
          <w:bCs/>
        </w:rPr>
        <w:tab/>
      </w:r>
      <w:r w:rsidRPr="004530D3">
        <w:rPr>
          <w:bCs/>
        </w:rPr>
        <w:tab/>
        <w:t xml:space="preserve">The distance of 82.5 mm is to be set with a flexible tape held tautly along </w:t>
      </w:r>
      <w:r w:rsidRPr="004530D3">
        <w:rPr>
          <w:bCs/>
        </w:rPr>
        <w:tab/>
        <w:t>the outer surface of the vehicle."</w:t>
      </w:r>
    </w:p>
    <w:p w14:paraId="76681CA6" w14:textId="77777777" w:rsidR="00AD4625" w:rsidRPr="004530D3" w:rsidRDefault="00AD4625" w:rsidP="00AD4625">
      <w:pPr>
        <w:pStyle w:val="SingleTxtG"/>
        <w:rPr>
          <w:bCs/>
          <w:lang w:val="en-US" w:eastAsia="ja-JP"/>
        </w:rPr>
      </w:pPr>
      <w:r w:rsidRPr="004530D3">
        <w:rPr>
          <w:bCs/>
          <w:i/>
          <w:lang w:val="en-US" w:eastAsia="ja-JP"/>
        </w:rPr>
        <w:t>Insert a new paragraph 3.8</w:t>
      </w:r>
      <w:r w:rsidRPr="004530D3">
        <w:rPr>
          <w:bCs/>
          <w:lang w:val="en-US" w:eastAsia="ja-JP"/>
        </w:rPr>
        <w:t>., to read:</w:t>
      </w:r>
    </w:p>
    <w:p w14:paraId="13200B9C" w14:textId="471C310B" w:rsidR="00AD4625" w:rsidRPr="004530D3" w:rsidRDefault="00AD4625" w:rsidP="00AD4625">
      <w:pPr>
        <w:pStyle w:val="SingleTxtG"/>
        <w:ind w:left="2268" w:hanging="1134"/>
        <w:rPr>
          <w:bCs/>
        </w:rPr>
      </w:pPr>
      <w:r w:rsidRPr="004530D3">
        <w:rPr>
          <w:bCs/>
        </w:rPr>
        <w:t>"3.8.</w:t>
      </w:r>
      <w:r w:rsidRPr="004530D3">
        <w:rPr>
          <w:bCs/>
        </w:rPr>
        <w:tab/>
        <w:t>"</w:t>
      </w:r>
      <w:r w:rsidRPr="004530D3">
        <w:rPr>
          <w:bCs/>
          <w:i/>
        </w:rPr>
        <w:t>Bonnet top test area</w:t>
      </w:r>
      <w:r w:rsidRPr="004530D3">
        <w:rPr>
          <w:bCs/>
        </w:rPr>
        <w:t xml:space="preserve">" is composed of the child </w:t>
      </w:r>
      <w:proofErr w:type="spellStart"/>
      <w:r w:rsidRPr="004530D3">
        <w:rPr>
          <w:bCs/>
        </w:rPr>
        <w:t>headform</w:t>
      </w:r>
      <w:proofErr w:type="spellEnd"/>
      <w:r w:rsidRPr="004530D3">
        <w:rPr>
          <w:bCs/>
        </w:rPr>
        <w:t xml:space="preserve"> test area and the adult </w:t>
      </w:r>
      <w:proofErr w:type="spellStart"/>
      <w:r w:rsidRPr="004530D3">
        <w:rPr>
          <w:bCs/>
        </w:rPr>
        <w:t>headform</w:t>
      </w:r>
      <w:proofErr w:type="spellEnd"/>
      <w:r w:rsidRPr="004530D3">
        <w:rPr>
          <w:bCs/>
        </w:rPr>
        <w:t xml:space="preserve"> test area as defined in paragraphs 3.14. and 3.1 respectively."</w:t>
      </w:r>
    </w:p>
    <w:p w14:paraId="4F6A2A86" w14:textId="49B1A9E4" w:rsidR="00AD4625" w:rsidRPr="00D81799" w:rsidRDefault="00AD4625" w:rsidP="00AD4625">
      <w:pPr>
        <w:pStyle w:val="SingleTxtG"/>
        <w:ind w:left="2268" w:hanging="1134"/>
        <w:rPr>
          <w:b/>
        </w:rPr>
      </w:pPr>
      <w:r w:rsidRPr="00605CF7">
        <w:rPr>
          <w:i/>
        </w:rPr>
        <w:t>Paragraphs 3.8.</w:t>
      </w:r>
      <w:r>
        <w:rPr>
          <w:i/>
        </w:rPr>
        <w:t xml:space="preserve">to </w:t>
      </w:r>
      <w:r w:rsidRPr="00605CF7">
        <w:rPr>
          <w:i/>
        </w:rPr>
        <w:t>3.</w:t>
      </w:r>
      <w:r>
        <w:rPr>
          <w:i/>
        </w:rPr>
        <w:t>10</w:t>
      </w:r>
      <w:r w:rsidRPr="00605CF7">
        <w:rPr>
          <w:i/>
        </w:rPr>
        <w:t>. (former)</w:t>
      </w:r>
      <w:r>
        <w:t>, renumber as paragraphs 3.9. to 3.11.</w:t>
      </w:r>
    </w:p>
    <w:p w14:paraId="36EE4221" w14:textId="07570E60" w:rsidR="00AD4625" w:rsidRPr="00B86B32" w:rsidRDefault="00AD4625" w:rsidP="00AD4625">
      <w:pPr>
        <w:pStyle w:val="SingleTxtG"/>
        <w:rPr>
          <w:lang w:val="en-US" w:eastAsia="ja-JP"/>
        </w:rPr>
      </w:pPr>
      <w:r w:rsidRPr="006A7C67">
        <w:rPr>
          <w:i/>
          <w:lang w:val="en-US" w:eastAsia="ja-JP"/>
        </w:rPr>
        <w:t>P</w:t>
      </w:r>
      <w:r w:rsidRPr="006A7C67">
        <w:rPr>
          <w:rFonts w:hint="eastAsia"/>
          <w:i/>
          <w:lang w:val="en-US" w:eastAsia="ja-JP"/>
        </w:rPr>
        <w:t>aragraph 3.1</w:t>
      </w:r>
      <w:r>
        <w:rPr>
          <w:i/>
          <w:lang w:val="en-US" w:eastAsia="ja-JP"/>
        </w:rPr>
        <w:t>1</w:t>
      </w:r>
      <w:r w:rsidRPr="006A7C67">
        <w:rPr>
          <w:rFonts w:hint="eastAsia"/>
          <w:i/>
          <w:lang w:val="en-US" w:eastAsia="ja-JP"/>
        </w:rPr>
        <w:t>.</w:t>
      </w:r>
      <w:r>
        <w:rPr>
          <w:i/>
          <w:lang w:val="en-US" w:eastAsia="ja-JP"/>
        </w:rPr>
        <w:t xml:space="preserve"> (former)</w:t>
      </w:r>
      <w:r w:rsidRPr="006A7C67">
        <w:rPr>
          <w:rFonts w:hint="eastAsia"/>
          <w:lang w:val="en-US" w:eastAsia="ja-JP"/>
        </w:rPr>
        <w:t>,</w:t>
      </w:r>
      <w:r>
        <w:rPr>
          <w:lang w:val="en-US" w:eastAsia="ja-JP"/>
        </w:rPr>
        <w:t xml:space="preserve"> renumber as paragraph 3.12. </w:t>
      </w:r>
      <w:r w:rsidRPr="00B86B32">
        <w:rPr>
          <w:lang w:val="en-US" w:eastAsia="ja-JP"/>
        </w:rPr>
        <w:t>and</w:t>
      </w:r>
      <w:r w:rsidRPr="00B86B32">
        <w:rPr>
          <w:rFonts w:hint="eastAsia"/>
          <w:lang w:val="en-US" w:eastAsia="ja-JP"/>
        </w:rPr>
        <w:t xml:space="preserve"> amend to read:</w:t>
      </w:r>
    </w:p>
    <w:p w14:paraId="57890A9B" w14:textId="77777777" w:rsidR="00AD4625" w:rsidRPr="000C73D0" w:rsidRDefault="00AD4625" w:rsidP="005A1885">
      <w:pPr>
        <w:spacing w:after="120"/>
        <w:ind w:left="2268" w:right="1134" w:hanging="1134"/>
        <w:jc w:val="both"/>
        <w:rPr>
          <w:bCs/>
        </w:rPr>
      </w:pPr>
      <w:r w:rsidRPr="00DC191E">
        <w:rPr>
          <w:bCs/>
        </w:rPr>
        <w:t>"3.1</w:t>
      </w:r>
      <w:r>
        <w:rPr>
          <w:bCs/>
        </w:rPr>
        <w:t>2</w:t>
      </w:r>
      <w:r w:rsidRPr="00DC191E">
        <w:rPr>
          <w:bCs/>
        </w:rPr>
        <w:t>.</w:t>
      </w:r>
      <w:r w:rsidRPr="00DC191E">
        <w:rPr>
          <w:bCs/>
        </w:rPr>
        <w:tab/>
        <w:t>"</w:t>
      </w:r>
      <w:r w:rsidRPr="00DC191E">
        <w:rPr>
          <w:bCs/>
          <w:i/>
        </w:rPr>
        <w:t>Bumper test area</w:t>
      </w:r>
      <w:r w:rsidRPr="00DC191E">
        <w:rPr>
          <w:bCs/>
        </w:rPr>
        <w:t xml:space="preserve">" means either the front vehicle fascia between the left and right corner of bumper as defined in paragraph </w:t>
      </w:r>
      <w:r w:rsidRPr="00A07C98">
        <w:rPr>
          <w:bCs/>
        </w:rPr>
        <w:t>3.15.,</w:t>
      </w:r>
      <w:r w:rsidRPr="00DC191E">
        <w:rPr>
          <w:bCs/>
        </w:rPr>
        <w:t xml:space="preserve"> minus the areas covered by the distance of 42 mm inboard of each corner of bumper, as measured horizontally and perpendicular to the longitudinal median plane of the vehicle, or between the outermost ends of the bumper beam as defined in paragraph 3.9. (see Figure 5D), minus the areas covered by the distance of 42 mm inboard of each end of the bumper beam, as measured horizontally and perpendicular to the longitudinal median plane of the vehicle, whichever area is wider."</w:t>
      </w:r>
    </w:p>
    <w:p w14:paraId="3F68B5D9" w14:textId="65658BAB" w:rsidR="00AD4625" w:rsidRPr="006A7C67" w:rsidRDefault="00AD4625" w:rsidP="00AD4625">
      <w:pPr>
        <w:pStyle w:val="SingleTxtG"/>
        <w:ind w:left="2268" w:hanging="1134"/>
        <w:rPr>
          <w:lang w:eastAsia="ja-JP"/>
        </w:rPr>
      </w:pPr>
      <w:r w:rsidRPr="00605CF7">
        <w:rPr>
          <w:i/>
        </w:rPr>
        <w:t>Paragraph 3.1</w:t>
      </w:r>
      <w:r>
        <w:rPr>
          <w:i/>
        </w:rPr>
        <w:t>2</w:t>
      </w:r>
      <w:r w:rsidRPr="00605CF7">
        <w:rPr>
          <w:i/>
        </w:rPr>
        <w:t>. (former)</w:t>
      </w:r>
      <w:r>
        <w:t>, renumber as paragraph 3.13.</w:t>
      </w:r>
    </w:p>
    <w:p w14:paraId="2F1521FF" w14:textId="7B3ADBD7" w:rsidR="00AD4625" w:rsidRPr="006A7C67" w:rsidRDefault="00AD4625" w:rsidP="00AD4625">
      <w:pPr>
        <w:pStyle w:val="SingleTxtG"/>
        <w:ind w:left="2268" w:hanging="1134"/>
      </w:pPr>
      <w:r w:rsidRPr="006A7C67">
        <w:rPr>
          <w:i/>
        </w:rPr>
        <w:t>Paragraph 3.1</w:t>
      </w:r>
      <w:r>
        <w:rPr>
          <w:i/>
        </w:rPr>
        <w:t>3</w:t>
      </w:r>
      <w:r w:rsidRPr="006A7C67">
        <w:rPr>
          <w:i/>
        </w:rPr>
        <w:t>.</w:t>
      </w:r>
      <w:r>
        <w:rPr>
          <w:i/>
        </w:rPr>
        <w:t xml:space="preserve"> (former</w:t>
      </w:r>
      <w:r w:rsidRPr="009E26F3">
        <w:t>),</w:t>
      </w:r>
      <w:r>
        <w:t xml:space="preserve"> renumber as paragraph 3.14. and</w:t>
      </w:r>
      <w:r w:rsidRPr="009E26F3">
        <w:t xml:space="preserve"> amend to read:</w:t>
      </w:r>
    </w:p>
    <w:p w14:paraId="58C5F725" w14:textId="3E95F649" w:rsidR="00AD4625" w:rsidRPr="00606098" w:rsidRDefault="00AD4625" w:rsidP="00AD4625">
      <w:pPr>
        <w:pStyle w:val="SingleTxtG"/>
        <w:ind w:left="2268" w:hanging="1134"/>
      </w:pPr>
      <w:r w:rsidRPr="00606098">
        <w:t>"3.14.</w:t>
      </w:r>
      <w:r w:rsidRPr="00606098">
        <w:tab/>
        <w:t>"</w:t>
      </w:r>
      <w:r w:rsidRPr="00606098">
        <w:rPr>
          <w:i/>
        </w:rPr>
        <w:t xml:space="preserve">Child </w:t>
      </w:r>
      <w:proofErr w:type="spellStart"/>
      <w:r w:rsidRPr="00606098">
        <w:rPr>
          <w:i/>
        </w:rPr>
        <w:t>headform</w:t>
      </w:r>
      <w:proofErr w:type="spellEnd"/>
      <w:r w:rsidRPr="00606098">
        <w:rPr>
          <w:i/>
        </w:rPr>
        <w:t xml:space="preserve"> test area</w:t>
      </w:r>
      <w:r w:rsidRPr="00606098">
        <w:t>" is an area on the outer surfaces of the front structure. The area is bounded:</w:t>
      </w:r>
    </w:p>
    <w:p w14:paraId="3DA73988" w14:textId="5E25D598" w:rsidR="00AD4625" w:rsidRPr="00606098" w:rsidRDefault="00AD4625" w:rsidP="00AD4625">
      <w:pPr>
        <w:pStyle w:val="SingleTxtG"/>
        <w:ind w:left="2800" w:hanging="534"/>
      </w:pPr>
      <w:r w:rsidRPr="00606098">
        <w:t>(a)</w:t>
      </w:r>
      <w:r w:rsidRPr="00606098">
        <w:tab/>
      </w:r>
      <w:r w:rsidR="00A82BDC">
        <w:t>I</w:t>
      </w:r>
      <w:r w:rsidRPr="00606098">
        <w:t>n the front, by a WAD 1,000 or a line 82.5 mm rearward of the bonnet leading edge reference line, whichever is most rearward at a given lateral position;</w:t>
      </w:r>
    </w:p>
    <w:p w14:paraId="5356F03F" w14:textId="073A7B59" w:rsidR="00AD4625" w:rsidRPr="00606098" w:rsidRDefault="00AD4625" w:rsidP="00AD4625">
      <w:pPr>
        <w:pStyle w:val="SingleTxtG"/>
        <w:ind w:left="2800" w:hanging="534"/>
      </w:pPr>
      <w:r w:rsidRPr="00606098">
        <w:t>(b)</w:t>
      </w:r>
      <w:r w:rsidRPr="00606098">
        <w:tab/>
      </w:r>
      <w:r w:rsidR="00A82BDC">
        <w:t>A</w:t>
      </w:r>
      <w:r w:rsidRPr="00606098">
        <w:t>t the rear, by a WAD 1,700 or a line 82.5 mm forward of the bonnet rear reference line; whichever is most forward at a given lateral position, and</w:t>
      </w:r>
    </w:p>
    <w:p w14:paraId="494B728F" w14:textId="6F0436A1" w:rsidR="00AD4625" w:rsidRPr="00606098" w:rsidRDefault="00AD4625" w:rsidP="00AD4625">
      <w:pPr>
        <w:pStyle w:val="SingleTxtG"/>
        <w:ind w:left="2800" w:hanging="534"/>
      </w:pPr>
      <w:r w:rsidRPr="00606098">
        <w:t>(c)</w:t>
      </w:r>
      <w:r w:rsidRPr="00606098">
        <w:tab/>
      </w:r>
      <w:r w:rsidR="00A82BDC">
        <w:t>A</w:t>
      </w:r>
      <w:r w:rsidRPr="00606098">
        <w:t>t each side, by a line 82.5 mm inside the side reference line.</w:t>
      </w:r>
    </w:p>
    <w:p w14:paraId="6E76B156" w14:textId="77777777" w:rsidR="00AD4625" w:rsidRPr="00606098" w:rsidRDefault="00AD4625" w:rsidP="00AD4625">
      <w:pPr>
        <w:pStyle w:val="SingleTxtG"/>
        <w:ind w:left="2268" w:hanging="1134"/>
      </w:pPr>
      <w:r w:rsidRPr="00606098">
        <w:tab/>
        <w:t>The distance of 82.5 mm is to be set with a flexible tape held tautly along the outer surface of the vehicle."</w:t>
      </w:r>
    </w:p>
    <w:p w14:paraId="5A7E24D4" w14:textId="0EF3F746" w:rsidR="00AD4625" w:rsidRPr="007F0466" w:rsidRDefault="00AD4625" w:rsidP="00AD4625">
      <w:pPr>
        <w:pStyle w:val="SingleTxtG"/>
        <w:ind w:left="2268" w:hanging="1134"/>
      </w:pPr>
      <w:r w:rsidRPr="007F0466">
        <w:rPr>
          <w:i/>
        </w:rPr>
        <w:t>Paragraphs 3.1</w:t>
      </w:r>
      <w:r>
        <w:rPr>
          <w:i/>
        </w:rPr>
        <w:t>4</w:t>
      </w:r>
      <w:r w:rsidRPr="007F0466">
        <w:rPr>
          <w:i/>
        </w:rPr>
        <w:t>. to 3.1</w:t>
      </w:r>
      <w:r>
        <w:rPr>
          <w:i/>
        </w:rPr>
        <w:t>9</w:t>
      </w:r>
      <w:r w:rsidRPr="007F0466">
        <w:rPr>
          <w:i/>
        </w:rPr>
        <w:t>. (former)</w:t>
      </w:r>
      <w:r w:rsidRPr="007F0466">
        <w:t>, renumber as paragraphs 3.1</w:t>
      </w:r>
      <w:r>
        <w:t>5</w:t>
      </w:r>
      <w:r w:rsidRPr="007F0466">
        <w:t>. to 3.</w:t>
      </w:r>
      <w:r>
        <w:t>20</w:t>
      </w:r>
      <w:r w:rsidRPr="007F0466">
        <w:t>.</w:t>
      </w:r>
    </w:p>
    <w:p w14:paraId="3457CB22" w14:textId="4061FA84" w:rsidR="00AD4625" w:rsidRPr="00134FFB" w:rsidRDefault="00AD4625" w:rsidP="00AD4625">
      <w:pPr>
        <w:pStyle w:val="SingleTxtG"/>
      </w:pPr>
      <w:r>
        <w:rPr>
          <w:i/>
        </w:rPr>
        <w:t>Paragraph 3.20. (former)</w:t>
      </w:r>
      <w:r w:rsidRPr="00605CF7">
        <w:t xml:space="preserve">, </w:t>
      </w:r>
      <w:r>
        <w:t>shall be deleted</w:t>
      </w:r>
    </w:p>
    <w:p w14:paraId="2718A355" w14:textId="379BB6B6" w:rsidR="00AD4625" w:rsidRPr="00606098" w:rsidRDefault="00AD4625" w:rsidP="00AD4625">
      <w:pPr>
        <w:pStyle w:val="SingleTxtG"/>
        <w:ind w:left="2268" w:hanging="1134"/>
      </w:pPr>
      <w:r w:rsidRPr="00606098">
        <w:rPr>
          <w:i/>
        </w:rPr>
        <w:t>Insert new paragraphs 3.21. to 3.21.2.</w:t>
      </w:r>
      <w:r w:rsidRPr="00606098">
        <w:t>, to read:</w:t>
      </w:r>
    </w:p>
    <w:p w14:paraId="773EAE65" w14:textId="6BBD2EAB" w:rsidR="00AD4625" w:rsidRPr="00606098" w:rsidRDefault="00AD4625" w:rsidP="00AD4625">
      <w:pPr>
        <w:pStyle w:val="SingleTxtG"/>
        <w:ind w:left="2268" w:hanging="1134"/>
        <w:rPr>
          <w:lang w:val="en-US"/>
        </w:rPr>
      </w:pPr>
      <w:r w:rsidRPr="00606098">
        <w:t>"3.21.</w:t>
      </w:r>
      <w:r w:rsidRPr="00606098">
        <w:tab/>
      </w:r>
      <w:r w:rsidRPr="00606098">
        <w:rPr>
          <w:lang w:val="en-US"/>
        </w:rPr>
        <w:t>"</w:t>
      </w:r>
      <w:r w:rsidRPr="001E6A7B">
        <w:rPr>
          <w:i/>
          <w:iCs/>
        </w:rPr>
        <w:t>Measuring point</w:t>
      </w:r>
      <w:r w:rsidRPr="00606098">
        <w:rPr>
          <w:lang w:val="en-US"/>
        </w:rPr>
        <w:t>"</w:t>
      </w:r>
    </w:p>
    <w:p w14:paraId="3AB55393" w14:textId="121A9B33" w:rsidR="00AD4625" w:rsidRPr="00606098" w:rsidRDefault="00AD4625" w:rsidP="00AD4625">
      <w:pPr>
        <w:pStyle w:val="SingleTxtG"/>
        <w:ind w:left="2268" w:hanging="1134"/>
        <w:rPr>
          <w:iCs/>
        </w:rPr>
      </w:pPr>
      <w:r w:rsidRPr="00606098">
        <w:rPr>
          <w:lang w:val="en-US"/>
        </w:rPr>
        <w:tab/>
      </w:r>
      <w:r w:rsidRPr="00606098">
        <w:t>The measuring point may also be referred to as "test point" or "impact point".</w:t>
      </w:r>
      <w:r w:rsidRPr="00606098">
        <w:rPr>
          <w:iCs/>
        </w:rPr>
        <w:t xml:space="preserve"> In all cases, the result of the test shall be attributed to this point, independent of where the first contact occurs.</w:t>
      </w:r>
    </w:p>
    <w:p w14:paraId="5954040B" w14:textId="53B44C0F" w:rsidR="00AD4625" w:rsidRPr="00606098" w:rsidRDefault="00AD4625" w:rsidP="00AD4625">
      <w:pPr>
        <w:pStyle w:val="SingleTxtG"/>
        <w:ind w:left="2268" w:hanging="1134"/>
      </w:pPr>
      <w:r w:rsidRPr="00606098">
        <w:lastRenderedPageBreak/>
        <w:t>3.21.1.</w:t>
      </w:r>
      <w:r w:rsidRPr="00606098">
        <w:tab/>
      </w:r>
      <w:r w:rsidRPr="00606098">
        <w:rPr>
          <w:lang w:val="en-US"/>
        </w:rPr>
        <w:t>"</w:t>
      </w:r>
      <w:r w:rsidRPr="001E6A7B">
        <w:rPr>
          <w:i/>
          <w:iCs/>
        </w:rPr>
        <w:t>Measuring point</w:t>
      </w:r>
      <w:r w:rsidRPr="00606098">
        <w:t xml:space="preserve">" for the </w:t>
      </w:r>
      <w:proofErr w:type="spellStart"/>
      <w:r w:rsidRPr="00606098">
        <w:t>headform</w:t>
      </w:r>
      <w:proofErr w:type="spellEnd"/>
      <w:r w:rsidRPr="00606098">
        <w:t xml:space="preserve"> test means a point on the vehicle’s outer surface selected for assessment. </w:t>
      </w:r>
      <w:r w:rsidRPr="00606098">
        <w:rPr>
          <w:color w:val="000000"/>
          <w:lang w:val="en-US"/>
        </w:rPr>
        <w:t xml:space="preserve">The measuring point is where the </w:t>
      </w:r>
      <w:proofErr w:type="spellStart"/>
      <w:r w:rsidRPr="00606098">
        <w:rPr>
          <w:color w:val="000000"/>
          <w:lang w:val="en-US"/>
        </w:rPr>
        <w:t>headform’s</w:t>
      </w:r>
      <w:proofErr w:type="spellEnd"/>
      <w:r w:rsidRPr="00606098">
        <w:rPr>
          <w:color w:val="000000"/>
          <w:lang w:val="en-US"/>
        </w:rPr>
        <w:t xml:space="preserve"> profile contacts the vehicle’s outer surface cross section in a vertical longitudinal plane through the center of gravity of the </w:t>
      </w:r>
      <w:proofErr w:type="spellStart"/>
      <w:r w:rsidRPr="00606098">
        <w:rPr>
          <w:color w:val="000000"/>
          <w:lang w:val="en-US"/>
        </w:rPr>
        <w:t>headform</w:t>
      </w:r>
      <w:proofErr w:type="spellEnd"/>
      <w:r w:rsidRPr="00606098">
        <w:rPr>
          <w:color w:val="000000"/>
          <w:lang w:val="en-US"/>
        </w:rPr>
        <w:t xml:space="preserve"> (see Figure 6A).</w:t>
      </w:r>
    </w:p>
    <w:p w14:paraId="072C0B71" w14:textId="46D6B1B1" w:rsidR="00AD4625" w:rsidRPr="00606098" w:rsidRDefault="00AD4625" w:rsidP="00AD4625">
      <w:pPr>
        <w:pStyle w:val="SingleTxtG"/>
        <w:ind w:left="2268" w:hanging="1134"/>
      </w:pPr>
      <w:r w:rsidRPr="00606098">
        <w:t>3.21.2.</w:t>
      </w:r>
      <w:r w:rsidRPr="00606098">
        <w:tab/>
        <w:t>"</w:t>
      </w:r>
      <w:r w:rsidRPr="001E6A7B">
        <w:rPr>
          <w:i/>
          <w:iCs/>
        </w:rPr>
        <w:t>Measuring point</w:t>
      </w:r>
      <w:r w:rsidRPr="00606098">
        <w:t xml:space="preserve">" for the lower </w:t>
      </w:r>
      <w:proofErr w:type="spellStart"/>
      <w:r w:rsidRPr="00606098">
        <w:t>legform</w:t>
      </w:r>
      <w:proofErr w:type="spellEnd"/>
      <w:r w:rsidRPr="00606098">
        <w:t xml:space="preserve"> to bumper test and the upper </w:t>
      </w:r>
      <w:proofErr w:type="spellStart"/>
      <w:r w:rsidRPr="00606098">
        <w:t>legform</w:t>
      </w:r>
      <w:proofErr w:type="spellEnd"/>
      <w:r w:rsidRPr="00606098">
        <w:t xml:space="preserve"> to bumper test </w:t>
      </w:r>
      <w:r w:rsidRPr="00606098">
        <w:rPr>
          <w:color w:val="000000"/>
          <w:lang w:val="en-US"/>
        </w:rPr>
        <w:t>is located in the vertical longitudinal plane through the central axis of the impactor (see Figure 6B).</w:t>
      </w:r>
      <w:r w:rsidRPr="00606098">
        <w:t>"</w:t>
      </w:r>
    </w:p>
    <w:p w14:paraId="3FBFA1AD" w14:textId="7F42AB38" w:rsidR="00AD4625" w:rsidRDefault="00AD4625" w:rsidP="00AD4625">
      <w:pPr>
        <w:pStyle w:val="SingleTxtG"/>
        <w:ind w:left="2268" w:hanging="1134"/>
      </w:pPr>
      <w:r w:rsidRPr="007F0466">
        <w:rPr>
          <w:i/>
        </w:rPr>
        <w:t>Paragraphs 3.2</w:t>
      </w:r>
      <w:r>
        <w:rPr>
          <w:i/>
        </w:rPr>
        <w:t>1</w:t>
      </w:r>
      <w:r w:rsidRPr="007F0466">
        <w:rPr>
          <w:i/>
        </w:rPr>
        <w:t>. to 3.2</w:t>
      </w:r>
      <w:r>
        <w:rPr>
          <w:i/>
        </w:rPr>
        <w:t>4</w:t>
      </w:r>
      <w:r w:rsidRPr="007F0466">
        <w:rPr>
          <w:i/>
        </w:rPr>
        <w:t>. (former)</w:t>
      </w:r>
      <w:r w:rsidRPr="007F0466">
        <w:t>, renumber as paragraphs 3.2</w:t>
      </w:r>
      <w:r>
        <w:t>2</w:t>
      </w:r>
      <w:r w:rsidRPr="007F0466">
        <w:t>. to 3.2</w:t>
      </w:r>
      <w:r>
        <w:t>5</w:t>
      </w:r>
      <w:r w:rsidRPr="007F0466">
        <w:t>.</w:t>
      </w:r>
    </w:p>
    <w:p w14:paraId="35AA4975" w14:textId="77777777" w:rsidR="00AD4625" w:rsidRDefault="00AD4625" w:rsidP="00AD4625">
      <w:pPr>
        <w:pStyle w:val="SingleTxtG"/>
        <w:ind w:left="2268" w:hanging="1134"/>
      </w:pPr>
      <w:r w:rsidRPr="007F0466">
        <w:rPr>
          <w:i/>
        </w:rPr>
        <w:t>Paragraphs 3.2</w:t>
      </w:r>
      <w:r>
        <w:rPr>
          <w:i/>
        </w:rPr>
        <w:t>5</w:t>
      </w:r>
      <w:r w:rsidRPr="007F0466">
        <w:rPr>
          <w:i/>
        </w:rPr>
        <w:t>.(former)</w:t>
      </w:r>
      <w:r w:rsidRPr="007F0466">
        <w:t>, renumber as paragraphs 3.2</w:t>
      </w:r>
      <w:r>
        <w:t>6</w:t>
      </w:r>
      <w:r w:rsidRPr="007F0466">
        <w:t>.</w:t>
      </w:r>
      <w:r>
        <w:t xml:space="preserve"> and amend to read:</w:t>
      </w:r>
    </w:p>
    <w:p w14:paraId="60D0DEA6" w14:textId="1C6EA6D0" w:rsidR="00AD4625" w:rsidRPr="00DC191E" w:rsidRDefault="006775D4" w:rsidP="00AD4625">
      <w:pPr>
        <w:pStyle w:val="SingleTxtG"/>
        <w:ind w:left="2268" w:hanging="1134"/>
        <w:rPr>
          <w:bCs/>
        </w:rPr>
      </w:pPr>
      <w:r>
        <w:rPr>
          <w:rStyle w:val="SingleTxtGChar"/>
          <w:rFonts w:eastAsia="DengXian Light"/>
          <w:bCs/>
        </w:rPr>
        <w:t>"</w:t>
      </w:r>
      <w:r w:rsidR="00AD4625" w:rsidRPr="007C37C7">
        <w:rPr>
          <w:rStyle w:val="SingleTxtGChar"/>
          <w:rFonts w:eastAsia="DengXian Light"/>
          <w:bCs/>
        </w:rPr>
        <w:t>3.2</w:t>
      </w:r>
      <w:r w:rsidR="00AD4625">
        <w:rPr>
          <w:rStyle w:val="SingleTxtGChar"/>
          <w:rFonts w:eastAsia="DengXian Light"/>
          <w:bCs/>
        </w:rPr>
        <w:t>6</w:t>
      </w:r>
      <w:r w:rsidR="00AD4625" w:rsidRPr="007C37C7">
        <w:rPr>
          <w:rStyle w:val="SingleTxtGChar"/>
          <w:rFonts w:eastAsia="DengXian Light"/>
          <w:bCs/>
        </w:rPr>
        <w:t>.</w:t>
      </w:r>
      <w:r w:rsidR="00AD4625" w:rsidRPr="007C37C7">
        <w:rPr>
          <w:rStyle w:val="SingleTxtGChar"/>
          <w:rFonts w:eastAsia="DengXian Light"/>
          <w:bCs/>
        </w:rPr>
        <w:tab/>
        <w:t>"</w:t>
      </w:r>
      <w:r w:rsidR="00AD4625" w:rsidRPr="001E6A7B">
        <w:rPr>
          <w:rStyle w:val="SingleTxtGChar"/>
          <w:rFonts w:eastAsia="DengXian Light"/>
          <w:bCs/>
          <w:i/>
          <w:iCs/>
        </w:rPr>
        <w:t>Primary reference marks</w:t>
      </w:r>
      <w:r w:rsidR="00AD4625" w:rsidRPr="007C37C7">
        <w:rPr>
          <w:rStyle w:val="SingleTxtGChar"/>
          <w:rFonts w:eastAsia="DengXian Light"/>
          <w:bCs/>
        </w:rPr>
        <w:t>" means holes, surfaces, marks and identification signs</w:t>
      </w:r>
      <w:r w:rsidR="00AD4625" w:rsidRPr="00DC191E">
        <w:rPr>
          <w:bCs/>
        </w:rPr>
        <w:t xml:space="preserve"> on the vehicle body. The type of reference mark used and the vertical (Z) position of each mark relative to the ground shall be specified by the vehicle manufacturer according to the running conditions specified in paragraph </w:t>
      </w:r>
      <w:r w:rsidR="00AD4625" w:rsidRPr="00DF1FDB">
        <w:rPr>
          <w:bCs/>
        </w:rPr>
        <w:t>3.24.</w:t>
      </w:r>
      <w:r w:rsidR="00AD4625" w:rsidRPr="00DC191E">
        <w:rPr>
          <w:bCs/>
        </w:rPr>
        <w:t xml:space="preserve"> These marks shall be selected such as to be able to easily check the vehicle front and rear ride heights and vehicle attitude. </w:t>
      </w:r>
    </w:p>
    <w:p w14:paraId="47FA7BA4" w14:textId="77777777" w:rsidR="00AD4625" w:rsidRDefault="00AD4625" w:rsidP="00AD4625">
      <w:pPr>
        <w:pStyle w:val="SingleTxtG"/>
        <w:ind w:left="2268" w:hanging="1134"/>
        <w:rPr>
          <w:bCs/>
        </w:rPr>
      </w:pPr>
      <w:r w:rsidRPr="00DC191E">
        <w:rPr>
          <w:bCs/>
        </w:rPr>
        <w:tab/>
        <w:t>The primary reference marks shall be within ± 25 mm of the design position in the vertical (Z) axis. All tests are conducted with either the vehicle or all further measurements adjusted to simulate the vehicle being in the design position. This position shall be considered to be the normal ride attitude."</w:t>
      </w:r>
    </w:p>
    <w:p w14:paraId="6F662DA6" w14:textId="77777777" w:rsidR="00AD4625" w:rsidRPr="000C73D0" w:rsidRDefault="00AD4625" w:rsidP="00AD4625">
      <w:pPr>
        <w:pStyle w:val="SingleTxtG"/>
        <w:ind w:left="2268" w:hanging="1134"/>
        <w:rPr>
          <w:bCs/>
        </w:rPr>
      </w:pPr>
      <w:r w:rsidRPr="000C73D0">
        <w:rPr>
          <w:bCs/>
          <w:i/>
          <w:iCs/>
        </w:rPr>
        <w:t>Paragraph 3.26. (former),</w:t>
      </w:r>
      <w:r>
        <w:rPr>
          <w:bCs/>
        </w:rPr>
        <w:t xml:space="preserve"> renumber as paragraph 3.27.</w:t>
      </w:r>
    </w:p>
    <w:p w14:paraId="3DF228CC" w14:textId="3BAF8C50" w:rsidR="00AD4625" w:rsidRDefault="00AD4625" w:rsidP="00AD4625">
      <w:pPr>
        <w:pStyle w:val="SingleTxtG"/>
        <w:ind w:left="2268" w:hanging="1134"/>
      </w:pPr>
      <w:r w:rsidRPr="009E26F3">
        <w:rPr>
          <w:i/>
        </w:rPr>
        <w:t>Paragraph 3.2</w:t>
      </w:r>
      <w:r>
        <w:rPr>
          <w:i/>
        </w:rPr>
        <w:t>8</w:t>
      </w:r>
      <w:r w:rsidRPr="009E26F3">
        <w:rPr>
          <w:i/>
        </w:rPr>
        <w:t>. (</w:t>
      </w:r>
      <w:r>
        <w:rPr>
          <w:i/>
        </w:rPr>
        <w:t>former)</w:t>
      </w:r>
      <w:r w:rsidRPr="00605CF7">
        <w:t>,</w:t>
      </w:r>
      <w:r>
        <w:t xml:space="preserve"> shall be deleted.</w:t>
      </w:r>
    </w:p>
    <w:p w14:paraId="0E13FEBE" w14:textId="77777777" w:rsidR="00AD4625" w:rsidRPr="00D81799" w:rsidRDefault="00AD4625" w:rsidP="00AD4625">
      <w:pPr>
        <w:pStyle w:val="SingleTxtG"/>
        <w:ind w:left="2268" w:hanging="1134"/>
        <w:rPr>
          <w:iCs/>
        </w:rPr>
      </w:pPr>
      <w:r>
        <w:rPr>
          <w:i/>
        </w:rPr>
        <w:t>F</w:t>
      </w:r>
      <w:r w:rsidRPr="006A7C67">
        <w:rPr>
          <w:i/>
        </w:rPr>
        <w:t>igure 6</w:t>
      </w:r>
      <w:r>
        <w:rPr>
          <w:i/>
        </w:rPr>
        <w:t xml:space="preserve">, </w:t>
      </w:r>
      <w:r w:rsidRPr="00D81799">
        <w:rPr>
          <w:iCs/>
        </w:rPr>
        <w:t xml:space="preserve">shall be deleted </w:t>
      </w:r>
    </w:p>
    <w:p w14:paraId="30207054" w14:textId="77777777" w:rsidR="00AD4625" w:rsidRDefault="00AD4625" w:rsidP="00AD4625">
      <w:pPr>
        <w:pStyle w:val="SingleTxtG"/>
        <w:ind w:left="2268" w:hanging="1134"/>
        <w:rPr>
          <w:iCs/>
        </w:rPr>
      </w:pPr>
      <w:r>
        <w:rPr>
          <w:i/>
        </w:rPr>
        <w:t>Insert new Figures 6A and</w:t>
      </w:r>
      <w:r w:rsidRPr="006A7C67">
        <w:rPr>
          <w:i/>
        </w:rPr>
        <w:t xml:space="preserve"> 6</w:t>
      </w:r>
      <w:r>
        <w:rPr>
          <w:i/>
        </w:rPr>
        <w:t>B</w:t>
      </w:r>
      <w:r w:rsidRPr="00D81799">
        <w:rPr>
          <w:iCs/>
        </w:rPr>
        <w:t>, to read:</w:t>
      </w:r>
    </w:p>
    <w:p w14:paraId="67820DEC" w14:textId="6771419B" w:rsidR="00AD4625" w:rsidRDefault="00AD4625" w:rsidP="00AD4625">
      <w:pPr>
        <w:pStyle w:val="SingleTxtG"/>
        <w:rPr>
          <w:lang w:val="en-US"/>
        </w:rPr>
      </w:pPr>
      <w:r>
        <w:rPr>
          <w:lang w:val="en-US"/>
        </w:rPr>
        <w:t>"</w:t>
      </w:r>
      <w:r w:rsidRPr="006A7C67">
        <w:rPr>
          <w:lang w:val="en-US"/>
        </w:rPr>
        <w:t>Figure 6</w:t>
      </w:r>
      <w:r w:rsidRPr="00F06DF3">
        <w:rPr>
          <w:bCs/>
          <w:lang w:val="en-US"/>
        </w:rPr>
        <w:t>A</w:t>
      </w:r>
      <w:r w:rsidRPr="006A7C67">
        <w:rPr>
          <w:lang w:val="en-US"/>
        </w:rPr>
        <w:tab/>
      </w:r>
      <w:r>
        <w:rPr>
          <w:lang w:val="en-US"/>
        </w:rPr>
        <w:br/>
      </w:r>
      <w:r w:rsidRPr="006A7C67">
        <w:rPr>
          <w:b/>
          <w:lang w:val="en-US"/>
        </w:rPr>
        <w:t xml:space="preserve">Measuring </w:t>
      </w:r>
      <w:r w:rsidRPr="001D2E12">
        <w:rPr>
          <w:b/>
          <w:bCs/>
          <w:lang w:val="en-US"/>
        </w:rPr>
        <w:t>point in the vertical long</w:t>
      </w:r>
      <w:r>
        <w:rPr>
          <w:b/>
          <w:bCs/>
          <w:lang w:val="en-US"/>
        </w:rPr>
        <w:t xml:space="preserve">itudinal plane through the </w:t>
      </w:r>
      <w:proofErr w:type="spellStart"/>
      <w:r>
        <w:rPr>
          <w:b/>
          <w:bCs/>
          <w:lang w:val="en-US"/>
        </w:rPr>
        <w:t>cent</w:t>
      </w:r>
      <w:r w:rsidRPr="001D2E12">
        <w:rPr>
          <w:b/>
          <w:bCs/>
          <w:lang w:val="en-US"/>
        </w:rPr>
        <w:t>r</w:t>
      </w:r>
      <w:r>
        <w:rPr>
          <w:b/>
          <w:bCs/>
          <w:lang w:val="en-US"/>
        </w:rPr>
        <w:t>e</w:t>
      </w:r>
      <w:proofErr w:type="spellEnd"/>
      <w:r w:rsidRPr="001D2E12">
        <w:rPr>
          <w:b/>
          <w:bCs/>
          <w:lang w:val="en-US"/>
        </w:rPr>
        <w:t xml:space="preserve"> of the </w:t>
      </w:r>
      <w:proofErr w:type="spellStart"/>
      <w:r>
        <w:rPr>
          <w:b/>
          <w:bCs/>
          <w:lang w:val="en-US"/>
        </w:rPr>
        <w:t>headform</w:t>
      </w:r>
      <w:proofErr w:type="spellEnd"/>
      <w:r>
        <w:rPr>
          <w:b/>
          <w:bCs/>
          <w:lang w:val="en-US"/>
        </w:rPr>
        <w:t xml:space="preserve"> </w:t>
      </w:r>
      <w:r w:rsidRPr="001D2E12">
        <w:rPr>
          <w:b/>
          <w:bCs/>
          <w:lang w:val="en-US"/>
        </w:rPr>
        <w:t>impactor (see paragraph</w:t>
      </w:r>
      <w:r>
        <w:rPr>
          <w:b/>
          <w:bCs/>
          <w:lang w:val="en-US"/>
        </w:rPr>
        <w:t xml:space="preserve"> 3.21.1</w:t>
      </w:r>
      <w:r w:rsidRPr="001D2E12">
        <w:rPr>
          <w:b/>
          <w:bCs/>
          <w:lang w:val="en-US"/>
        </w:rPr>
        <w:t>)</w:t>
      </w:r>
      <w:r>
        <w:rPr>
          <w:lang w:val="en-US"/>
        </w:rPr>
        <w:t xml:space="preserve"> </w:t>
      </w:r>
      <w:r w:rsidRPr="00031416">
        <w:rPr>
          <w:rStyle w:val="FootnoteReference"/>
          <w:b/>
          <w:lang w:val="en-US"/>
        </w:rPr>
        <w:footnoteReference w:id="4"/>
      </w:r>
    </w:p>
    <w:p w14:paraId="035CF48C" w14:textId="29447CCF" w:rsidR="00AD4625" w:rsidRDefault="00AD4625" w:rsidP="006775D4">
      <w:pPr>
        <w:pStyle w:val="SingleTxtG"/>
        <w:jc w:val="left"/>
        <w:rPr>
          <w:b/>
          <w:u w:val="single"/>
          <w:lang w:val="en-US"/>
        </w:rPr>
      </w:pPr>
      <w:r>
        <w:rPr>
          <w:noProof/>
          <w:lang w:val="en-US"/>
        </w:rPr>
        <mc:AlternateContent>
          <mc:Choice Requires="wps">
            <w:drawing>
              <wp:anchor distT="0" distB="0" distL="114300" distR="114300" simplePos="0" relativeHeight="251659264" behindDoc="0" locked="0" layoutInCell="1" allowOverlap="1" wp14:anchorId="554C8991" wp14:editId="7F382DDD">
                <wp:simplePos x="0" y="0"/>
                <wp:positionH relativeFrom="column">
                  <wp:posOffset>3186430</wp:posOffset>
                </wp:positionH>
                <wp:positionV relativeFrom="paragraph">
                  <wp:posOffset>85725</wp:posOffset>
                </wp:positionV>
                <wp:extent cx="1889125" cy="492125"/>
                <wp:effectExtent l="127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B7B2F" w14:textId="77777777" w:rsidR="00AD4625" w:rsidRPr="00E964AD" w:rsidRDefault="00AD4625" w:rsidP="00AD4625">
                            <w:pPr>
                              <w:rPr>
                                <w:lang w:val="en-US"/>
                              </w:rPr>
                            </w:pPr>
                            <w:r w:rsidRPr="00E964AD">
                              <w:rPr>
                                <w:lang w:val="en-US"/>
                              </w:rPr>
                              <w:t>A Measuring Point</w:t>
                            </w:r>
                            <w:r w:rsidRPr="00E964AD">
                              <w:rPr>
                                <w:lang w:val="en-US"/>
                              </w:rPr>
                              <w:br/>
                            </w:r>
                            <w:proofErr w:type="gramStart"/>
                            <w:r>
                              <w:rPr>
                                <w:lang w:val="de-DE"/>
                              </w:rPr>
                              <w:t>θ</w:t>
                            </w:r>
                            <w:r w:rsidRPr="00E964AD">
                              <w:rPr>
                                <w:lang w:val="en-US"/>
                              </w:rPr>
                              <w:t xml:space="preserve">  Impact</w:t>
                            </w:r>
                            <w:proofErr w:type="gramEnd"/>
                            <w:r w:rsidRPr="00E964AD">
                              <w:rPr>
                                <w:lang w:val="en-US"/>
                              </w:rPr>
                              <w:t xml:space="preserve"> angle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8991" id="_x0000_t202" coordsize="21600,21600" o:spt="202" path="m,l,21600r21600,l21600,xe">
                <v:stroke joinstyle="miter"/>
                <v:path gradientshapeok="t" o:connecttype="rect"/>
              </v:shapetype>
              <v:shape id="Text Box 6" o:spid="_x0000_s1026" type="#_x0000_t202" style="position:absolute;left:0;text-align:left;margin-left:250.9pt;margin-top:6.75pt;width:148.7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" filled="f" stroked="f">
                <v:textbox inset="5.85pt,.7pt,5.85pt,.7pt">
                  <w:txbxContent>
                    <w:p w14:paraId="150B7B2F" w14:textId="77777777" w:rsidR="00AD4625" w:rsidRPr="00E964AD" w:rsidRDefault="00AD4625" w:rsidP="00AD4625">
                      <w:pPr>
                        <w:rPr>
                          <w:lang w:val="en-US"/>
                        </w:rPr>
                      </w:pPr>
                      <w:r w:rsidRPr="00E964AD">
                        <w:rPr>
                          <w:lang w:val="en-US"/>
                        </w:rPr>
                        <w:t>A Measuring Point</w:t>
                      </w:r>
                      <w:r w:rsidRPr="00E964AD">
                        <w:rPr>
                          <w:lang w:val="en-US"/>
                        </w:rPr>
                        <w:br/>
                      </w:r>
                      <w:r>
                        <w:rPr>
                          <w:lang w:val="de-DE"/>
                        </w:rPr>
                        <w:t>θ</w:t>
                      </w:r>
                      <w:r w:rsidRPr="00E964AD">
                        <w:rPr>
                          <w:lang w:val="en-US"/>
                        </w:rPr>
                        <w:t xml:space="preserve">  Impact angle</w:t>
                      </w:r>
                    </w:p>
                  </w:txbxContent>
                </v:textbox>
              </v:shape>
            </w:pict>
          </mc:Fallback>
        </mc:AlternateContent>
      </w:r>
      <w:r>
        <w:rPr>
          <w:b/>
          <w:noProof/>
          <w:u w:val="single"/>
          <w:lang w:val="en-US"/>
        </w:rPr>
        <w:drawing>
          <wp:inline distT="0" distB="0" distL="0" distR="0" wp14:anchorId="48949DC2" wp14:editId="64DD5CC0">
            <wp:extent cx="3957320" cy="27139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7320" cy="2713990"/>
                    </a:xfrm>
                    <a:prstGeom prst="rect">
                      <a:avLst/>
                    </a:prstGeom>
                    <a:noFill/>
                    <a:ln>
                      <a:noFill/>
                    </a:ln>
                  </pic:spPr>
                </pic:pic>
              </a:graphicData>
            </a:graphic>
          </wp:inline>
        </w:drawing>
      </w:r>
    </w:p>
    <w:p w14:paraId="201E6239" w14:textId="77777777" w:rsidR="00AD4625" w:rsidRPr="002E11B3" w:rsidRDefault="00AD4625" w:rsidP="006775D4">
      <w:pPr>
        <w:pStyle w:val="SingleTxtG"/>
        <w:keepNext/>
        <w:keepLines/>
        <w:spacing w:after="0"/>
        <w:ind w:left="2268" w:hanging="1134"/>
        <w:rPr>
          <w:bCs/>
        </w:rPr>
      </w:pPr>
      <w:r w:rsidRPr="002E11B3">
        <w:rPr>
          <w:bCs/>
        </w:rPr>
        <w:lastRenderedPageBreak/>
        <w:t>Figure 6</w:t>
      </w:r>
      <w:r>
        <w:rPr>
          <w:bCs/>
        </w:rPr>
        <w:t>B</w:t>
      </w:r>
      <w:r w:rsidRPr="002E11B3">
        <w:rPr>
          <w:bCs/>
        </w:rPr>
        <w:tab/>
      </w:r>
    </w:p>
    <w:p w14:paraId="5EE66137" w14:textId="5164F5AB" w:rsidR="00AD4625" w:rsidRDefault="00AD4625" w:rsidP="006775D4">
      <w:pPr>
        <w:pStyle w:val="SingleTxtG"/>
        <w:keepNext/>
        <w:keepLines/>
        <w:rPr>
          <w:noProof/>
        </w:rPr>
      </w:pPr>
      <w:r w:rsidRPr="006A7C67">
        <w:rPr>
          <w:b/>
        </w:rPr>
        <w:t xml:space="preserve">Measuring </w:t>
      </w:r>
      <w:r>
        <w:rPr>
          <w:b/>
        </w:rPr>
        <w:t xml:space="preserve">point </w:t>
      </w:r>
      <w:r w:rsidRPr="00D6277B">
        <w:rPr>
          <w:b/>
          <w:color w:val="000000"/>
          <w:lang w:val="en-US"/>
        </w:rPr>
        <w:t xml:space="preserve">in the vertical longitudinal plane through the central axis of the </w:t>
      </w:r>
      <w:proofErr w:type="spellStart"/>
      <w:r>
        <w:rPr>
          <w:b/>
          <w:color w:val="000000"/>
          <w:lang w:val="en-US"/>
        </w:rPr>
        <w:t>legform</w:t>
      </w:r>
      <w:proofErr w:type="spellEnd"/>
      <w:r>
        <w:rPr>
          <w:b/>
          <w:color w:val="000000"/>
          <w:lang w:val="en-US"/>
        </w:rPr>
        <w:t xml:space="preserve"> </w:t>
      </w:r>
      <w:r w:rsidRPr="00D6277B">
        <w:rPr>
          <w:b/>
          <w:color w:val="000000"/>
          <w:lang w:val="en-US"/>
        </w:rPr>
        <w:t>impactor</w:t>
      </w:r>
      <w:r>
        <w:rPr>
          <w:b/>
          <w:color w:val="000000"/>
          <w:lang w:val="en-US"/>
        </w:rPr>
        <w:t xml:space="preserve"> </w:t>
      </w:r>
      <w:r>
        <w:rPr>
          <w:b/>
        </w:rPr>
        <w:t>(see paragraph 3.21.2</w:t>
      </w:r>
      <w:r w:rsidRPr="006A7C67">
        <w:rPr>
          <w:b/>
        </w:rPr>
        <w:t>)</w:t>
      </w:r>
    </w:p>
    <w:p w14:paraId="21AD8727" w14:textId="77777777" w:rsidR="006775D4" w:rsidRDefault="00AD4625" w:rsidP="006775D4">
      <w:pPr>
        <w:pStyle w:val="SingleTxtG"/>
        <w:keepNext/>
        <w:keepLines/>
        <w:ind w:left="2268" w:hanging="1134"/>
        <w:jc w:val="left"/>
      </w:pPr>
      <w:r>
        <w:rPr>
          <w:noProof/>
          <w:lang w:val="en-US"/>
        </w:rPr>
        <mc:AlternateContent>
          <mc:Choice Requires="wps">
            <w:drawing>
              <wp:anchor distT="0" distB="0" distL="114300" distR="114300" simplePos="0" relativeHeight="251660288" behindDoc="0" locked="0" layoutInCell="1" allowOverlap="1" wp14:anchorId="744650BF" wp14:editId="61F508D5">
                <wp:simplePos x="0" y="0"/>
                <wp:positionH relativeFrom="column">
                  <wp:posOffset>3273425</wp:posOffset>
                </wp:positionH>
                <wp:positionV relativeFrom="paragraph">
                  <wp:posOffset>170815</wp:posOffset>
                </wp:positionV>
                <wp:extent cx="1501140" cy="284480"/>
                <wp:effectExtent l="2540" t="254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60B70" w14:textId="77777777" w:rsidR="00AD4625" w:rsidRPr="00A04CA8" w:rsidRDefault="00AD4625" w:rsidP="00AD4625">
                            <w:r>
                              <w:rPr>
                                <w:lang w:val="de-DE"/>
                              </w:rPr>
                              <w:t xml:space="preserve">A </w:t>
                            </w:r>
                            <w:proofErr w:type="spellStart"/>
                            <w:r>
                              <w:rPr>
                                <w:lang w:val="de-DE"/>
                              </w:rPr>
                              <w:t>Measuring</w:t>
                            </w:r>
                            <w:proofErr w:type="spellEnd"/>
                            <w:r>
                              <w:rPr>
                                <w:lang w:val="de-DE"/>
                              </w:rPr>
                              <w:t xml:space="preserve"> </w:t>
                            </w:r>
                            <w:proofErr w:type="spellStart"/>
                            <w:r>
                              <w:rPr>
                                <w:lang w:val="de-DE"/>
                              </w:rPr>
                              <w:t>point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50BF" id="Text Box 5" o:spid="_x0000_s1027" type="#_x0000_t202" style="position:absolute;left:0;text-align:left;margin-left:257.75pt;margin-top:13.45pt;width:118.2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" filled="f" stroked="f">
                <v:textbox inset="5.85pt,.7pt,5.85pt,.7pt">
                  <w:txbxContent>
                    <w:p w14:paraId="27260B70" w14:textId="77777777" w:rsidR="00AD4625" w:rsidRPr="00A04CA8" w:rsidRDefault="00AD4625" w:rsidP="00AD4625">
                      <w:r>
                        <w:rPr>
                          <w:lang w:val="de-DE"/>
                        </w:rPr>
                        <w:t>A Measuring point</w:t>
                      </w:r>
                    </w:p>
                  </w:txbxContent>
                </v:textbox>
              </v:shape>
            </w:pict>
          </mc:Fallback>
        </mc:AlternateContent>
      </w:r>
      <w:r>
        <w:rPr>
          <w:noProof/>
        </w:rPr>
        <w:drawing>
          <wp:inline distT="0" distB="0" distL="0" distR="0" wp14:anchorId="0874E463" wp14:editId="0085D783">
            <wp:extent cx="4243070" cy="28016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3070" cy="2801620"/>
                    </a:xfrm>
                    <a:prstGeom prst="rect">
                      <a:avLst/>
                    </a:prstGeom>
                    <a:noFill/>
                    <a:ln>
                      <a:noFill/>
                    </a:ln>
                  </pic:spPr>
                </pic:pic>
              </a:graphicData>
            </a:graphic>
          </wp:inline>
        </w:drawing>
      </w:r>
    </w:p>
    <w:p w14:paraId="472C7244" w14:textId="30860D00" w:rsidR="00AD4625" w:rsidRPr="006A7C67" w:rsidRDefault="00AD4625" w:rsidP="006775D4">
      <w:pPr>
        <w:pStyle w:val="SingleTxtG"/>
        <w:keepNext/>
        <w:keepLines/>
        <w:ind w:left="2268" w:hanging="1134"/>
        <w:jc w:val="right"/>
      </w:pPr>
      <w:r>
        <w:t>"</w:t>
      </w:r>
    </w:p>
    <w:p w14:paraId="0F287B24" w14:textId="77777777" w:rsidR="00AD4625" w:rsidRPr="006A7C67" w:rsidRDefault="00AD4625" w:rsidP="00AD4625">
      <w:pPr>
        <w:pStyle w:val="SingleTxtG"/>
        <w:rPr>
          <w:lang w:val="en-US"/>
        </w:rPr>
      </w:pPr>
      <w:r w:rsidRPr="006A7C67">
        <w:rPr>
          <w:i/>
          <w:iCs/>
          <w:lang w:val="en-US"/>
        </w:rPr>
        <w:t>Paragraph 4.1.</w:t>
      </w:r>
      <w:r w:rsidRPr="006A7C67">
        <w:rPr>
          <w:lang w:val="en-US"/>
        </w:rPr>
        <w:t>, amend to read:</w:t>
      </w:r>
    </w:p>
    <w:p w14:paraId="1F08BECA" w14:textId="77777777" w:rsidR="00AD4625" w:rsidRPr="00E001F6" w:rsidRDefault="00AD4625" w:rsidP="00AD4625">
      <w:pPr>
        <w:pStyle w:val="SingleTxtG"/>
        <w:ind w:left="2268" w:hanging="1134"/>
      </w:pPr>
      <w:r w:rsidRPr="00E001F6">
        <w:t>"4.1.</w:t>
      </w:r>
      <w:r w:rsidRPr="00E001F6">
        <w:tab/>
      </w:r>
      <w:proofErr w:type="spellStart"/>
      <w:r w:rsidRPr="00E001F6">
        <w:rPr>
          <w:i/>
          <w:iCs/>
        </w:rPr>
        <w:t>Legform</w:t>
      </w:r>
      <w:proofErr w:type="spellEnd"/>
      <w:r w:rsidRPr="00E001F6">
        <w:rPr>
          <w:i/>
          <w:iCs/>
        </w:rPr>
        <w:t xml:space="preserve"> test to bumper</w:t>
      </w:r>
    </w:p>
    <w:p w14:paraId="2D8C1364" w14:textId="77777777" w:rsidR="00AD4625" w:rsidRPr="00E001F6" w:rsidRDefault="00AD4625" w:rsidP="00AD4625">
      <w:pPr>
        <w:pStyle w:val="SingleTxtG"/>
        <w:ind w:left="2268"/>
      </w:pPr>
      <w:r w:rsidRPr="00E001F6">
        <w:t xml:space="preserve">For vehicles with a lower bumper height </w:t>
      </w:r>
      <w:r w:rsidRPr="00E001F6">
        <w:rPr>
          <w:rFonts w:hint="eastAsia"/>
          <w:lang w:eastAsia="ja-JP"/>
        </w:rPr>
        <w:t xml:space="preserve">at the test position </w:t>
      </w:r>
      <w:r w:rsidRPr="00E001F6">
        <w:t xml:space="preserve">of less than 425 mm, the requirements of paragraph 4.1.1. shall be applied. </w:t>
      </w:r>
    </w:p>
    <w:p w14:paraId="71D0AC28" w14:textId="77777777" w:rsidR="00AD4625" w:rsidRPr="00E001F6" w:rsidRDefault="00AD4625" w:rsidP="00AD4625">
      <w:pPr>
        <w:pStyle w:val="SingleTxtG"/>
        <w:ind w:left="2268"/>
      </w:pPr>
      <w:r w:rsidRPr="00E001F6">
        <w:t xml:space="preserve">For vehicles with a lower bumper height </w:t>
      </w:r>
      <w:r w:rsidRPr="00E001F6">
        <w:rPr>
          <w:rFonts w:hint="eastAsia"/>
          <w:lang w:eastAsia="ja-JP"/>
        </w:rPr>
        <w:t xml:space="preserve">at the test position </w:t>
      </w:r>
      <w:r w:rsidRPr="00E001F6">
        <w:t>which is greater than or equal to 425 mm and less than 500 mm, the requirements of either paragraph 4.1.1. or 4.1.2., at the choice of the manufacturer, shall be applied.</w:t>
      </w:r>
    </w:p>
    <w:p w14:paraId="6D6969A6" w14:textId="77777777" w:rsidR="00AD4625" w:rsidRPr="00E001F6" w:rsidRDefault="00AD4625" w:rsidP="00AD4625">
      <w:pPr>
        <w:pStyle w:val="SingleTxtG"/>
        <w:ind w:left="2268"/>
      </w:pPr>
      <w:r w:rsidRPr="00E001F6">
        <w:t xml:space="preserve">For vehicles with a lower bumper height </w:t>
      </w:r>
      <w:r w:rsidRPr="00E001F6">
        <w:rPr>
          <w:rFonts w:hint="eastAsia"/>
          <w:lang w:eastAsia="ja-JP"/>
        </w:rPr>
        <w:t xml:space="preserve">at the test position </w:t>
      </w:r>
      <w:r w:rsidRPr="00E001F6">
        <w:t>of greater than, or equal</w:t>
      </w:r>
      <w:r w:rsidRPr="00E001F6">
        <w:rPr>
          <w:rFonts w:hint="eastAsia"/>
          <w:lang w:eastAsia="ja-JP"/>
        </w:rPr>
        <w:t xml:space="preserve"> </w:t>
      </w:r>
      <w:r w:rsidRPr="00E001F6">
        <w:t>to 500 mm, the</w:t>
      </w:r>
      <w:r w:rsidRPr="00E001F6">
        <w:rPr>
          <w:rFonts w:hint="eastAsia"/>
          <w:lang w:eastAsia="ja-JP"/>
        </w:rPr>
        <w:t xml:space="preserve"> </w:t>
      </w:r>
      <w:r w:rsidRPr="00E001F6">
        <w:t>requirements of paragraph 4.1.2. shall be applied."</w:t>
      </w:r>
    </w:p>
    <w:p w14:paraId="0006ED89" w14:textId="77777777" w:rsidR="00AD4625" w:rsidRPr="006A7C67" w:rsidRDefault="00AD4625" w:rsidP="00AD4625">
      <w:pPr>
        <w:pStyle w:val="SingleTxtG"/>
        <w:ind w:left="2268" w:hanging="1134"/>
      </w:pPr>
      <w:r w:rsidRPr="006A7C67">
        <w:rPr>
          <w:i/>
        </w:rPr>
        <w:t>Paragraph 5.2.3.</w:t>
      </w:r>
      <w:r w:rsidRPr="006A7C67">
        <w:t>, amend to read:</w:t>
      </w:r>
    </w:p>
    <w:p w14:paraId="24D3475C" w14:textId="503A3841" w:rsidR="00AD4625" w:rsidRPr="00E001F6" w:rsidRDefault="00AD4625" w:rsidP="00AD4625">
      <w:pPr>
        <w:pStyle w:val="SingleTxtG"/>
        <w:ind w:left="2268" w:hanging="1134"/>
      </w:pPr>
      <w:r w:rsidRPr="006A7C67">
        <w:t xml:space="preserve">"5.2.3. </w:t>
      </w:r>
      <w:r w:rsidRPr="006A7C67">
        <w:tab/>
      </w:r>
      <w:r w:rsidRPr="00E001F6">
        <w:t xml:space="preserve">The HIC recorded shall not exceed 1,000 over a minimum of one half of the child </w:t>
      </w:r>
      <w:proofErr w:type="spellStart"/>
      <w:r w:rsidRPr="00E001F6">
        <w:t>headform</w:t>
      </w:r>
      <w:proofErr w:type="spellEnd"/>
      <w:r w:rsidRPr="00E001F6">
        <w:t xml:space="preserve"> test area and 1,000 over two thirds of the bonnet top test area. The HIC for the remaining areas shall not exceed 1,700 for both </w:t>
      </w:r>
      <w:proofErr w:type="spellStart"/>
      <w:r w:rsidRPr="00E001F6">
        <w:t>headforms</w:t>
      </w:r>
      <w:proofErr w:type="spellEnd"/>
      <w:r w:rsidRPr="00E001F6">
        <w:t xml:space="preserve">. </w:t>
      </w:r>
    </w:p>
    <w:p w14:paraId="58655CCE" w14:textId="77777777" w:rsidR="00AD4625" w:rsidRPr="00E001F6" w:rsidRDefault="00AD4625" w:rsidP="00AD4625">
      <w:pPr>
        <w:pStyle w:val="SingleTxtG"/>
        <w:ind w:left="2268"/>
      </w:pPr>
      <w:r w:rsidRPr="00E001F6">
        <w:t xml:space="preserve">In case there is only a child </w:t>
      </w:r>
      <w:proofErr w:type="spellStart"/>
      <w:r w:rsidRPr="00E001F6">
        <w:t>headform</w:t>
      </w:r>
      <w:proofErr w:type="spellEnd"/>
      <w:r w:rsidRPr="00E001F6">
        <w:t xml:space="preserve"> test area, the HIC recorded shall not exceed 1,000 over two thirds of the test area. For the remaining area the HIC shall not exceed 1,700."</w:t>
      </w:r>
    </w:p>
    <w:p w14:paraId="43A61DC8" w14:textId="77777777" w:rsidR="00AD4625" w:rsidRPr="006A7C67" w:rsidRDefault="00AD4625" w:rsidP="00AD4625">
      <w:pPr>
        <w:pStyle w:val="SingleTxtG"/>
        <w:ind w:left="2268" w:hanging="1134"/>
      </w:pPr>
      <w:r w:rsidRPr="006A7C67">
        <w:rPr>
          <w:i/>
        </w:rPr>
        <w:t>Paragraph 5.2.4.1.</w:t>
      </w:r>
      <w:r w:rsidRPr="006A7C67">
        <w:t>, amend to read:</w:t>
      </w:r>
    </w:p>
    <w:p w14:paraId="56D15E6B" w14:textId="77777777" w:rsidR="00AD4625" w:rsidRPr="00E001F6" w:rsidRDefault="00AD4625" w:rsidP="00AD4625">
      <w:pPr>
        <w:pStyle w:val="SingleTxtG"/>
        <w:ind w:left="2268" w:hanging="1134"/>
      </w:pPr>
      <w:r w:rsidRPr="00E001F6">
        <w:t xml:space="preserve">"5.2.4.1. </w:t>
      </w:r>
      <w:r w:rsidRPr="00E001F6">
        <w:tab/>
        <w:t xml:space="preserve">The manufacturer shall identify the zones of the bonnet top test area where the HIC must </w:t>
      </w:r>
      <w:proofErr w:type="gramStart"/>
      <w:r w:rsidRPr="00E001F6">
        <w:t>not exceed</w:t>
      </w:r>
      <w:proofErr w:type="gramEnd"/>
      <w:r w:rsidRPr="00E001F6">
        <w:t xml:space="preserve"> 1,000 (HIC1000 Zone) or 1,700 (HIC1700 Zone) (see Figure 11)."</w:t>
      </w:r>
    </w:p>
    <w:p w14:paraId="392003C4" w14:textId="77777777" w:rsidR="00AD4625" w:rsidRDefault="00AD4625" w:rsidP="00AD4625">
      <w:pPr>
        <w:pStyle w:val="SingleTxtG"/>
        <w:ind w:left="2268" w:hanging="1134"/>
        <w:rPr>
          <w:i/>
        </w:rPr>
      </w:pPr>
      <w:r w:rsidRPr="006A7C67">
        <w:rPr>
          <w:i/>
        </w:rPr>
        <w:br w:type="page"/>
      </w:r>
      <w:r>
        <w:rPr>
          <w:i/>
        </w:rPr>
        <w:lastRenderedPageBreak/>
        <w:t>F</w:t>
      </w:r>
      <w:r w:rsidRPr="006A7C67">
        <w:rPr>
          <w:i/>
        </w:rPr>
        <w:t>igure 11</w:t>
      </w:r>
      <w:r>
        <w:rPr>
          <w:i/>
        </w:rPr>
        <w:t>(former)</w:t>
      </w:r>
      <w:r w:rsidRPr="00455DE3">
        <w:rPr>
          <w:iCs/>
        </w:rPr>
        <w:t xml:space="preserve">, shall be deleted </w:t>
      </w:r>
    </w:p>
    <w:p w14:paraId="1C3D4854" w14:textId="77777777" w:rsidR="00AD4625" w:rsidRDefault="00AD4625" w:rsidP="00AD4625">
      <w:pPr>
        <w:pStyle w:val="SingleTxtG"/>
        <w:ind w:left="2268" w:hanging="1134"/>
        <w:rPr>
          <w:i/>
        </w:rPr>
      </w:pPr>
      <w:r>
        <w:rPr>
          <w:i/>
        </w:rPr>
        <w:t>Insert new F</w:t>
      </w:r>
      <w:r w:rsidRPr="006A7C67">
        <w:rPr>
          <w:i/>
        </w:rPr>
        <w:t>igure 11</w:t>
      </w:r>
      <w:r>
        <w:rPr>
          <w:i/>
        </w:rPr>
        <w:t xml:space="preserve">, </w:t>
      </w:r>
      <w:r w:rsidRPr="00455DE3">
        <w:rPr>
          <w:iCs/>
        </w:rPr>
        <w:t>to read</w:t>
      </w:r>
      <w:r>
        <w:rPr>
          <w:i/>
        </w:rPr>
        <w:t>:</w:t>
      </w:r>
    </w:p>
    <w:p w14:paraId="760C74FC" w14:textId="77777777" w:rsidR="00AD4625" w:rsidRDefault="00AD4625" w:rsidP="00AD4625">
      <w:pPr>
        <w:pStyle w:val="SingleTxtG"/>
        <w:spacing w:after="0"/>
        <w:ind w:left="2268" w:hanging="1134"/>
        <w:rPr>
          <w:lang w:val="en-US"/>
        </w:rPr>
      </w:pPr>
      <w:r>
        <w:rPr>
          <w:lang w:val="en-US"/>
        </w:rPr>
        <w:t>"Figure 11</w:t>
      </w:r>
    </w:p>
    <w:p w14:paraId="56F0E9C5" w14:textId="77777777" w:rsidR="00AD4625" w:rsidRPr="001D2E12" w:rsidRDefault="00AD4625" w:rsidP="00AD4625">
      <w:pPr>
        <w:pStyle w:val="SingleTxtG"/>
        <w:spacing w:after="0"/>
        <w:ind w:left="2268" w:hanging="1134"/>
        <w:rPr>
          <w:b/>
          <w:bCs/>
          <w:i/>
        </w:rPr>
      </w:pPr>
      <w:r w:rsidRPr="001D2E12">
        <w:rPr>
          <w:b/>
          <w:bCs/>
          <w:lang w:val="en-US"/>
        </w:rPr>
        <w:t>Example of marking of HIC1000 zone and HIC1700 zone</w:t>
      </w:r>
    </w:p>
    <w:p w14:paraId="73451F14" w14:textId="04F407E6" w:rsidR="00AD4625" w:rsidRDefault="00AD4625" w:rsidP="005E14F5">
      <w:pPr>
        <w:pStyle w:val="SingleTxtG"/>
        <w:ind w:left="2268" w:hanging="1134"/>
        <w:jc w:val="right"/>
        <w:rPr>
          <w:i/>
        </w:rPr>
      </w:pPr>
      <w:r w:rsidRPr="006A7C67">
        <w:rPr>
          <w:noProof/>
        </w:rPr>
        <w:drawing>
          <wp:inline distT="0" distB="0" distL="0" distR="0" wp14:anchorId="076A5354" wp14:editId="0D6C0B23">
            <wp:extent cx="5201285" cy="3452495"/>
            <wp:effectExtent l="0" t="0" r="0" b="0"/>
            <wp:docPr id="2" name="Picture 2" descr="Test area figure 3 - 2011-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Test area figure 3 - 2011-04-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1285" cy="3452495"/>
                    </a:xfrm>
                    <a:prstGeom prst="rect">
                      <a:avLst/>
                    </a:prstGeom>
                    <a:noFill/>
                    <a:ln>
                      <a:noFill/>
                    </a:ln>
                  </pic:spPr>
                </pic:pic>
              </a:graphicData>
            </a:graphic>
          </wp:inline>
        </w:drawing>
      </w:r>
      <w:r>
        <w:rPr>
          <w:noProof/>
        </w:rPr>
        <w:t>"</w:t>
      </w:r>
    </w:p>
    <w:p w14:paraId="3DC62D6A" w14:textId="77777777" w:rsidR="00AD4625" w:rsidRPr="00134FFB" w:rsidRDefault="00AD4625" w:rsidP="00AD4625">
      <w:pPr>
        <w:pStyle w:val="SingleTxtG"/>
        <w:ind w:left="2268" w:hanging="1134"/>
        <w:rPr>
          <w:lang w:val="en-US"/>
        </w:rPr>
      </w:pPr>
      <w:r>
        <w:rPr>
          <w:i/>
        </w:rPr>
        <w:t>P</w:t>
      </w:r>
      <w:proofErr w:type="spellStart"/>
      <w:r w:rsidRPr="00134FFB">
        <w:rPr>
          <w:i/>
          <w:lang w:val="en-US"/>
        </w:rPr>
        <w:t>aragraph</w:t>
      </w:r>
      <w:proofErr w:type="spellEnd"/>
      <w:r w:rsidRPr="00134FFB">
        <w:rPr>
          <w:i/>
          <w:lang w:val="en-US"/>
        </w:rPr>
        <w:t xml:space="preserve"> 5.2.4.3., </w:t>
      </w:r>
      <w:r>
        <w:rPr>
          <w:i/>
        </w:rPr>
        <w:t>amend to read</w:t>
      </w:r>
      <w:r w:rsidRPr="00134FFB">
        <w:rPr>
          <w:lang w:val="en-US"/>
        </w:rPr>
        <w:t>:</w:t>
      </w:r>
    </w:p>
    <w:p w14:paraId="76C90BC1" w14:textId="77777777" w:rsidR="00AD4625" w:rsidRPr="00E001F6" w:rsidRDefault="00AD4625" w:rsidP="00AD4625">
      <w:pPr>
        <w:pStyle w:val="SingleTxtG"/>
        <w:ind w:left="2268" w:hanging="1134"/>
        <w:rPr>
          <w:bCs/>
          <w:lang w:val="en-US"/>
        </w:rPr>
      </w:pPr>
      <w:r w:rsidRPr="00134FFB">
        <w:rPr>
          <w:lang w:val="en-US"/>
        </w:rPr>
        <w:t xml:space="preserve">"5.2.4.3. </w:t>
      </w:r>
      <w:r w:rsidRPr="00134FFB">
        <w:rPr>
          <w:lang w:val="en-US"/>
        </w:rPr>
        <w:tab/>
        <w:t>The areas of "HIC1000 zone" and "HIC1700 zone" may consist of several parts, with the number of these parts not being</w:t>
      </w:r>
      <w:r>
        <w:rPr>
          <w:lang w:val="en-US"/>
        </w:rPr>
        <w:t xml:space="preserve"> limited. </w:t>
      </w:r>
      <w:r w:rsidRPr="00E001F6">
        <w:rPr>
          <w:bCs/>
          <w:lang w:val="en-US"/>
        </w:rPr>
        <w:t>The determination of the impacted zone is done by the measuring point."</w:t>
      </w:r>
    </w:p>
    <w:p w14:paraId="19D4D98F" w14:textId="77777777" w:rsidR="00AD4625" w:rsidRPr="00E001F6" w:rsidRDefault="00AD4625" w:rsidP="00AD4625">
      <w:pPr>
        <w:pStyle w:val="SingleTxtG"/>
        <w:ind w:left="2268" w:hanging="1134"/>
        <w:rPr>
          <w:bCs/>
          <w:lang w:val="en-US"/>
        </w:rPr>
      </w:pPr>
      <w:r w:rsidRPr="00E001F6">
        <w:rPr>
          <w:bCs/>
          <w:i/>
          <w:lang w:val="en-US"/>
        </w:rPr>
        <w:t xml:space="preserve">Paragraph 5.2.4.4., </w:t>
      </w:r>
      <w:r w:rsidRPr="00E001F6">
        <w:rPr>
          <w:bCs/>
          <w:lang w:val="en-US"/>
        </w:rPr>
        <w:t>amend to read:</w:t>
      </w:r>
    </w:p>
    <w:p w14:paraId="15AB12E7" w14:textId="0ED81D86" w:rsidR="00AD4625" w:rsidRPr="00D81799" w:rsidRDefault="00AD4625" w:rsidP="00AD4625">
      <w:pPr>
        <w:pStyle w:val="SingleTxtG"/>
        <w:ind w:left="2268" w:hanging="1134"/>
        <w:rPr>
          <w:lang w:val="en-US"/>
        </w:rPr>
      </w:pPr>
      <w:r w:rsidRPr="00E001F6">
        <w:rPr>
          <w:bCs/>
          <w:lang w:val="en-US"/>
        </w:rPr>
        <w:t xml:space="preserve">"5.2.4.4. </w:t>
      </w:r>
      <w:r w:rsidRPr="00E001F6">
        <w:rPr>
          <w:bCs/>
          <w:lang w:val="en-US"/>
        </w:rPr>
        <w:tab/>
        <w:t>The calculation of the surface of the bonnet top test area as well as the surface areas of "HIC1000 zone" and "HIC1700 zone" shall be</w:t>
      </w:r>
      <w:r w:rsidRPr="006A7C67">
        <w:rPr>
          <w:lang w:val="en-US"/>
        </w:rPr>
        <w:t xml:space="preserve"> done on the basis of a projected bonnet when viewed from a horizontal plane parallel to the horizontal zero plane above the vehicle, on the basis of the drawing data supplied by the manufacturer."</w:t>
      </w:r>
    </w:p>
    <w:p w14:paraId="5F00D420" w14:textId="3F9DF43D" w:rsidR="00AD4625" w:rsidRPr="006A7C67" w:rsidRDefault="00AD4625" w:rsidP="00AD4625">
      <w:pPr>
        <w:pStyle w:val="SingleTxtG"/>
        <w:rPr>
          <w:lang w:val="en-US"/>
        </w:rPr>
      </w:pPr>
      <w:r w:rsidRPr="006A7C67">
        <w:rPr>
          <w:rFonts w:hint="eastAsia"/>
          <w:i/>
          <w:iCs/>
          <w:lang w:val="en-US" w:eastAsia="ja-JP"/>
        </w:rPr>
        <w:t>P</w:t>
      </w:r>
      <w:r w:rsidRPr="006A7C67">
        <w:rPr>
          <w:i/>
          <w:iCs/>
          <w:lang w:val="en-US"/>
        </w:rPr>
        <w:t xml:space="preserve">aragraph </w:t>
      </w:r>
      <w:r w:rsidRPr="006A7C67">
        <w:rPr>
          <w:rFonts w:hint="eastAsia"/>
          <w:i/>
          <w:iCs/>
          <w:lang w:val="en-US" w:eastAsia="ja-JP"/>
        </w:rPr>
        <w:t>6.3.1.2.8</w:t>
      </w:r>
      <w:r w:rsidRPr="006A7C67">
        <w:rPr>
          <w:i/>
          <w:iCs/>
          <w:lang w:val="en-US"/>
        </w:rPr>
        <w:t>.</w:t>
      </w:r>
      <w:r w:rsidRPr="006A7C67">
        <w:rPr>
          <w:lang w:val="en-US"/>
        </w:rPr>
        <w:t>,</w:t>
      </w:r>
      <w:r w:rsidRPr="006A7C67">
        <w:rPr>
          <w:rFonts w:hint="eastAsia"/>
          <w:lang w:val="en-US"/>
        </w:rPr>
        <w:t xml:space="preserve"> </w:t>
      </w:r>
      <w:r w:rsidRPr="006A7C67">
        <w:rPr>
          <w:rFonts w:hint="eastAsia"/>
          <w:lang w:val="en-US" w:eastAsia="ja-JP"/>
        </w:rPr>
        <w:t xml:space="preserve">amend </w:t>
      </w:r>
      <w:r w:rsidRPr="006A7C67">
        <w:rPr>
          <w:lang w:val="en-US"/>
        </w:rPr>
        <w:t>to read:</w:t>
      </w:r>
    </w:p>
    <w:p w14:paraId="3DD6AFE9" w14:textId="1BCEC59F" w:rsidR="00AD4625" w:rsidRPr="00E001F6" w:rsidRDefault="00AD4625" w:rsidP="00AD4625">
      <w:pPr>
        <w:pStyle w:val="SingleTxtG"/>
        <w:ind w:left="2268" w:hanging="1134"/>
        <w:rPr>
          <w:bCs/>
          <w:lang w:val="en-US" w:eastAsia="ja-JP"/>
        </w:rPr>
      </w:pPr>
      <w:r w:rsidRPr="00E001F6">
        <w:rPr>
          <w:bCs/>
          <w:lang w:val="en-US" w:eastAsia="ja-JP"/>
        </w:rPr>
        <w:t>"</w:t>
      </w:r>
      <w:r w:rsidRPr="00E001F6">
        <w:rPr>
          <w:bCs/>
          <w:lang w:val="en-US"/>
        </w:rPr>
        <w:t>6.3.1.2.8.</w:t>
      </w:r>
      <w:r w:rsidRPr="00E001F6">
        <w:rPr>
          <w:bCs/>
          <w:lang w:val="en-US"/>
        </w:rPr>
        <w:tab/>
        <w:t>The test impactor or at least the foam flesh shall be stored during a period of at least four hours in a controlled storage area with a stabilized humidity of 35 percent ± 15 percent and a stabilized temperature of 20 ± 4 °C prior to impactor removal for</w:t>
      </w:r>
      <w:r w:rsidRPr="00E001F6">
        <w:rPr>
          <w:rFonts w:hint="eastAsia"/>
          <w:bCs/>
          <w:lang w:val="en-US" w:eastAsia="ja-JP"/>
        </w:rPr>
        <w:t xml:space="preserve"> certification</w:t>
      </w:r>
      <w:r w:rsidRPr="00E001F6">
        <w:rPr>
          <w:bCs/>
          <w:lang w:val="en-US"/>
        </w:rPr>
        <w:t>. After removal from the storage the impactor shall not be subjected to conditions other than those pertaining in the test area.</w:t>
      </w:r>
      <w:r w:rsidRPr="00E001F6">
        <w:rPr>
          <w:bCs/>
          <w:lang w:val="en-US" w:eastAsia="ja-JP"/>
        </w:rPr>
        <w:t>"</w:t>
      </w:r>
    </w:p>
    <w:p w14:paraId="702740C7" w14:textId="77777777" w:rsidR="00AD4625" w:rsidRPr="006A7C67" w:rsidRDefault="00AD4625" w:rsidP="00AD4625">
      <w:pPr>
        <w:pStyle w:val="SingleTxtG"/>
        <w:ind w:left="2268" w:hanging="1134"/>
      </w:pPr>
      <w:r w:rsidRPr="006A7C67">
        <w:rPr>
          <w:i/>
        </w:rPr>
        <w:t>Paragraph 7.1.1.1.</w:t>
      </w:r>
      <w:r w:rsidRPr="006A7C67">
        <w:t>, amend to read:</w:t>
      </w:r>
    </w:p>
    <w:p w14:paraId="2CED08E8" w14:textId="7B7F562C" w:rsidR="00AD4625" w:rsidRPr="00E001F6" w:rsidRDefault="00AD4625" w:rsidP="00AD4625">
      <w:pPr>
        <w:pStyle w:val="SingleTxtG"/>
        <w:ind w:left="2268" w:hanging="1134"/>
      </w:pPr>
      <w:r w:rsidRPr="00E001F6">
        <w:t xml:space="preserve">"7.1.1.1. </w:t>
      </w:r>
      <w:r w:rsidRPr="00E001F6">
        <w:tab/>
        <w:t>The selected measuring points shall be in the bumper test area as defined in paragraph 3.12."</w:t>
      </w:r>
    </w:p>
    <w:p w14:paraId="1C7B7471" w14:textId="77777777" w:rsidR="00AD4625" w:rsidRPr="00134FFB" w:rsidRDefault="00AD4625" w:rsidP="00AD4625">
      <w:pPr>
        <w:pStyle w:val="SingleTxtG"/>
      </w:pPr>
      <w:r>
        <w:rPr>
          <w:i/>
        </w:rPr>
        <w:t>Paragraph</w:t>
      </w:r>
      <w:r w:rsidRPr="00134FFB">
        <w:rPr>
          <w:i/>
        </w:rPr>
        <w:t xml:space="preserve"> 7.1.1.3</w:t>
      </w:r>
      <w:r>
        <w:rPr>
          <w:i/>
        </w:rPr>
        <w:t>.3., amend to read</w:t>
      </w:r>
      <w:r w:rsidRPr="00134FFB">
        <w:rPr>
          <w:iCs/>
        </w:rPr>
        <w:t>:</w:t>
      </w:r>
    </w:p>
    <w:p w14:paraId="472EC374" w14:textId="5F19D07E" w:rsidR="00AD4625" w:rsidRPr="00134FFB" w:rsidRDefault="00AD4625" w:rsidP="00AD4625">
      <w:pPr>
        <w:pStyle w:val="SingleTxtG"/>
        <w:ind w:left="2268" w:hanging="1134"/>
      </w:pPr>
      <w:r w:rsidRPr="00134FFB">
        <w:t>"7.1.1.3.3.</w:t>
      </w:r>
      <w:r w:rsidRPr="00134FFB">
        <w:tab/>
      </w:r>
      <w:r w:rsidRPr="00E001F6">
        <w:rPr>
          <w:bCs/>
        </w:rPr>
        <w:t xml:space="preserve">For the lower </w:t>
      </w:r>
      <w:proofErr w:type="spellStart"/>
      <w:r w:rsidRPr="00E001F6">
        <w:rPr>
          <w:bCs/>
        </w:rPr>
        <w:t>legform</w:t>
      </w:r>
      <w:proofErr w:type="spellEnd"/>
      <w:r w:rsidRPr="00E001F6">
        <w:rPr>
          <w:bCs/>
        </w:rPr>
        <w:t xml:space="preserve"> testing, a horizontal and vertical impact tolerance of ± 10 mm shall apply</w:t>
      </w:r>
      <w:r w:rsidRPr="00134FFB">
        <w:t>.</w:t>
      </w:r>
      <w:r>
        <w:t>"</w:t>
      </w:r>
    </w:p>
    <w:p w14:paraId="680D2004" w14:textId="77777777" w:rsidR="00AD4625" w:rsidRPr="006A7C67" w:rsidRDefault="00AD4625" w:rsidP="00BC2AAD">
      <w:pPr>
        <w:pStyle w:val="SingleTxtG"/>
        <w:keepNext/>
        <w:keepLines/>
        <w:ind w:left="2268" w:hanging="1134"/>
      </w:pPr>
      <w:r w:rsidRPr="006A7C67">
        <w:rPr>
          <w:i/>
        </w:rPr>
        <w:lastRenderedPageBreak/>
        <w:t>Paragraph</w:t>
      </w:r>
      <w:r>
        <w:rPr>
          <w:i/>
        </w:rPr>
        <w:t>s</w:t>
      </w:r>
      <w:r w:rsidRPr="006A7C67">
        <w:rPr>
          <w:i/>
        </w:rPr>
        <w:t xml:space="preserve"> 7.1.2.1.</w:t>
      </w:r>
      <w:r>
        <w:rPr>
          <w:i/>
        </w:rPr>
        <w:t xml:space="preserve"> and 7.1.2.2.</w:t>
      </w:r>
      <w:r w:rsidRPr="006A7C67">
        <w:t>, amend to read:</w:t>
      </w:r>
    </w:p>
    <w:p w14:paraId="5A92225A" w14:textId="27D6A815" w:rsidR="00AD4625" w:rsidRPr="00E001F6" w:rsidRDefault="00AD4625" w:rsidP="00BC2AAD">
      <w:pPr>
        <w:pStyle w:val="SingleTxtG"/>
        <w:keepNext/>
        <w:keepLines/>
        <w:ind w:left="2268" w:hanging="1134"/>
      </w:pPr>
      <w:r w:rsidRPr="006A7C67">
        <w:t>"</w:t>
      </w:r>
      <w:r w:rsidRPr="00E001F6">
        <w:t>7.1.2.1.</w:t>
      </w:r>
      <w:r w:rsidRPr="00E001F6">
        <w:tab/>
        <w:t>The selected measuring points shall be in the bumper test area as defined in paragraph 3.12."</w:t>
      </w:r>
    </w:p>
    <w:p w14:paraId="333CBBED" w14:textId="71BF07E3" w:rsidR="00AD4625" w:rsidRPr="00E001F6" w:rsidRDefault="00AD4625" w:rsidP="00AD4625">
      <w:pPr>
        <w:pStyle w:val="SingleTxtG"/>
        <w:ind w:left="2268" w:hanging="1134"/>
        <w:rPr>
          <w:kern w:val="2"/>
          <w:lang w:eastAsia="ja-JP"/>
        </w:rPr>
      </w:pPr>
      <w:r w:rsidRPr="00E001F6">
        <w:rPr>
          <w:kern w:val="2"/>
          <w:lang w:eastAsia="ja-JP"/>
        </w:rPr>
        <w:t>7.1.2.2.</w:t>
      </w:r>
      <w:r w:rsidRPr="00E001F6">
        <w:rPr>
          <w:kern w:val="2"/>
          <w:lang w:eastAsia="ja-JP"/>
        </w:rPr>
        <w:tab/>
        <w:t xml:space="preserve">The direction of impact shall be parallel to the longitudinal axis of the vehicle, with the axis of the upper </w:t>
      </w:r>
      <w:proofErr w:type="spellStart"/>
      <w:r w:rsidRPr="00E001F6">
        <w:rPr>
          <w:kern w:val="2"/>
          <w:lang w:eastAsia="ja-JP"/>
        </w:rPr>
        <w:t>legform</w:t>
      </w:r>
      <w:proofErr w:type="spellEnd"/>
      <w:r w:rsidRPr="00E001F6">
        <w:rPr>
          <w:kern w:val="2"/>
          <w:lang w:eastAsia="ja-JP"/>
        </w:rPr>
        <w:t xml:space="preserve"> vertical at the time of first contact. The tolerance to this direction is ± 2°.</w:t>
      </w:r>
    </w:p>
    <w:p w14:paraId="3C0235C9" w14:textId="2883C689" w:rsidR="00AD4625" w:rsidRPr="00E001F6" w:rsidRDefault="00AD4625" w:rsidP="00AD4625">
      <w:pPr>
        <w:pStyle w:val="SingleTxtG"/>
        <w:ind w:left="2268" w:hanging="1134"/>
        <w:rPr>
          <w:lang w:eastAsia="ja-JP"/>
        </w:rPr>
      </w:pPr>
      <w:r w:rsidRPr="00E001F6">
        <w:rPr>
          <w:kern w:val="2"/>
          <w:lang w:eastAsia="ja-JP"/>
        </w:rPr>
        <w:tab/>
        <w:t xml:space="preserve">At the time of first contact the impactor centre line shall be vertically midway between the upper bumper reference line and the lower bumper reference line with a </w:t>
      </w:r>
      <w:r w:rsidRPr="00E001F6">
        <w:t>±</w:t>
      </w:r>
      <w:r w:rsidRPr="00E001F6">
        <w:rPr>
          <w:kern w:val="2"/>
          <w:lang w:eastAsia="ja-JP"/>
        </w:rPr>
        <w:t xml:space="preserve"> 10 mm tolerance and the impactor vertical centre line shall be positioned laterally with a tolerance of ± 10 mm.</w:t>
      </w:r>
      <w:r w:rsidRPr="00E001F6">
        <w:t>"</w:t>
      </w:r>
    </w:p>
    <w:p w14:paraId="3BD62CD2" w14:textId="77777777" w:rsidR="00AD4625" w:rsidRPr="006A7C67" w:rsidRDefault="00AD4625" w:rsidP="00AD4625">
      <w:pPr>
        <w:pStyle w:val="SingleTxtG"/>
        <w:ind w:left="2268" w:hanging="1134"/>
      </w:pPr>
      <w:r w:rsidRPr="006A7C67">
        <w:rPr>
          <w:i/>
        </w:rPr>
        <w:t>Paragraph 7.2.3.</w:t>
      </w:r>
      <w:r w:rsidRPr="006A7C67">
        <w:t>, amend to read:</w:t>
      </w:r>
    </w:p>
    <w:p w14:paraId="22825519" w14:textId="77777777" w:rsidR="00AD4625" w:rsidRPr="004F6F83" w:rsidRDefault="00AD4625" w:rsidP="00AD4625">
      <w:pPr>
        <w:pStyle w:val="SingleTxtG"/>
        <w:ind w:left="2268" w:hanging="1134"/>
      </w:pPr>
      <w:r w:rsidRPr="004F6F83">
        <w:t>"7.2.3.</w:t>
      </w:r>
      <w:r w:rsidRPr="004F6F83">
        <w:tab/>
        <w:t>Recording</w:t>
      </w:r>
    </w:p>
    <w:p w14:paraId="7D076DA1" w14:textId="78F1C240" w:rsidR="00AD4625" w:rsidRPr="004F6F83" w:rsidRDefault="00AD4625" w:rsidP="00AD4625">
      <w:pPr>
        <w:pStyle w:val="SingleTxtG"/>
        <w:ind w:left="2268" w:hanging="1134"/>
      </w:pPr>
      <w:r w:rsidRPr="004F6F83">
        <w:tab/>
        <w:t>The acceleration time histories shall be recorded, and HIC shall be calculated. The measuring point on the front structure of the vehicle shall be recorded. Recording of test results shall be in accordance with ISO 6487:2002."</w:t>
      </w:r>
    </w:p>
    <w:p w14:paraId="2105B99E" w14:textId="77777777" w:rsidR="00AD4625" w:rsidRPr="004F6F83" w:rsidRDefault="00AD4625" w:rsidP="00AD4625">
      <w:pPr>
        <w:pStyle w:val="SingleTxtG"/>
        <w:ind w:left="2268" w:hanging="1134"/>
      </w:pPr>
      <w:r w:rsidRPr="004F6F83">
        <w:rPr>
          <w:i/>
        </w:rPr>
        <w:t>Paragraphs 7.3.2. and 7.3.3.</w:t>
      </w:r>
      <w:r w:rsidRPr="004F6F83">
        <w:t>, amend to read:</w:t>
      </w:r>
    </w:p>
    <w:p w14:paraId="73AEAD40" w14:textId="576BAAA2" w:rsidR="00AD4625" w:rsidRPr="004F6F83" w:rsidRDefault="00AD4625" w:rsidP="00AD4625">
      <w:pPr>
        <w:pStyle w:val="SingleTxtG"/>
        <w:ind w:left="2268" w:hanging="1134"/>
      </w:pPr>
      <w:r w:rsidRPr="004F6F83">
        <w:t>"7.3.2.</w:t>
      </w:r>
      <w:r w:rsidRPr="004F6F83">
        <w:tab/>
        <w:t>No measuring point shall be located so that the impactor will impact the test area with a glancing blow resulting in a more severe second impact outside the test area.</w:t>
      </w:r>
    </w:p>
    <w:p w14:paraId="0F395BB3" w14:textId="38473DD6" w:rsidR="00AD4625" w:rsidRPr="004F6F83" w:rsidRDefault="00AD4625" w:rsidP="00AD4625">
      <w:pPr>
        <w:pStyle w:val="SingleTxtG"/>
        <w:ind w:left="2268" w:hanging="1134"/>
        <w:rPr>
          <w:strike/>
        </w:rPr>
      </w:pPr>
      <w:r w:rsidRPr="004F6F83">
        <w:tab/>
        <w:t>The selected measuring</w:t>
      </w:r>
      <w:r w:rsidR="00E001F6" w:rsidRPr="004F6F83">
        <w:t xml:space="preserve"> </w:t>
      </w:r>
      <w:r w:rsidRPr="004F6F83">
        <w:t xml:space="preserve">points on the bonnet for the child </w:t>
      </w:r>
      <w:proofErr w:type="spellStart"/>
      <w:r w:rsidRPr="004F6F83">
        <w:t>headform</w:t>
      </w:r>
      <w:proofErr w:type="spellEnd"/>
      <w:r w:rsidRPr="004F6F83">
        <w:t xml:space="preserve"> impactor shall be within the child </w:t>
      </w:r>
      <w:proofErr w:type="spellStart"/>
      <w:r w:rsidRPr="004F6F83">
        <w:t>headform</w:t>
      </w:r>
      <w:proofErr w:type="spellEnd"/>
      <w:r w:rsidRPr="004F6F83">
        <w:t xml:space="preserve"> test area as defined in paragraph 3.14.</w:t>
      </w:r>
    </w:p>
    <w:p w14:paraId="3D918A0D" w14:textId="5556FC75" w:rsidR="00AD4625" w:rsidRPr="004F6F83" w:rsidRDefault="00AD4625" w:rsidP="00AD4625">
      <w:pPr>
        <w:pStyle w:val="SingleTxtG"/>
        <w:ind w:left="2268" w:hanging="1134"/>
      </w:pPr>
      <w:r w:rsidRPr="004F6F83">
        <w:t>7.3.3.</w:t>
      </w:r>
      <w:r w:rsidRPr="004F6F83">
        <w:tab/>
        <w:t xml:space="preserve">For the child </w:t>
      </w:r>
      <w:proofErr w:type="spellStart"/>
      <w:r w:rsidRPr="004F6F83">
        <w:t>headform</w:t>
      </w:r>
      <w:proofErr w:type="spellEnd"/>
      <w:r w:rsidRPr="004F6F83">
        <w:t xml:space="preserve"> testing, a longitudinal and transversal impact tolerance of ± 10 mm shall apply. This tolerance is measured along the surface of the bonnet."</w:t>
      </w:r>
    </w:p>
    <w:p w14:paraId="1369DE9B" w14:textId="77777777" w:rsidR="00AD4625" w:rsidRPr="006A7C67" w:rsidRDefault="00AD4625" w:rsidP="00AD4625">
      <w:pPr>
        <w:pStyle w:val="SingleTxtG"/>
        <w:ind w:left="2268" w:hanging="1134"/>
      </w:pPr>
      <w:r w:rsidRPr="006A7C67">
        <w:rPr>
          <w:i/>
        </w:rPr>
        <w:t>Paragraph</w:t>
      </w:r>
      <w:r>
        <w:rPr>
          <w:i/>
        </w:rPr>
        <w:t>s</w:t>
      </w:r>
      <w:r w:rsidRPr="006A7C67">
        <w:rPr>
          <w:i/>
        </w:rPr>
        <w:t xml:space="preserve"> 7.4.2.</w:t>
      </w:r>
      <w:r>
        <w:rPr>
          <w:i/>
        </w:rPr>
        <w:t xml:space="preserve"> and 7.4.3.</w:t>
      </w:r>
      <w:r w:rsidRPr="006A7C67">
        <w:t>, amend to read:</w:t>
      </w:r>
    </w:p>
    <w:p w14:paraId="5F8D9787" w14:textId="25505A45" w:rsidR="00AD4625" w:rsidRPr="004F6F83" w:rsidRDefault="00AD4625" w:rsidP="00AD4625">
      <w:pPr>
        <w:pStyle w:val="SingleTxtG"/>
        <w:ind w:left="2268" w:hanging="1134"/>
      </w:pPr>
      <w:r w:rsidRPr="006A7C67">
        <w:t>"7.4.2.</w:t>
      </w:r>
      <w:r w:rsidRPr="006A7C67">
        <w:tab/>
      </w:r>
      <w:r w:rsidRPr="004F6F83">
        <w:t>No measuring point shall be located so that the impactor will impact the test area with a glancing blow resulting in a more severe second impact outside the test area.</w:t>
      </w:r>
    </w:p>
    <w:p w14:paraId="6B8C7368" w14:textId="505ABE74" w:rsidR="00AD4625" w:rsidRPr="005F1DEC" w:rsidRDefault="00AD4625" w:rsidP="00E57D6C">
      <w:pPr>
        <w:pStyle w:val="SingleTxtG"/>
        <w:ind w:left="2268" w:hanging="1134"/>
        <w:rPr>
          <w:strike/>
        </w:rPr>
      </w:pPr>
      <w:r w:rsidRPr="004F6F83">
        <w:tab/>
        <w:t xml:space="preserve">The selected measuring points on the bonnet for the adult </w:t>
      </w:r>
      <w:proofErr w:type="spellStart"/>
      <w:r w:rsidRPr="004F6F83">
        <w:t>headform</w:t>
      </w:r>
      <w:proofErr w:type="spellEnd"/>
      <w:r w:rsidRPr="004F6F83">
        <w:t xml:space="preserve"> impactor shall be: within the adult </w:t>
      </w:r>
      <w:proofErr w:type="spellStart"/>
      <w:r w:rsidRPr="004F6F83">
        <w:t>headform</w:t>
      </w:r>
      <w:proofErr w:type="spellEnd"/>
      <w:r w:rsidRPr="004F6F83">
        <w:t xml:space="preserve"> test area as defined in paragraph 3.1.</w:t>
      </w:r>
      <w:r w:rsidRPr="006A7C67">
        <w:t>"</w:t>
      </w:r>
    </w:p>
    <w:p w14:paraId="06344E9A" w14:textId="44493F22" w:rsidR="00AD4625" w:rsidRPr="00134FFB" w:rsidRDefault="00AD4625" w:rsidP="00AD4625">
      <w:pPr>
        <w:pStyle w:val="SingleTxtG"/>
        <w:ind w:left="2268" w:hanging="1134"/>
      </w:pPr>
      <w:r w:rsidRPr="00134FFB">
        <w:t>7.4.3.</w:t>
      </w:r>
      <w:r w:rsidRPr="00134FFB">
        <w:tab/>
      </w:r>
      <w:r w:rsidRPr="00F80E22">
        <w:rPr>
          <w:bCs/>
          <w:spacing w:val="-2"/>
        </w:rPr>
        <w:t xml:space="preserve">For the adult </w:t>
      </w:r>
      <w:proofErr w:type="spellStart"/>
      <w:r w:rsidRPr="00F80E22">
        <w:rPr>
          <w:bCs/>
          <w:spacing w:val="-2"/>
        </w:rPr>
        <w:t>headform</w:t>
      </w:r>
      <w:proofErr w:type="spellEnd"/>
      <w:r w:rsidRPr="00F80E22">
        <w:rPr>
          <w:bCs/>
          <w:spacing w:val="-2"/>
        </w:rPr>
        <w:t xml:space="preserve"> testing, a longitudinal and transversal impact tolerance of ± 10 mm shall apply. This tolerance is measured along the surface of the bonnet."</w:t>
      </w:r>
    </w:p>
    <w:p w14:paraId="1FB81A20" w14:textId="77777777" w:rsidR="00AD4625" w:rsidRPr="00E57D6C" w:rsidRDefault="00AD4625" w:rsidP="00AD4625">
      <w:pPr>
        <w:pStyle w:val="SingleTxtG"/>
        <w:rPr>
          <w:lang w:val="en-US"/>
        </w:rPr>
      </w:pPr>
      <w:r w:rsidRPr="00E57D6C">
        <w:rPr>
          <w:rFonts w:hint="eastAsia"/>
          <w:i/>
          <w:iCs/>
          <w:lang w:val="en-US" w:eastAsia="ja-JP"/>
        </w:rPr>
        <w:t>P</w:t>
      </w:r>
      <w:r w:rsidRPr="00E57D6C">
        <w:rPr>
          <w:i/>
          <w:iCs/>
          <w:lang w:val="en-US"/>
        </w:rPr>
        <w:t xml:space="preserve">aragraphs </w:t>
      </w:r>
      <w:r w:rsidRPr="00E57D6C">
        <w:rPr>
          <w:rFonts w:hint="eastAsia"/>
          <w:i/>
          <w:iCs/>
          <w:lang w:val="en-US" w:eastAsia="ja-JP"/>
        </w:rPr>
        <w:t>8</w:t>
      </w:r>
      <w:r w:rsidRPr="00E57D6C">
        <w:rPr>
          <w:i/>
          <w:iCs/>
          <w:lang w:val="en-US"/>
        </w:rPr>
        <w:t>.</w:t>
      </w:r>
      <w:r w:rsidRPr="00E57D6C">
        <w:rPr>
          <w:rFonts w:hint="eastAsia"/>
          <w:i/>
          <w:iCs/>
          <w:lang w:val="en-US" w:eastAsia="ja-JP"/>
        </w:rPr>
        <w:t>2.2</w:t>
      </w:r>
      <w:r w:rsidRPr="00E57D6C">
        <w:rPr>
          <w:i/>
          <w:iCs/>
          <w:lang w:val="en-US"/>
        </w:rPr>
        <w:t>.</w:t>
      </w:r>
      <w:r w:rsidRPr="00E57D6C">
        <w:rPr>
          <w:rFonts w:hint="eastAsia"/>
          <w:i/>
          <w:iCs/>
          <w:lang w:val="en-US" w:eastAsia="ja-JP"/>
        </w:rPr>
        <w:t>to 8.2.2.4</w:t>
      </w:r>
      <w:r w:rsidRPr="00E57D6C">
        <w:rPr>
          <w:i/>
          <w:iCs/>
          <w:lang w:val="en-US" w:eastAsia="ja-JP"/>
        </w:rPr>
        <w:t>.</w:t>
      </w:r>
      <w:r w:rsidRPr="00E57D6C">
        <w:rPr>
          <w:lang w:val="en-US"/>
        </w:rPr>
        <w:t>,</w:t>
      </w:r>
      <w:r w:rsidRPr="00E57D6C">
        <w:rPr>
          <w:rFonts w:hint="eastAsia"/>
          <w:lang w:val="en-US"/>
        </w:rPr>
        <w:t xml:space="preserve"> </w:t>
      </w:r>
      <w:r w:rsidRPr="00E57D6C">
        <w:rPr>
          <w:rFonts w:hint="eastAsia"/>
          <w:lang w:val="en-US" w:eastAsia="ja-JP"/>
        </w:rPr>
        <w:t xml:space="preserve">amend </w:t>
      </w:r>
      <w:r w:rsidRPr="00E57D6C">
        <w:rPr>
          <w:lang w:val="en-US"/>
        </w:rPr>
        <w:t>to read:</w:t>
      </w:r>
    </w:p>
    <w:p w14:paraId="74CF0F98" w14:textId="001DB8B8" w:rsidR="00AD4625" w:rsidRPr="00E57D6C" w:rsidRDefault="00AD4625" w:rsidP="00AD4625">
      <w:pPr>
        <w:pStyle w:val="SingleTxtG"/>
        <w:ind w:left="2268" w:hanging="1134"/>
        <w:rPr>
          <w:lang w:val="en-US"/>
        </w:rPr>
      </w:pPr>
      <w:r w:rsidRPr="00E57D6C">
        <w:rPr>
          <w:lang w:val="en-US" w:eastAsia="ja-JP"/>
        </w:rPr>
        <w:t>"</w:t>
      </w:r>
      <w:r w:rsidRPr="00E57D6C">
        <w:rPr>
          <w:lang w:val="en-US"/>
        </w:rPr>
        <w:t>8.2.2.</w:t>
      </w:r>
      <w:r w:rsidRPr="00E57D6C">
        <w:rPr>
          <w:lang w:val="en-US"/>
        </w:rPr>
        <w:tab/>
      </w:r>
      <w:r w:rsidRPr="00E57D6C">
        <w:rPr>
          <w:rFonts w:hint="eastAsia"/>
          <w:lang w:val="en-US" w:eastAsia="ja-JP"/>
        </w:rPr>
        <w:t>Certification</w:t>
      </w:r>
    </w:p>
    <w:p w14:paraId="46962F7B" w14:textId="78618CE2" w:rsidR="00AD4625" w:rsidRPr="00E57D6C" w:rsidRDefault="00AD4625" w:rsidP="00AD4625">
      <w:pPr>
        <w:pStyle w:val="SingleTxtG"/>
        <w:ind w:left="2268" w:hanging="1134"/>
        <w:rPr>
          <w:lang w:val="en-US"/>
        </w:rPr>
      </w:pPr>
      <w:r w:rsidRPr="00E57D6C">
        <w:rPr>
          <w:lang w:val="en-US"/>
        </w:rPr>
        <w:t>8.2.2.1.</w:t>
      </w:r>
      <w:r w:rsidRPr="00E57D6C">
        <w:rPr>
          <w:lang w:val="en-US"/>
        </w:rPr>
        <w:tab/>
        <w:t>The foam flesh for the test impactor shall be stored during a period of at least four hours in a controlled storage area with a stabilized humidity of 35 ± 10 per cent and a stabilized temperature of 20° ± 2°C prior to impactor removal for</w:t>
      </w:r>
      <w:r w:rsidRPr="00E57D6C">
        <w:rPr>
          <w:rFonts w:hint="eastAsia"/>
          <w:lang w:val="en-US" w:eastAsia="ja-JP"/>
        </w:rPr>
        <w:t xml:space="preserve"> certification</w:t>
      </w:r>
      <w:r w:rsidRPr="00E57D6C">
        <w:rPr>
          <w:lang w:val="en-US"/>
        </w:rPr>
        <w:t>. The test impactor itself shall have a temperature of 20° ± 2°C at the time of impact. The temperature tolerances for the test impactor shall apply at a relative humidity of 40 ± 30 per cent after a soak period of at least four hours prior to their application in a test.</w:t>
      </w:r>
    </w:p>
    <w:p w14:paraId="0AA865DE" w14:textId="20726F4D" w:rsidR="00AD4625" w:rsidRPr="00E57D6C" w:rsidRDefault="00AD4625" w:rsidP="00AD4625">
      <w:pPr>
        <w:pStyle w:val="SingleTxtG"/>
        <w:ind w:left="2268" w:hanging="1134"/>
        <w:rPr>
          <w:lang w:val="en-US"/>
        </w:rPr>
      </w:pPr>
      <w:r w:rsidRPr="00E57D6C">
        <w:rPr>
          <w:lang w:val="en-US"/>
        </w:rPr>
        <w:t>8.2.2.2.</w:t>
      </w:r>
      <w:r w:rsidRPr="00E57D6C">
        <w:rPr>
          <w:lang w:val="en-US"/>
        </w:rPr>
        <w:tab/>
        <w:t>The test facility used for the</w:t>
      </w:r>
      <w:r w:rsidRPr="00E57D6C">
        <w:rPr>
          <w:rFonts w:hint="eastAsia"/>
          <w:lang w:val="en-US" w:eastAsia="ja-JP"/>
        </w:rPr>
        <w:t xml:space="preserve"> certification</w:t>
      </w:r>
      <w:r w:rsidRPr="00E57D6C">
        <w:rPr>
          <w:lang w:val="en-US"/>
        </w:rPr>
        <w:t xml:space="preserve"> test shall have a stabilized humidity of 40 ± 30 per cent and a stabilized temperature of 20° ± 4°C during</w:t>
      </w:r>
      <w:r w:rsidRPr="00E57D6C">
        <w:rPr>
          <w:rFonts w:hint="eastAsia"/>
          <w:lang w:val="en-US" w:eastAsia="ja-JP"/>
        </w:rPr>
        <w:t xml:space="preserve"> certification</w:t>
      </w:r>
      <w:r w:rsidRPr="00E57D6C">
        <w:rPr>
          <w:lang w:val="en-US"/>
        </w:rPr>
        <w:t>.</w:t>
      </w:r>
    </w:p>
    <w:p w14:paraId="7958A380" w14:textId="6D7AE029" w:rsidR="00AD4625" w:rsidRPr="00E57D6C" w:rsidRDefault="00AD4625" w:rsidP="00AD4625">
      <w:pPr>
        <w:pStyle w:val="SingleTxtG"/>
        <w:ind w:left="2268" w:hanging="1134"/>
        <w:rPr>
          <w:bCs/>
          <w:lang w:val="en-US"/>
        </w:rPr>
      </w:pPr>
      <w:r w:rsidRPr="00E57D6C">
        <w:rPr>
          <w:bCs/>
          <w:lang w:val="en-US"/>
        </w:rPr>
        <w:t>8.2.2.3.</w:t>
      </w:r>
      <w:r w:rsidRPr="00E57D6C">
        <w:rPr>
          <w:bCs/>
          <w:lang w:val="en-US"/>
        </w:rPr>
        <w:tab/>
        <w:t>Each</w:t>
      </w:r>
      <w:r w:rsidRPr="00E57D6C">
        <w:rPr>
          <w:rFonts w:hint="eastAsia"/>
          <w:bCs/>
          <w:lang w:val="en-US" w:eastAsia="ja-JP"/>
        </w:rPr>
        <w:t xml:space="preserve"> certification</w:t>
      </w:r>
      <w:r w:rsidRPr="00E57D6C">
        <w:rPr>
          <w:bCs/>
          <w:lang w:val="en-US"/>
        </w:rPr>
        <w:t xml:space="preserve"> shall be completed within two hours of when the impactor to be</w:t>
      </w:r>
      <w:r w:rsidRPr="00E57D6C">
        <w:rPr>
          <w:rFonts w:hint="eastAsia"/>
          <w:bCs/>
          <w:lang w:val="en-US" w:eastAsia="ja-JP"/>
        </w:rPr>
        <w:t xml:space="preserve"> certified</w:t>
      </w:r>
      <w:r w:rsidRPr="00E57D6C">
        <w:rPr>
          <w:bCs/>
          <w:lang w:val="en-US"/>
        </w:rPr>
        <w:t xml:space="preserve"> is removed from the controlled storage area.</w:t>
      </w:r>
    </w:p>
    <w:p w14:paraId="58856BFF" w14:textId="1774589E" w:rsidR="00AD4625" w:rsidRPr="00E57D6C" w:rsidRDefault="00AD4625" w:rsidP="00AD4625">
      <w:pPr>
        <w:pStyle w:val="SingleTxtG"/>
        <w:ind w:left="2268" w:hanging="1134"/>
        <w:rPr>
          <w:bCs/>
          <w:lang w:val="en-US" w:eastAsia="ja-JP"/>
        </w:rPr>
      </w:pPr>
      <w:r w:rsidRPr="00E57D6C">
        <w:rPr>
          <w:bCs/>
          <w:lang w:val="en-US"/>
        </w:rPr>
        <w:t>8.2.2.4.</w:t>
      </w:r>
      <w:r w:rsidRPr="00E57D6C">
        <w:rPr>
          <w:bCs/>
          <w:lang w:val="en-US"/>
        </w:rPr>
        <w:tab/>
        <w:t>Relative humidity and temperature of the</w:t>
      </w:r>
      <w:r w:rsidRPr="00E57D6C">
        <w:rPr>
          <w:rFonts w:hint="eastAsia"/>
          <w:bCs/>
          <w:lang w:val="en-US" w:eastAsia="ja-JP"/>
        </w:rPr>
        <w:t xml:space="preserve"> certification</w:t>
      </w:r>
      <w:r w:rsidRPr="00E57D6C">
        <w:rPr>
          <w:bCs/>
          <w:lang w:val="en-US"/>
        </w:rPr>
        <w:t xml:space="preserve"> area shall be measured at the time of</w:t>
      </w:r>
      <w:r w:rsidRPr="00E57D6C">
        <w:rPr>
          <w:rFonts w:hint="eastAsia"/>
          <w:bCs/>
          <w:lang w:val="en-US" w:eastAsia="ja-JP"/>
        </w:rPr>
        <w:t xml:space="preserve"> certification</w:t>
      </w:r>
      <w:r w:rsidRPr="00E57D6C">
        <w:rPr>
          <w:bCs/>
          <w:lang w:val="en-US"/>
        </w:rPr>
        <w:t>, and recorded in a</w:t>
      </w:r>
      <w:r w:rsidRPr="00E57D6C">
        <w:rPr>
          <w:rFonts w:hint="eastAsia"/>
          <w:bCs/>
          <w:lang w:val="en-US" w:eastAsia="ja-JP"/>
        </w:rPr>
        <w:t xml:space="preserve"> certification</w:t>
      </w:r>
      <w:r w:rsidRPr="00E57D6C">
        <w:rPr>
          <w:bCs/>
          <w:lang w:val="en-US"/>
        </w:rPr>
        <w:t xml:space="preserve"> report.</w:t>
      </w:r>
      <w:r w:rsidRPr="00E57D6C">
        <w:rPr>
          <w:bCs/>
          <w:lang w:val="en-US" w:eastAsia="ja-JP"/>
        </w:rPr>
        <w:t>"</w:t>
      </w:r>
    </w:p>
    <w:p w14:paraId="0F076334" w14:textId="15F627C2" w:rsidR="00DB276D" w:rsidRPr="00EE5A92" w:rsidRDefault="00EE5A92" w:rsidP="00F80E22">
      <w:pPr>
        <w:jc w:val="center"/>
        <w:rPr>
          <w:u w:val="single"/>
        </w:rPr>
      </w:pPr>
      <w:r>
        <w:rPr>
          <w:u w:val="single"/>
        </w:rPr>
        <w:tab/>
      </w:r>
      <w:r>
        <w:rPr>
          <w:u w:val="single"/>
        </w:rPr>
        <w:tab/>
      </w:r>
      <w:r>
        <w:rPr>
          <w:u w:val="single"/>
        </w:rPr>
        <w:tab/>
      </w:r>
    </w:p>
    <w:sectPr w:rsidR="00DB276D" w:rsidRPr="00EE5A92" w:rsidSect="00772D17">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5D35C" w14:textId="77777777" w:rsidR="00076658" w:rsidRDefault="00076658"/>
  </w:endnote>
  <w:endnote w:type="continuationSeparator" w:id="0">
    <w:p w14:paraId="2314597D" w14:textId="77777777" w:rsidR="00076658" w:rsidRDefault="00076658"/>
  </w:endnote>
  <w:endnote w:type="continuationNotice" w:id="1">
    <w:p w14:paraId="18ECFE02" w14:textId="77777777" w:rsidR="00076658" w:rsidRDefault="00076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0F56" w14:textId="187C9EAC" w:rsidR="001D3D4F" w:rsidRDefault="001D3D4F" w:rsidP="001D3D4F">
    <w:pPr>
      <w:pStyle w:val="Footer"/>
    </w:pPr>
    <w:r w:rsidRPr="0027112F">
      <w:rPr>
        <w:noProof/>
        <w:lang w:val="en-US"/>
      </w:rPr>
      <w:drawing>
        <wp:anchor distT="0" distB="0" distL="114300" distR="114300" simplePos="0" relativeHeight="251659264" behindDoc="0" locked="1" layoutInCell="1" allowOverlap="1" wp14:anchorId="78122062" wp14:editId="6A7152A6">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DFE354" w14:textId="5AEC557A" w:rsidR="001D3D4F" w:rsidRPr="001D3D4F" w:rsidRDefault="001D3D4F" w:rsidP="001D3D4F">
    <w:pPr>
      <w:pStyle w:val="Footer"/>
      <w:ind w:right="1134"/>
      <w:rPr>
        <w:sz w:val="20"/>
      </w:rPr>
    </w:pPr>
    <w:r>
      <w:rPr>
        <w:sz w:val="20"/>
      </w:rPr>
      <w:t>GE.20-17387(E)</w:t>
    </w:r>
    <w:r>
      <w:rPr>
        <w:noProof/>
        <w:sz w:val="20"/>
      </w:rPr>
      <w:drawing>
        <wp:anchor distT="0" distB="0" distL="114300" distR="114300" simplePos="0" relativeHeight="251660288" behindDoc="0" locked="0" layoutInCell="1" allowOverlap="1" wp14:anchorId="08CE357B" wp14:editId="32910272">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4385A" w14:textId="77777777" w:rsidR="00076658" w:rsidRPr="000B175B" w:rsidRDefault="00076658" w:rsidP="000B175B">
      <w:pPr>
        <w:tabs>
          <w:tab w:val="right" w:pos="2155"/>
        </w:tabs>
        <w:spacing w:after="80"/>
        <w:ind w:left="680"/>
        <w:rPr>
          <w:u w:val="single"/>
        </w:rPr>
      </w:pPr>
      <w:r>
        <w:rPr>
          <w:u w:val="single"/>
        </w:rPr>
        <w:tab/>
      </w:r>
    </w:p>
  </w:footnote>
  <w:footnote w:type="continuationSeparator" w:id="0">
    <w:p w14:paraId="5CD109A3" w14:textId="77777777" w:rsidR="00076658" w:rsidRPr="00FC68B7" w:rsidRDefault="00076658" w:rsidP="00FC68B7">
      <w:pPr>
        <w:tabs>
          <w:tab w:val="left" w:pos="2155"/>
        </w:tabs>
        <w:spacing w:after="80"/>
        <w:ind w:left="680"/>
        <w:rPr>
          <w:u w:val="single"/>
        </w:rPr>
      </w:pPr>
      <w:r>
        <w:rPr>
          <w:u w:val="single"/>
        </w:rPr>
        <w:tab/>
      </w:r>
    </w:p>
  </w:footnote>
  <w:footnote w:type="continuationNotice" w:id="1">
    <w:p w14:paraId="6CCBBC7E" w14:textId="77777777" w:rsidR="00076658" w:rsidRDefault="00076658"/>
  </w:footnote>
  <w:footnote w:id="2">
    <w:p w14:paraId="13F6BF3D" w14:textId="77777777" w:rsidR="00DB276D" w:rsidRPr="00DC2C16" w:rsidRDefault="00DB276D" w:rsidP="00DB276D">
      <w:pPr>
        <w:pStyle w:val="FootnoteText"/>
      </w:pPr>
      <w:r>
        <w:rPr>
          <w:sz w:val="20"/>
        </w:rPr>
        <w:tab/>
      </w:r>
      <w:r w:rsidRPr="008D110A">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4E196F5E" w14:textId="264BF93E" w:rsidR="008D110A" w:rsidRPr="00A21DA7" w:rsidRDefault="008D110A" w:rsidP="008D110A">
      <w:pPr>
        <w:pStyle w:val="FootnoteText"/>
        <w:rPr>
          <w:lang w:val="en-US"/>
        </w:rPr>
      </w:pPr>
      <w:r>
        <w:rPr>
          <w:rStyle w:val="FootnoteReference"/>
        </w:rPr>
        <w:tab/>
      </w:r>
      <w:r w:rsidRPr="008D110A">
        <w:rPr>
          <w:rStyle w:val="FootnoteReference"/>
          <w:sz w:val="20"/>
          <w:vertAlign w:val="baseline"/>
        </w:rPr>
        <w:t>**</w:t>
      </w:r>
      <w:r>
        <w:rPr>
          <w:rStyle w:val="FootnoteReference"/>
          <w:sz w:val="20"/>
          <w:vertAlign w:val="baseline"/>
        </w:rPr>
        <w:tab/>
      </w:r>
      <w:r w:rsidRPr="00226BC8">
        <w:t>This document was scheduled for publication after the standard publication date owing to circumstances beyond the submitter's control.</w:t>
      </w:r>
    </w:p>
  </w:footnote>
  <w:footnote w:id="4">
    <w:p w14:paraId="117D8EDF" w14:textId="0726188A" w:rsidR="00AD4625" w:rsidRPr="0043616C" w:rsidRDefault="00AD4625" w:rsidP="006775D4">
      <w:pPr>
        <w:pStyle w:val="FootnoteText"/>
      </w:pPr>
      <w:r>
        <w:tab/>
      </w:r>
      <w:r w:rsidRPr="007E19F3">
        <w:rPr>
          <w:rStyle w:val="FootnoteReference"/>
          <w:bCs/>
        </w:rPr>
        <w:footnoteRef/>
      </w:r>
      <w:r>
        <w:tab/>
      </w:r>
      <w:r w:rsidRPr="00E001F6">
        <w:rPr>
          <w:i/>
          <w:iCs/>
        </w:rPr>
        <w:t>Note</w:t>
      </w:r>
      <w:r w:rsidRPr="00E001F6">
        <w:t>: due to the spatial geometry of the bonnet top, the first contact may not occur in the same vertical longitudinal or transverse plane which contains measuring point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33CC523D" w:rsidR="00772D17" w:rsidRPr="00772D17" w:rsidRDefault="00772D17">
    <w:pPr>
      <w:pStyle w:val="Header"/>
    </w:pPr>
    <w:r>
      <w:t>ECE/TRANS/WP.29/202</w:t>
    </w:r>
    <w:r w:rsidR="00EE5A92">
      <w:t>1</w:t>
    </w:r>
    <w:r>
      <w:t>/</w:t>
    </w:r>
    <w:r w:rsidR="005864FB">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56732B5D" w:rsidR="00772D17" w:rsidRPr="00772D17" w:rsidRDefault="00772D17" w:rsidP="00772D17">
    <w:pPr>
      <w:pStyle w:val="Header"/>
      <w:jc w:val="right"/>
    </w:pPr>
    <w:r>
      <w:t>ECE/TRANS/WP.29/202</w:t>
    </w:r>
    <w:r w:rsidR="00EE5A92">
      <w:t>1</w:t>
    </w:r>
    <w:r>
      <w:t>/</w:t>
    </w:r>
    <w:r w:rsidR="0053212C">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C05BB"/>
    <w:multiLevelType w:val="hybridMultilevel"/>
    <w:tmpl w:val="5F9447A6"/>
    <w:lvl w:ilvl="0" w:tplc="24FC577E">
      <w:start w:val="1"/>
      <w:numFmt w:val="decimal"/>
      <w:lvlText w:val="%1."/>
      <w:lvlJc w:val="left"/>
      <w:pPr>
        <w:ind w:left="1689" w:hanging="555"/>
      </w:pPr>
      <w:rPr>
        <w:rFonts w:hint="default"/>
        <w:strike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0461"/>
    <w:rsid w:val="00022931"/>
    <w:rsid w:val="00027624"/>
    <w:rsid w:val="00050F6B"/>
    <w:rsid w:val="000600F0"/>
    <w:rsid w:val="000678CD"/>
    <w:rsid w:val="00072C8C"/>
    <w:rsid w:val="00076658"/>
    <w:rsid w:val="00081CE0"/>
    <w:rsid w:val="00084D30"/>
    <w:rsid w:val="00090320"/>
    <w:rsid w:val="000931C0"/>
    <w:rsid w:val="0009690F"/>
    <w:rsid w:val="00097003"/>
    <w:rsid w:val="000A2E09"/>
    <w:rsid w:val="000B175B"/>
    <w:rsid w:val="000B3A0F"/>
    <w:rsid w:val="000E0415"/>
    <w:rsid w:val="000F2ED9"/>
    <w:rsid w:val="000F7715"/>
    <w:rsid w:val="00156B99"/>
    <w:rsid w:val="00157940"/>
    <w:rsid w:val="00166124"/>
    <w:rsid w:val="001756EA"/>
    <w:rsid w:val="0018025B"/>
    <w:rsid w:val="00184DDA"/>
    <w:rsid w:val="001900CD"/>
    <w:rsid w:val="001A0452"/>
    <w:rsid w:val="001B4B04"/>
    <w:rsid w:val="001B5875"/>
    <w:rsid w:val="001C4B9C"/>
    <w:rsid w:val="001C6663"/>
    <w:rsid w:val="001C7895"/>
    <w:rsid w:val="001D26DF"/>
    <w:rsid w:val="001D3D4F"/>
    <w:rsid w:val="001E6A7B"/>
    <w:rsid w:val="001F1599"/>
    <w:rsid w:val="001F19C4"/>
    <w:rsid w:val="002043F0"/>
    <w:rsid w:val="00211E0B"/>
    <w:rsid w:val="00226BC8"/>
    <w:rsid w:val="00232575"/>
    <w:rsid w:val="00247258"/>
    <w:rsid w:val="00257CAC"/>
    <w:rsid w:val="00263871"/>
    <w:rsid w:val="0027237A"/>
    <w:rsid w:val="002974E9"/>
    <w:rsid w:val="002A306B"/>
    <w:rsid w:val="002A7D43"/>
    <w:rsid w:val="002A7F94"/>
    <w:rsid w:val="002B109A"/>
    <w:rsid w:val="002C6D45"/>
    <w:rsid w:val="002D6E53"/>
    <w:rsid w:val="002F046D"/>
    <w:rsid w:val="002F3023"/>
    <w:rsid w:val="00301764"/>
    <w:rsid w:val="00303726"/>
    <w:rsid w:val="00311902"/>
    <w:rsid w:val="003229D8"/>
    <w:rsid w:val="00336C97"/>
    <w:rsid w:val="00337F88"/>
    <w:rsid w:val="00342432"/>
    <w:rsid w:val="0035223F"/>
    <w:rsid w:val="00352D4B"/>
    <w:rsid w:val="0035638C"/>
    <w:rsid w:val="00392D3E"/>
    <w:rsid w:val="003A46BB"/>
    <w:rsid w:val="003A4EC7"/>
    <w:rsid w:val="003A7295"/>
    <w:rsid w:val="003B1F60"/>
    <w:rsid w:val="003C2CC4"/>
    <w:rsid w:val="003C59AC"/>
    <w:rsid w:val="003D2625"/>
    <w:rsid w:val="003D4B23"/>
    <w:rsid w:val="003E278A"/>
    <w:rsid w:val="0040132E"/>
    <w:rsid w:val="00413520"/>
    <w:rsid w:val="004325CB"/>
    <w:rsid w:val="00440A07"/>
    <w:rsid w:val="004530D3"/>
    <w:rsid w:val="00462880"/>
    <w:rsid w:val="00476F24"/>
    <w:rsid w:val="004A5D33"/>
    <w:rsid w:val="004B52E3"/>
    <w:rsid w:val="004C55B0"/>
    <w:rsid w:val="004D5CF1"/>
    <w:rsid w:val="004F6BA0"/>
    <w:rsid w:val="004F6F83"/>
    <w:rsid w:val="00503BEA"/>
    <w:rsid w:val="0053212C"/>
    <w:rsid w:val="00533616"/>
    <w:rsid w:val="00535ABA"/>
    <w:rsid w:val="0053768B"/>
    <w:rsid w:val="005420F2"/>
    <w:rsid w:val="0054285C"/>
    <w:rsid w:val="00544DD1"/>
    <w:rsid w:val="00584173"/>
    <w:rsid w:val="005864FB"/>
    <w:rsid w:val="00595520"/>
    <w:rsid w:val="005A1885"/>
    <w:rsid w:val="005A44B9"/>
    <w:rsid w:val="005B1BA0"/>
    <w:rsid w:val="005B3DB3"/>
    <w:rsid w:val="005C0268"/>
    <w:rsid w:val="005C6F29"/>
    <w:rsid w:val="005D15CA"/>
    <w:rsid w:val="005E14F5"/>
    <w:rsid w:val="005F08DF"/>
    <w:rsid w:val="005F3066"/>
    <w:rsid w:val="005F3E61"/>
    <w:rsid w:val="00604DDD"/>
    <w:rsid w:val="00606098"/>
    <w:rsid w:val="006115CC"/>
    <w:rsid w:val="00611FC4"/>
    <w:rsid w:val="006176FB"/>
    <w:rsid w:val="00630FCB"/>
    <w:rsid w:val="00640B26"/>
    <w:rsid w:val="0065766B"/>
    <w:rsid w:val="006770B2"/>
    <w:rsid w:val="006775D4"/>
    <w:rsid w:val="0068549A"/>
    <w:rsid w:val="00686A48"/>
    <w:rsid w:val="0068763C"/>
    <w:rsid w:val="006940E1"/>
    <w:rsid w:val="006A3C72"/>
    <w:rsid w:val="006A7392"/>
    <w:rsid w:val="006B03A1"/>
    <w:rsid w:val="006B67D9"/>
    <w:rsid w:val="006C250B"/>
    <w:rsid w:val="006C5535"/>
    <w:rsid w:val="006D0589"/>
    <w:rsid w:val="006E2BFB"/>
    <w:rsid w:val="006E564B"/>
    <w:rsid w:val="006E7154"/>
    <w:rsid w:val="006E76A9"/>
    <w:rsid w:val="007003CD"/>
    <w:rsid w:val="0070701E"/>
    <w:rsid w:val="0072632A"/>
    <w:rsid w:val="007358E8"/>
    <w:rsid w:val="00736ECE"/>
    <w:rsid w:val="0074533B"/>
    <w:rsid w:val="007643BC"/>
    <w:rsid w:val="00772D17"/>
    <w:rsid w:val="00780C68"/>
    <w:rsid w:val="007959FE"/>
    <w:rsid w:val="007A0CF1"/>
    <w:rsid w:val="007A1E79"/>
    <w:rsid w:val="007B6BA5"/>
    <w:rsid w:val="007C3390"/>
    <w:rsid w:val="007C42D8"/>
    <w:rsid w:val="007C4F4B"/>
    <w:rsid w:val="007D6F65"/>
    <w:rsid w:val="007D7362"/>
    <w:rsid w:val="007D7CCE"/>
    <w:rsid w:val="007E19F3"/>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24A1"/>
    <w:rsid w:val="008879CB"/>
    <w:rsid w:val="008979B1"/>
    <w:rsid w:val="008A6B25"/>
    <w:rsid w:val="008A6C4F"/>
    <w:rsid w:val="008B389E"/>
    <w:rsid w:val="008C1F36"/>
    <w:rsid w:val="008D045E"/>
    <w:rsid w:val="008D110A"/>
    <w:rsid w:val="008D3F25"/>
    <w:rsid w:val="008D4D82"/>
    <w:rsid w:val="008E0E46"/>
    <w:rsid w:val="008E7116"/>
    <w:rsid w:val="008F143B"/>
    <w:rsid w:val="008F3882"/>
    <w:rsid w:val="008F4B7C"/>
    <w:rsid w:val="00926E47"/>
    <w:rsid w:val="009306CE"/>
    <w:rsid w:val="00947162"/>
    <w:rsid w:val="009610D0"/>
    <w:rsid w:val="0096375C"/>
    <w:rsid w:val="009662E6"/>
    <w:rsid w:val="0097095E"/>
    <w:rsid w:val="0098592B"/>
    <w:rsid w:val="00985FC4"/>
    <w:rsid w:val="00990766"/>
    <w:rsid w:val="00991261"/>
    <w:rsid w:val="009964C4"/>
    <w:rsid w:val="009A1A86"/>
    <w:rsid w:val="009A7B81"/>
    <w:rsid w:val="009B7EB7"/>
    <w:rsid w:val="009D01C0"/>
    <w:rsid w:val="009D6A08"/>
    <w:rsid w:val="009E0A16"/>
    <w:rsid w:val="009E6CB7"/>
    <w:rsid w:val="009E7970"/>
    <w:rsid w:val="009F2EAC"/>
    <w:rsid w:val="009F57E3"/>
    <w:rsid w:val="00A07C98"/>
    <w:rsid w:val="00A10F4F"/>
    <w:rsid w:val="00A11067"/>
    <w:rsid w:val="00A1704A"/>
    <w:rsid w:val="00A21DA7"/>
    <w:rsid w:val="00A32555"/>
    <w:rsid w:val="00A36AC2"/>
    <w:rsid w:val="00A4017D"/>
    <w:rsid w:val="00A425EB"/>
    <w:rsid w:val="00A72F22"/>
    <w:rsid w:val="00A733BC"/>
    <w:rsid w:val="00A748A6"/>
    <w:rsid w:val="00A76A69"/>
    <w:rsid w:val="00A82BDC"/>
    <w:rsid w:val="00A879A4"/>
    <w:rsid w:val="00AA0FF8"/>
    <w:rsid w:val="00AA330A"/>
    <w:rsid w:val="00AC0F2C"/>
    <w:rsid w:val="00AC502A"/>
    <w:rsid w:val="00AD4625"/>
    <w:rsid w:val="00AE1E26"/>
    <w:rsid w:val="00AE5D8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49F2"/>
    <w:rsid w:val="00BA339B"/>
    <w:rsid w:val="00BB23CC"/>
    <w:rsid w:val="00BB35F9"/>
    <w:rsid w:val="00BC1E7E"/>
    <w:rsid w:val="00BC2AAD"/>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6CFF"/>
    <w:rsid w:val="00C745C3"/>
    <w:rsid w:val="00C978F5"/>
    <w:rsid w:val="00CA24A4"/>
    <w:rsid w:val="00CB348D"/>
    <w:rsid w:val="00CD1CEC"/>
    <w:rsid w:val="00CD2DAC"/>
    <w:rsid w:val="00CD46F5"/>
    <w:rsid w:val="00CE4A8F"/>
    <w:rsid w:val="00CF071D"/>
    <w:rsid w:val="00D0123D"/>
    <w:rsid w:val="00D15B04"/>
    <w:rsid w:val="00D2031B"/>
    <w:rsid w:val="00D25FE2"/>
    <w:rsid w:val="00D37DA9"/>
    <w:rsid w:val="00D406A7"/>
    <w:rsid w:val="00D43252"/>
    <w:rsid w:val="00D43E2F"/>
    <w:rsid w:val="00D44D86"/>
    <w:rsid w:val="00D50B7D"/>
    <w:rsid w:val="00D52012"/>
    <w:rsid w:val="00D704E5"/>
    <w:rsid w:val="00D71085"/>
    <w:rsid w:val="00D72727"/>
    <w:rsid w:val="00D978C6"/>
    <w:rsid w:val="00DA0956"/>
    <w:rsid w:val="00DA357F"/>
    <w:rsid w:val="00DA3E12"/>
    <w:rsid w:val="00DB276D"/>
    <w:rsid w:val="00DC18AD"/>
    <w:rsid w:val="00DF1FDB"/>
    <w:rsid w:val="00DF7CAE"/>
    <w:rsid w:val="00E001F6"/>
    <w:rsid w:val="00E042AA"/>
    <w:rsid w:val="00E31A75"/>
    <w:rsid w:val="00E37653"/>
    <w:rsid w:val="00E423C0"/>
    <w:rsid w:val="00E452D3"/>
    <w:rsid w:val="00E46734"/>
    <w:rsid w:val="00E57D6C"/>
    <w:rsid w:val="00E62FF9"/>
    <w:rsid w:val="00E6414C"/>
    <w:rsid w:val="00E7260F"/>
    <w:rsid w:val="00E8702D"/>
    <w:rsid w:val="00E87D7A"/>
    <w:rsid w:val="00E905F4"/>
    <w:rsid w:val="00E916A9"/>
    <w:rsid w:val="00E916DE"/>
    <w:rsid w:val="00E925AD"/>
    <w:rsid w:val="00E96630"/>
    <w:rsid w:val="00ED18DC"/>
    <w:rsid w:val="00ED6201"/>
    <w:rsid w:val="00ED6F91"/>
    <w:rsid w:val="00ED7A2A"/>
    <w:rsid w:val="00EE5A92"/>
    <w:rsid w:val="00EF0C96"/>
    <w:rsid w:val="00EF1D7F"/>
    <w:rsid w:val="00F0137E"/>
    <w:rsid w:val="00F04E44"/>
    <w:rsid w:val="00F21786"/>
    <w:rsid w:val="00F25D06"/>
    <w:rsid w:val="00F31CFF"/>
    <w:rsid w:val="00F3742B"/>
    <w:rsid w:val="00F41FDB"/>
    <w:rsid w:val="00F50597"/>
    <w:rsid w:val="00F56D63"/>
    <w:rsid w:val="00F609A9"/>
    <w:rsid w:val="00F80C99"/>
    <w:rsid w:val="00F80E22"/>
    <w:rsid w:val="00F867EC"/>
    <w:rsid w:val="00F91B2B"/>
    <w:rsid w:val="00FB119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locked/>
    <w:rsid w:val="00DB276D"/>
    <w:rPr>
      <w:sz w:val="18"/>
      <w:lang w:val="en-GB" w:eastAsia="en-US" w:bidi="ar-SA"/>
    </w:rPr>
  </w:style>
  <w:style w:type="character" w:customStyle="1" w:styleId="HChGChar">
    <w:name w:val="_ H _Ch_G Char"/>
    <w:link w:val="HChG"/>
    <w:rsid w:val="008824A1"/>
    <w:rPr>
      <w:b/>
      <w:sz w:val="28"/>
      <w:lang w:val="en-GB"/>
    </w:rPr>
  </w:style>
  <w:style w:type="character" w:customStyle="1" w:styleId="SingleTxtGChar">
    <w:name w:val="_ Single Txt_G Char"/>
    <w:link w:val="SingleTxtG"/>
    <w:qFormat/>
    <w:locked/>
    <w:rsid w:val="000600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87B46-663A-4D56-A2DE-5DBF759F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9511</Characters>
  <Application>Microsoft Office Word</Application>
  <DocSecurity>0</DocSecurity>
  <Lines>204</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ECE/TRANS/WP.29/2021/53</dc:title>
  <dc:subject>2017387</dc:subject>
  <dc:creator>Lucille</dc:creator>
  <cp:keywords/>
  <dc:description/>
  <cp:lastModifiedBy>Cristina BRIGOLI</cp:lastModifiedBy>
  <cp:revision>2</cp:revision>
  <cp:lastPrinted>2009-02-18T09:36:00Z</cp:lastPrinted>
  <dcterms:created xsi:type="dcterms:W3CDTF">2020-12-18T13:42:00Z</dcterms:created>
  <dcterms:modified xsi:type="dcterms:W3CDTF">2020-12-18T13:42:00Z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