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96C1D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8731C3" w14:textId="77777777" w:rsidR="00F35BAF" w:rsidRPr="00DB58B5" w:rsidRDefault="00F35BAF" w:rsidP="00FD721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8CF76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FD1EE2" w14:textId="77777777" w:rsidR="00F35BAF" w:rsidRPr="00DB58B5" w:rsidRDefault="00FD721D" w:rsidP="00FD721D">
            <w:pPr>
              <w:jc w:val="right"/>
            </w:pPr>
            <w:r w:rsidRPr="00FD721D">
              <w:rPr>
                <w:sz w:val="40"/>
              </w:rPr>
              <w:t>ECE</w:t>
            </w:r>
            <w:r>
              <w:t>/TRANS/WP.29/2021/31</w:t>
            </w:r>
          </w:p>
        </w:tc>
      </w:tr>
      <w:tr w:rsidR="00F35BAF" w:rsidRPr="00DB58B5" w14:paraId="22DD0F5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96DA4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8BF1469" wp14:editId="457EC2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409DB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EFAA70" w14:textId="77777777" w:rsidR="00F35BAF" w:rsidRDefault="00FD721D" w:rsidP="00C97039">
            <w:pPr>
              <w:spacing w:before="240"/>
            </w:pPr>
            <w:r>
              <w:t>Distr. générale</w:t>
            </w:r>
          </w:p>
          <w:p w14:paraId="106A3134" w14:textId="77777777" w:rsidR="00FD721D" w:rsidRDefault="00FD721D" w:rsidP="00FD721D">
            <w:pPr>
              <w:spacing w:line="240" w:lineRule="exact"/>
            </w:pPr>
            <w:r>
              <w:t>23 décembre 2020</w:t>
            </w:r>
          </w:p>
          <w:p w14:paraId="54EE594D" w14:textId="77777777" w:rsidR="00FD721D" w:rsidRDefault="00FD721D" w:rsidP="00FD721D">
            <w:pPr>
              <w:spacing w:line="240" w:lineRule="exact"/>
            </w:pPr>
            <w:r>
              <w:t>Français</w:t>
            </w:r>
          </w:p>
          <w:p w14:paraId="56E4CEC4" w14:textId="77777777" w:rsidR="00FD721D" w:rsidRPr="00DB58B5" w:rsidRDefault="00FD721D" w:rsidP="00FD721D">
            <w:pPr>
              <w:spacing w:line="240" w:lineRule="exact"/>
            </w:pPr>
            <w:r>
              <w:t>Original : anglais</w:t>
            </w:r>
          </w:p>
        </w:tc>
      </w:tr>
    </w:tbl>
    <w:p w14:paraId="15A26A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2CF231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815FA1" w14:textId="77777777" w:rsidR="00FD721D" w:rsidRPr="00FD721D" w:rsidRDefault="00FD721D" w:rsidP="00FD721D">
      <w:pPr>
        <w:spacing w:before="120"/>
        <w:rPr>
          <w:b/>
          <w:sz w:val="24"/>
          <w:szCs w:val="24"/>
          <w:lang w:val="fr-FR"/>
        </w:rPr>
      </w:pPr>
      <w:r w:rsidRPr="00FD721D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FD721D">
        <w:rPr>
          <w:b/>
          <w:bCs/>
          <w:sz w:val="24"/>
          <w:szCs w:val="24"/>
          <w:lang w:val="fr-FR"/>
        </w:rPr>
        <w:t>concernant les véhicules</w:t>
      </w:r>
    </w:p>
    <w:p w14:paraId="113E6128" w14:textId="77777777" w:rsidR="00FD721D" w:rsidRPr="00FD721D" w:rsidRDefault="00FD721D" w:rsidP="00FD721D">
      <w:pPr>
        <w:spacing w:before="120"/>
        <w:rPr>
          <w:b/>
          <w:lang w:val="fr-FR"/>
        </w:rPr>
      </w:pPr>
      <w:r w:rsidRPr="00FD721D">
        <w:rPr>
          <w:b/>
          <w:bCs/>
          <w:lang w:val="fr-FR"/>
        </w:rPr>
        <w:t>183</w:t>
      </w:r>
      <w:r w:rsidRPr="00FD721D">
        <w:rPr>
          <w:b/>
          <w:bCs/>
          <w:vertAlign w:val="superscript"/>
          <w:lang w:val="fr-FR"/>
        </w:rPr>
        <w:t>e</w:t>
      </w:r>
      <w:r w:rsidRPr="00FD721D">
        <w:rPr>
          <w:b/>
          <w:bCs/>
          <w:lang w:val="fr-FR"/>
        </w:rPr>
        <w:t xml:space="preserve"> session</w:t>
      </w:r>
    </w:p>
    <w:p w14:paraId="212201D1" w14:textId="77777777" w:rsidR="00FD721D" w:rsidRPr="00FD721D" w:rsidRDefault="00FD721D" w:rsidP="00FD721D">
      <w:pPr>
        <w:rPr>
          <w:lang w:val="fr-FR"/>
        </w:rPr>
      </w:pPr>
      <w:r w:rsidRPr="00FD721D">
        <w:rPr>
          <w:lang w:val="fr-FR"/>
        </w:rPr>
        <w:t>Genève, 9-11 mars 2021</w:t>
      </w:r>
    </w:p>
    <w:p w14:paraId="30AC70F0" w14:textId="77777777" w:rsidR="00FD721D" w:rsidRPr="00FD721D" w:rsidRDefault="00FD721D" w:rsidP="00FD721D">
      <w:pPr>
        <w:rPr>
          <w:lang w:val="fr-FR"/>
        </w:rPr>
      </w:pPr>
      <w:r w:rsidRPr="00FD721D">
        <w:rPr>
          <w:lang w:val="fr-FR"/>
        </w:rPr>
        <w:t>Point 4.9.4 de l’ordre du jour provisoire</w:t>
      </w:r>
    </w:p>
    <w:p w14:paraId="62758200" w14:textId="77777777" w:rsidR="00FD721D" w:rsidRDefault="00FD721D" w:rsidP="00FD721D">
      <w:pPr>
        <w:rPr>
          <w:b/>
          <w:bCs/>
          <w:lang w:val="fr-FR"/>
        </w:rPr>
      </w:pPr>
      <w:r w:rsidRPr="00FD721D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FD721D">
        <w:rPr>
          <w:b/>
          <w:bCs/>
          <w:lang w:val="fr-FR"/>
        </w:rPr>
        <w:t>:</w:t>
      </w:r>
    </w:p>
    <w:p w14:paraId="51091988" w14:textId="77777777" w:rsidR="00FD721D" w:rsidRPr="00FD721D" w:rsidRDefault="00FD721D" w:rsidP="00FD721D">
      <w:pPr>
        <w:rPr>
          <w:b/>
          <w:lang w:val="fr-FR"/>
        </w:rPr>
      </w:pPr>
      <w:r w:rsidRPr="00FD721D"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 w:rsidRPr="00FD721D">
        <w:rPr>
          <w:b/>
          <w:bCs/>
          <w:lang w:val="fr-FR"/>
        </w:rPr>
        <w:t>existants, soumis par le GRE</w:t>
      </w:r>
    </w:p>
    <w:p w14:paraId="652566F2" w14:textId="77777777" w:rsidR="00FD721D" w:rsidRPr="0087555A" w:rsidRDefault="00FD721D" w:rsidP="00FD721D">
      <w:pPr>
        <w:pStyle w:val="HChG"/>
        <w:rPr>
          <w:lang w:val="fr-FR"/>
        </w:rPr>
      </w:pPr>
      <w:r w:rsidRPr="0087555A">
        <w:rPr>
          <w:lang w:val="fr-FR"/>
        </w:rPr>
        <w:tab/>
      </w:r>
      <w:r w:rsidRPr="0087555A">
        <w:rPr>
          <w:lang w:val="fr-FR"/>
        </w:rPr>
        <w:tab/>
        <w:t xml:space="preserve">Proposition de complément 1 à la série </w:t>
      </w:r>
      <w:r w:rsidRPr="00FD721D">
        <w:rPr>
          <w:lang w:val="fr-FR"/>
        </w:rPr>
        <w:t>07</w:t>
      </w:r>
      <w:r w:rsidRPr="0087555A">
        <w:rPr>
          <w:lang w:val="fr-FR"/>
        </w:rPr>
        <w:t xml:space="preserve"> d</w:t>
      </w:r>
      <w:r>
        <w:rPr>
          <w:lang w:val="fr-FR"/>
        </w:rPr>
        <w:t>’</w:t>
      </w:r>
      <w:r w:rsidRPr="0087555A">
        <w:rPr>
          <w:lang w:val="fr-FR"/>
        </w:rPr>
        <w:t xml:space="preserve">amendements </w:t>
      </w:r>
      <w:r>
        <w:rPr>
          <w:lang w:val="fr-FR"/>
        </w:rPr>
        <w:br/>
      </w:r>
      <w:r w:rsidRPr="0087555A">
        <w:rPr>
          <w:lang w:val="fr-FR"/>
        </w:rPr>
        <w:t>au Règlement ONU n</w:t>
      </w:r>
      <w:r w:rsidRPr="0087555A">
        <w:rPr>
          <w:vertAlign w:val="superscript"/>
          <w:lang w:val="fr-FR"/>
        </w:rPr>
        <w:t>o</w:t>
      </w:r>
      <w:r w:rsidRPr="0087555A">
        <w:rPr>
          <w:lang w:val="fr-FR"/>
        </w:rPr>
        <w:t xml:space="preserve"> 48 (Installation des dispositifs d</w:t>
      </w:r>
      <w:r>
        <w:rPr>
          <w:lang w:val="fr-FR"/>
        </w:rPr>
        <w:t>’</w:t>
      </w:r>
      <w:r w:rsidRPr="0087555A">
        <w:rPr>
          <w:lang w:val="fr-FR"/>
        </w:rPr>
        <w:t>éclairage et de signalisation lumineuse)</w:t>
      </w:r>
    </w:p>
    <w:p w14:paraId="66EB4B5F" w14:textId="77777777" w:rsidR="00FD721D" w:rsidRPr="0087555A" w:rsidRDefault="00FD721D" w:rsidP="00FD721D">
      <w:pPr>
        <w:pStyle w:val="H1G"/>
        <w:rPr>
          <w:szCs w:val="24"/>
          <w:lang w:val="fr-FR"/>
        </w:rPr>
      </w:pPr>
      <w:r w:rsidRPr="0087555A">
        <w:rPr>
          <w:lang w:val="fr-FR"/>
        </w:rPr>
        <w:tab/>
      </w:r>
      <w:r w:rsidRPr="0087555A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87555A">
        <w:rPr>
          <w:lang w:val="fr-FR"/>
        </w:rPr>
        <w:t xml:space="preserve">éclairage </w:t>
      </w:r>
      <w:r>
        <w:rPr>
          <w:lang w:val="fr-FR"/>
        </w:rPr>
        <w:br/>
      </w:r>
      <w:r w:rsidRPr="0087555A">
        <w:rPr>
          <w:lang w:val="fr-FR"/>
        </w:rPr>
        <w:t>et de la signalisation lumineuse</w:t>
      </w:r>
      <w:r w:rsidRPr="00FD721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FD721D">
        <w:rPr>
          <w:b w:val="0"/>
          <w:bCs/>
          <w:sz w:val="20"/>
          <w:vertAlign w:val="superscript"/>
          <w:lang w:val="fr-FR"/>
        </w:rPr>
        <w:t>,</w:t>
      </w:r>
      <w:r w:rsidRPr="00FD721D">
        <w:rPr>
          <w:b w:val="0"/>
          <w:bCs/>
          <w:sz w:val="20"/>
          <w:vertAlign w:val="superscript"/>
          <w:lang w:val="fr-FR"/>
        </w:rPr>
        <w:t xml:space="preserve"> </w:t>
      </w:r>
      <w:r w:rsidRPr="00FD721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FD721D">
        <w:rPr>
          <w:b w:val="0"/>
          <w:bCs/>
          <w:sz w:val="20"/>
          <w:lang w:val="fr-FR"/>
        </w:rPr>
        <w:t xml:space="preserve"> </w:t>
      </w:r>
      <w:bookmarkStart w:id="0" w:name="_Hlk58837629"/>
      <w:bookmarkEnd w:id="0"/>
    </w:p>
    <w:p w14:paraId="6BB76635" w14:textId="77777777" w:rsidR="00FD721D" w:rsidRDefault="00FD721D" w:rsidP="00FD721D">
      <w:pPr>
        <w:pStyle w:val="SingleTxtG"/>
        <w:ind w:firstLine="567"/>
        <w:rPr>
          <w:lang w:val="fr-FR"/>
        </w:rPr>
      </w:pPr>
      <w:r w:rsidRPr="0087555A">
        <w:rPr>
          <w:lang w:val="fr-FR"/>
        </w:rPr>
        <w:t>Le texte ci-après, adopté par le Groupe de travail de l</w:t>
      </w:r>
      <w:r>
        <w:rPr>
          <w:lang w:val="fr-FR"/>
        </w:rPr>
        <w:t>’</w:t>
      </w:r>
      <w:r w:rsidRPr="0087555A">
        <w:rPr>
          <w:lang w:val="fr-FR"/>
        </w:rPr>
        <w:t xml:space="preserve">éclairage et de la signalisation </w:t>
      </w:r>
      <w:r w:rsidRPr="00FD721D">
        <w:rPr>
          <w:spacing w:val="4"/>
          <w:lang w:val="fr-FR"/>
        </w:rPr>
        <w:t>lumineuse (GRE) à sa quatre-vingt-troisième session (ECE/TRANS/WP.29/GRE/83, par.</w:t>
      </w:r>
      <w:r w:rsidRPr="00FD721D">
        <w:rPr>
          <w:spacing w:val="4"/>
          <w:lang w:val="fr-FR"/>
        </w:rPr>
        <w:t> </w:t>
      </w:r>
      <w:r w:rsidRPr="00FD721D">
        <w:rPr>
          <w:spacing w:val="4"/>
          <w:lang w:val="fr-FR"/>
        </w:rPr>
        <w:t>21,</w:t>
      </w:r>
      <w:r w:rsidRPr="0087555A">
        <w:rPr>
          <w:lang w:val="fr-FR"/>
        </w:rPr>
        <w:t xml:space="preserve"> 22 et 25), est fondé sur les documents ECE/TRANS/WP.29/GRE/2020/2, ECE/TRANS/WP.29/GRE/2020/3 et ECE/TRANS/WP.29/GRE/2020/24 ainsi que sur les documents informels GRE-83-06 et GRE-83-52. Il est soumis au Forum mondial de l</w:t>
      </w:r>
      <w:r>
        <w:rPr>
          <w:lang w:val="fr-FR"/>
        </w:rPr>
        <w:t>’</w:t>
      </w:r>
      <w:r w:rsidRPr="0087555A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87555A">
        <w:rPr>
          <w:lang w:val="fr-FR"/>
        </w:rPr>
        <w:t>administration de l</w:t>
      </w:r>
      <w:r>
        <w:rPr>
          <w:lang w:val="fr-FR"/>
        </w:rPr>
        <w:t>’</w:t>
      </w:r>
      <w:r w:rsidRPr="0087555A">
        <w:rPr>
          <w:lang w:val="fr-FR"/>
        </w:rPr>
        <w:t>Accord de 1958 (AC.1) pour examen à leurs sessions de mars 2021.</w:t>
      </w:r>
    </w:p>
    <w:p w14:paraId="75D8F244" w14:textId="77777777" w:rsidR="00FD721D" w:rsidRPr="0087555A" w:rsidRDefault="00FD721D" w:rsidP="00FD721D">
      <w:pPr>
        <w:rPr>
          <w:lang w:val="fr-FR"/>
        </w:rPr>
      </w:pPr>
      <w:r w:rsidRPr="0087555A">
        <w:rPr>
          <w:lang w:val="fr-FR"/>
        </w:rPr>
        <w:br w:type="page"/>
      </w:r>
    </w:p>
    <w:p w14:paraId="1ED31404" w14:textId="77777777" w:rsidR="00FD721D" w:rsidRPr="0087555A" w:rsidRDefault="00FD721D" w:rsidP="00216C71">
      <w:pPr>
        <w:pStyle w:val="SingleTxtG"/>
        <w:keepNext/>
        <w:rPr>
          <w:lang w:val="fr-FR"/>
        </w:rPr>
      </w:pPr>
      <w:r w:rsidRPr="00FD721D">
        <w:rPr>
          <w:i/>
          <w:iCs/>
          <w:lang w:val="fr-FR"/>
        </w:rPr>
        <w:lastRenderedPageBreak/>
        <w:t>Paragraphe 2.1.5</w:t>
      </w:r>
      <w:r w:rsidRPr="0087555A">
        <w:rPr>
          <w:lang w:val="fr-FR"/>
        </w:rPr>
        <w:t>, lire</w:t>
      </w:r>
      <w:r>
        <w:rPr>
          <w:lang w:val="fr-FR"/>
        </w:rPr>
        <w:t> </w:t>
      </w:r>
      <w:r w:rsidRPr="0087555A">
        <w:rPr>
          <w:lang w:val="fr-FR"/>
        </w:rPr>
        <w:t>:</w:t>
      </w:r>
    </w:p>
    <w:p w14:paraId="22B393EE" w14:textId="77777777" w:rsidR="00FD721D" w:rsidRPr="0087555A" w:rsidRDefault="00FD721D" w:rsidP="00FD721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2.1.5</w:t>
      </w:r>
      <w:r>
        <w:rPr>
          <w:lang w:val="fr-FR"/>
        </w:rPr>
        <w:tab/>
      </w:r>
      <w:r>
        <w:rPr>
          <w:lang w:val="fr-FR"/>
        </w:rPr>
        <w:tab/>
      </w:r>
      <w:r w:rsidRPr="00FD721D">
        <w:t>“</w:t>
      </w:r>
      <w:r w:rsidRPr="0087555A">
        <w:rPr>
          <w:lang w:val="fr-FR"/>
        </w:rPr>
        <w:t>Feu</w:t>
      </w:r>
      <w:r w:rsidRPr="00FD721D">
        <w:t>”</w:t>
      </w:r>
      <w:r w:rsidRPr="0087555A">
        <w:rPr>
          <w:lang w:val="fr-FR"/>
        </w:rPr>
        <w:t>, un dispositif conçu pour éclairer la route ou émettre un signal lumineux à l</w:t>
      </w:r>
      <w:r>
        <w:rPr>
          <w:lang w:val="fr-FR"/>
        </w:rPr>
        <w:t>’</w:t>
      </w:r>
      <w:r w:rsidRPr="0087555A">
        <w:rPr>
          <w:lang w:val="fr-FR"/>
        </w:rPr>
        <w:t>intention des autres usagers. Les dispositifs d</w:t>
      </w:r>
      <w:r>
        <w:rPr>
          <w:lang w:val="fr-FR"/>
        </w:rPr>
        <w:t>’</w:t>
      </w:r>
      <w:r w:rsidRPr="0087555A">
        <w:rPr>
          <w:lang w:val="fr-FR"/>
        </w:rPr>
        <w:t>éclairage et les dispositifs rétroréfléchissants des plaques d</w:t>
      </w:r>
      <w:r>
        <w:rPr>
          <w:lang w:val="fr-FR"/>
        </w:rPr>
        <w:t>’</w:t>
      </w:r>
      <w:r w:rsidRPr="0087555A">
        <w:rPr>
          <w:lang w:val="fr-FR"/>
        </w:rPr>
        <w:t>immatriculation arrière sont également considérés comme des feux. Aux fins du présent Règlement ONU, les plaques d</w:t>
      </w:r>
      <w:r>
        <w:rPr>
          <w:lang w:val="fr-FR"/>
        </w:rPr>
        <w:t>’</w:t>
      </w:r>
      <w:r w:rsidRPr="0087555A">
        <w:rPr>
          <w:lang w:val="fr-FR"/>
        </w:rPr>
        <w:t>immatriculation arrière lumineuses, les systèmes d</w:t>
      </w:r>
      <w:r>
        <w:rPr>
          <w:lang w:val="fr-FR"/>
        </w:rPr>
        <w:t>’</w:t>
      </w:r>
      <w:r w:rsidRPr="0087555A">
        <w:rPr>
          <w:lang w:val="fr-FR"/>
        </w:rPr>
        <w:t>éclairage de la porte de service des véhicules des catégories M</w:t>
      </w:r>
      <w:r w:rsidRPr="0087555A">
        <w:rPr>
          <w:vertAlign w:val="subscript"/>
          <w:lang w:val="fr-FR"/>
        </w:rPr>
        <w:t>2</w:t>
      </w:r>
      <w:r w:rsidRPr="0087555A">
        <w:rPr>
          <w:lang w:val="fr-FR"/>
        </w:rPr>
        <w:t xml:space="preserve"> et M</w:t>
      </w:r>
      <w:r w:rsidRPr="0087555A">
        <w:rPr>
          <w:vertAlign w:val="subscript"/>
          <w:lang w:val="fr-FR"/>
        </w:rPr>
        <w:t>3</w:t>
      </w:r>
      <w:r w:rsidRPr="0087555A">
        <w:rPr>
          <w:lang w:val="fr-FR"/>
        </w:rPr>
        <w:t>, conformément aux dispositions du Règlement ONU n</w:t>
      </w:r>
      <w:r w:rsidRPr="0087555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87555A">
        <w:rPr>
          <w:lang w:val="fr-FR"/>
        </w:rPr>
        <w:t>107, et les témoins extérieurs d</w:t>
      </w:r>
      <w:r>
        <w:rPr>
          <w:lang w:val="fr-FR"/>
        </w:rPr>
        <w:t>’</w:t>
      </w:r>
      <w:r w:rsidRPr="0087555A">
        <w:rPr>
          <w:lang w:val="fr-FR"/>
        </w:rPr>
        <w:t>état tels que définis dans le présent Règlement ONU ne sont pas considérés comme des feux.</w:t>
      </w:r>
      <w:r>
        <w:rPr>
          <w:lang w:val="fr-FR"/>
        </w:rPr>
        <w:t> ».</w:t>
      </w:r>
    </w:p>
    <w:p w14:paraId="5E3EC6F5" w14:textId="77777777" w:rsidR="00FD721D" w:rsidRPr="0087555A" w:rsidRDefault="00FD721D" w:rsidP="00216C71">
      <w:pPr>
        <w:pStyle w:val="SingleTxtG"/>
        <w:keepNext/>
        <w:rPr>
          <w:lang w:val="fr-FR"/>
        </w:rPr>
      </w:pPr>
      <w:r w:rsidRPr="0087555A">
        <w:rPr>
          <w:i/>
          <w:iCs/>
          <w:lang w:val="fr-FR"/>
        </w:rPr>
        <w:t>Ajouter le nouveau paragraphe 2.5.20</w:t>
      </w:r>
      <w:r w:rsidRPr="0087555A">
        <w:rPr>
          <w:lang w:val="fr-FR"/>
        </w:rPr>
        <w:t>, libellé comme suit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2963995F" w14:textId="77777777" w:rsidR="00FD721D" w:rsidRPr="0087555A" w:rsidRDefault="00FD721D" w:rsidP="00FD721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2.5.20</w:t>
      </w:r>
      <w:r w:rsidRPr="0087555A">
        <w:rPr>
          <w:lang w:val="fr-FR"/>
        </w:rPr>
        <w:tab/>
      </w:r>
      <w:r w:rsidR="00216C71" w:rsidRPr="00216C71">
        <w:rPr>
          <w:lang w:val="fr-FR"/>
        </w:rPr>
        <w:t>“</w:t>
      </w:r>
      <w:r w:rsidRPr="0087555A">
        <w:rPr>
          <w:lang w:val="fr-FR"/>
        </w:rPr>
        <w:t>Témoin extérieur d</w:t>
      </w:r>
      <w:r>
        <w:rPr>
          <w:lang w:val="fr-FR"/>
        </w:rPr>
        <w:t>’</w:t>
      </w:r>
      <w:r w:rsidRPr="0087555A">
        <w:rPr>
          <w:lang w:val="fr-FR"/>
        </w:rPr>
        <w:t>état</w:t>
      </w:r>
      <w:r w:rsidR="00216C71" w:rsidRPr="00216C71">
        <w:rPr>
          <w:lang w:val="fr-FR"/>
        </w:rPr>
        <w:t>”</w:t>
      </w:r>
      <w:r w:rsidRPr="0087555A">
        <w:rPr>
          <w:lang w:val="fr-FR"/>
        </w:rPr>
        <w:t>, un signal optique monté à l</w:t>
      </w:r>
      <w:r>
        <w:rPr>
          <w:lang w:val="fr-FR"/>
        </w:rPr>
        <w:t>’</w:t>
      </w:r>
      <w:r w:rsidRPr="0087555A">
        <w:rPr>
          <w:lang w:val="fr-FR"/>
        </w:rPr>
        <w:t>extérieur du véhicule pour indiquer l</w:t>
      </w:r>
      <w:r>
        <w:rPr>
          <w:lang w:val="fr-FR"/>
        </w:rPr>
        <w:t>’</w:t>
      </w:r>
      <w:r w:rsidRPr="0087555A">
        <w:rPr>
          <w:lang w:val="fr-FR"/>
        </w:rPr>
        <w:t>état ou le changement d</w:t>
      </w:r>
      <w:r>
        <w:rPr>
          <w:lang w:val="fr-FR"/>
        </w:rPr>
        <w:t>’</w:t>
      </w:r>
      <w:r w:rsidRPr="0087555A">
        <w:rPr>
          <w:lang w:val="fr-FR"/>
        </w:rPr>
        <w:t>état du système d</w:t>
      </w:r>
      <w:r>
        <w:rPr>
          <w:lang w:val="fr-FR"/>
        </w:rPr>
        <w:t>’</w:t>
      </w:r>
      <w:r w:rsidRPr="0087555A">
        <w:rPr>
          <w:lang w:val="fr-FR"/>
        </w:rPr>
        <w:t>alarme pour véhicules (SAV), du système d</w:t>
      </w:r>
      <w:r>
        <w:rPr>
          <w:lang w:val="fr-FR"/>
        </w:rPr>
        <w:t>’</w:t>
      </w:r>
      <w:r w:rsidRPr="0087555A">
        <w:rPr>
          <w:lang w:val="fr-FR"/>
        </w:rPr>
        <w:t>alarme (SA) et du dispositif d</w:t>
      </w:r>
      <w:r>
        <w:rPr>
          <w:lang w:val="fr-FR"/>
        </w:rPr>
        <w:t>’</w:t>
      </w:r>
      <w:r w:rsidRPr="0087555A">
        <w:rPr>
          <w:lang w:val="fr-FR"/>
        </w:rPr>
        <w:t>immobilisation, au sens des Règlements ONU n</w:t>
      </w:r>
      <w:r w:rsidRPr="0087555A">
        <w:rPr>
          <w:vertAlign w:val="superscript"/>
          <w:lang w:val="fr-FR"/>
        </w:rPr>
        <w:t>os</w:t>
      </w:r>
      <w:r w:rsidR="00216C71">
        <w:rPr>
          <w:lang w:val="fr-FR"/>
        </w:rPr>
        <w:t> </w:t>
      </w:r>
      <w:r w:rsidRPr="0087555A">
        <w:rPr>
          <w:lang w:val="fr-FR"/>
        </w:rPr>
        <w:t>97 et 116, lorsque le véhicule est en stationnement.</w:t>
      </w:r>
      <w:r>
        <w:rPr>
          <w:lang w:val="fr-FR"/>
        </w:rPr>
        <w:t> ».</w:t>
      </w:r>
    </w:p>
    <w:p w14:paraId="6CFF885B" w14:textId="77777777" w:rsidR="00FD721D" w:rsidRPr="0087555A" w:rsidRDefault="00FD721D" w:rsidP="00216C71">
      <w:pPr>
        <w:pStyle w:val="SingleTxtG"/>
        <w:keepNext/>
        <w:rPr>
          <w:iCs/>
          <w:lang w:val="fr-FR"/>
        </w:rPr>
      </w:pPr>
      <w:r w:rsidRPr="0087555A">
        <w:rPr>
          <w:i/>
          <w:iCs/>
          <w:lang w:val="fr-FR"/>
        </w:rPr>
        <w:t>Paragraphe 2.9.2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221F09C4" w14:textId="77777777" w:rsidR="00FD721D" w:rsidRPr="0087555A" w:rsidRDefault="00FD721D" w:rsidP="00FD721D">
      <w:pPr>
        <w:pStyle w:val="SingleTxtG"/>
        <w:ind w:left="2268" w:hanging="1134"/>
        <w:rPr>
          <w:bCs/>
          <w:iCs/>
        </w:rPr>
      </w:pPr>
      <w:r>
        <w:t>« </w:t>
      </w:r>
      <w:r w:rsidRPr="0087555A">
        <w:t>2.9.2</w:t>
      </w:r>
      <w:r w:rsidRPr="0087555A">
        <w:tab/>
      </w:r>
      <w:r w:rsidR="00216C71" w:rsidRPr="00216C71">
        <w:t>“</w:t>
      </w:r>
      <w:r w:rsidRPr="0087555A">
        <w:rPr>
          <w:i/>
          <w:iCs/>
        </w:rPr>
        <w:t>Dispositif de régulation électronique d</w:t>
      </w:r>
      <w:r>
        <w:rPr>
          <w:i/>
          <w:iCs/>
        </w:rPr>
        <w:t>’</w:t>
      </w:r>
      <w:r w:rsidRPr="0087555A">
        <w:rPr>
          <w:i/>
          <w:iCs/>
        </w:rPr>
        <w:t>une source lumineuse</w:t>
      </w:r>
      <w:r w:rsidR="00216C71" w:rsidRPr="00216C71">
        <w:t>”</w:t>
      </w:r>
      <w:r w:rsidRPr="0087555A">
        <w:t>, un ou plusieurs éléments interposés entre l</w:t>
      </w:r>
      <w:r>
        <w:t>’</w:t>
      </w:r>
      <w:r w:rsidRPr="0087555A">
        <w:t>alimentation et la source lumineuse, destinés à réguler la tension ou l</w:t>
      </w:r>
      <w:r>
        <w:t>’</w:t>
      </w:r>
      <w:r w:rsidRPr="0087555A">
        <w:t>intensité électrique alimentant la source lumineuse.</w:t>
      </w:r>
      <w:r w:rsidR="00216C71">
        <w:t> </w:t>
      </w:r>
      <w:r>
        <w:t>».</w:t>
      </w:r>
    </w:p>
    <w:p w14:paraId="1BC65DAD" w14:textId="77777777" w:rsidR="00FD721D" w:rsidRPr="0087555A" w:rsidRDefault="00FD721D" w:rsidP="00216C71">
      <w:pPr>
        <w:pStyle w:val="SingleTxtG"/>
        <w:rPr>
          <w:iCs/>
          <w:lang w:val="fr-FR"/>
        </w:rPr>
      </w:pPr>
      <w:r w:rsidRPr="0087555A">
        <w:rPr>
          <w:i/>
          <w:iCs/>
          <w:lang w:val="fr-FR"/>
        </w:rPr>
        <w:t>Paragraphe 2.9.2.2</w:t>
      </w:r>
      <w:r w:rsidRPr="0087555A">
        <w:rPr>
          <w:lang w:val="fr-FR"/>
        </w:rPr>
        <w:t>, supprimer.</w:t>
      </w:r>
    </w:p>
    <w:p w14:paraId="2404758A" w14:textId="77777777" w:rsidR="00FD721D" w:rsidRPr="0087555A" w:rsidRDefault="00FD721D" w:rsidP="00216C71">
      <w:pPr>
        <w:pStyle w:val="SingleTxtG"/>
        <w:keepNext/>
        <w:rPr>
          <w:lang w:val="fr-FR"/>
        </w:rPr>
      </w:pPr>
      <w:r w:rsidRPr="0087555A">
        <w:rPr>
          <w:i/>
          <w:iCs/>
          <w:lang w:val="fr-FR"/>
        </w:rPr>
        <w:t>Paragraphe 5.7.2.1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5A1DF1BE" w14:textId="77777777" w:rsidR="00FD721D" w:rsidRPr="0087555A" w:rsidRDefault="00FD721D" w:rsidP="00216C71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5.7.2.1</w:t>
      </w:r>
      <w:r w:rsidRPr="0087555A">
        <w:rPr>
          <w:lang w:val="fr-FR"/>
        </w:rPr>
        <w:tab/>
        <w:t>Les feux simples définis à l</w:t>
      </w:r>
      <w:r>
        <w:rPr>
          <w:lang w:val="fr-FR"/>
        </w:rPr>
        <w:t>’</w:t>
      </w:r>
      <w:r w:rsidRPr="0087555A">
        <w:rPr>
          <w:lang w:val="fr-FR"/>
        </w:rPr>
        <w:t>alinéa</w:t>
      </w:r>
      <w:r w:rsidR="00216C71">
        <w:rPr>
          <w:lang w:val="fr-FR"/>
        </w:rPr>
        <w:t> </w:t>
      </w:r>
      <w:r w:rsidRPr="0087555A">
        <w:rPr>
          <w:lang w:val="fr-FR"/>
        </w:rPr>
        <w:t>a) du paragraphe</w:t>
      </w:r>
      <w:r w:rsidR="00216C71">
        <w:rPr>
          <w:lang w:val="fr-FR"/>
        </w:rPr>
        <w:t> </w:t>
      </w:r>
      <w:r w:rsidRPr="0087555A">
        <w:rPr>
          <w:lang w:val="fr-FR"/>
        </w:rPr>
        <w:t>2.16.1, dont la surface apparente est constituée de deux parties distinctes ou plus, doivent être installés de façon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49CFF238" w14:textId="77777777" w:rsidR="00FD721D" w:rsidRPr="0087555A" w:rsidRDefault="00FD721D" w:rsidP="00216C71">
      <w:pPr>
        <w:pStyle w:val="SingleTxtG"/>
        <w:ind w:left="2835" w:hanging="567"/>
        <w:rPr>
          <w:iCs/>
          <w:lang w:val="fr-FR"/>
        </w:rPr>
      </w:pPr>
      <w:r w:rsidRPr="0087555A">
        <w:rPr>
          <w:lang w:val="fr-FR"/>
        </w:rPr>
        <w:t>a)</w:t>
      </w:r>
      <w:r w:rsidRPr="0087555A">
        <w:rPr>
          <w:lang w:val="fr-FR"/>
        </w:rPr>
        <w:tab/>
        <w:t>Que la superficie totale de la projection des parties distinctes de la surface apparente dans la direction de l</w:t>
      </w:r>
      <w:r>
        <w:rPr>
          <w:lang w:val="fr-FR"/>
        </w:rPr>
        <w:t>’</w:t>
      </w:r>
      <w:r w:rsidRPr="0087555A">
        <w:rPr>
          <w:lang w:val="fr-FR"/>
        </w:rPr>
        <w:t>axe de référence sur un plan tangent à la surface extérieure de la glace extérieure et perpendiculaire à l</w:t>
      </w:r>
      <w:r>
        <w:rPr>
          <w:lang w:val="fr-FR"/>
        </w:rPr>
        <w:t>’</w:t>
      </w:r>
      <w:r w:rsidRPr="0087555A">
        <w:rPr>
          <w:lang w:val="fr-FR"/>
        </w:rPr>
        <w:t>axe de référence occupe au moins 60</w:t>
      </w:r>
      <w:r w:rsidR="00216C71">
        <w:rPr>
          <w:lang w:val="fr-FR"/>
        </w:rPr>
        <w:t> </w:t>
      </w:r>
      <w:r w:rsidRPr="0087555A">
        <w:rPr>
          <w:lang w:val="fr-FR"/>
        </w:rPr>
        <w:t>% du plus petit quadrilatère circonscrivant la projection de la surface apparente dans la direction de l</w:t>
      </w:r>
      <w:r>
        <w:rPr>
          <w:lang w:val="fr-FR"/>
        </w:rPr>
        <w:t>’</w:t>
      </w:r>
      <w:r w:rsidRPr="0087555A">
        <w:rPr>
          <w:lang w:val="fr-FR"/>
        </w:rPr>
        <w:t>axe de référence</w:t>
      </w:r>
      <w:r w:rsidR="00216C71">
        <w:rPr>
          <w:lang w:val="fr-FR"/>
        </w:rPr>
        <w:t> </w:t>
      </w:r>
      <w:r w:rsidRPr="0087555A">
        <w:rPr>
          <w:lang w:val="fr-FR"/>
        </w:rPr>
        <w:t>; ou</w:t>
      </w:r>
      <w:bookmarkStart w:id="1" w:name="_Hlk33693159"/>
      <w:bookmarkStart w:id="2" w:name="_Hlk33693272"/>
      <w:bookmarkEnd w:id="1"/>
      <w:bookmarkEnd w:id="2"/>
    </w:p>
    <w:p w14:paraId="498C3346" w14:textId="77777777" w:rsidR="00FD721D" w:rsidRPr="0087555A" w:rsidRDefault="00FD721D" w:rsidP="00216C71">
      <w:pPr>
        <w:pStyle w:val="SingleTxtG"/>
        <w:ind w:left="2835" w:hanging="567"/>
        <w:rPr>
          <w:iCs/>
          <w:lang w:val="fr-FR"/>
        </w:rPr>
      </w:pPr>
      <w:r w:rsidRPr="0087555A">
        <w:rPr>
          <w:lang w:val="fr-FR"/>
        </w:rPr>
        <w:t>b)</w:t>
      </w:r>
      <w:r w:rsidRPr="0087555A">
        <w:rPr>
          <w:lang w:val="fr-FR"/>
        </w:rPr>
        <w:tab/>
        <w:t>Que la distance minimum entre les côtés en regard des deux parties distinctes adjacentes/tangentes de la surface apparente dans la direction de l</w:t>
      </w:r>
      <w:r>
        <w:rPr>
          <w:lang w:val="fr-FR"/>
        </w:rPr>
        <w:t>’</w:t>
      </w:r>
      <w:r w:rsidRPr="0087555A">
        <w:rPr>
          <w:lang w:val="fr-FR"/>
        </w:rPr>
        <w:t>axe de référence n</w:t>
      </w:r>
      <w:r>
        <w:rPr>
          <w:lang w:val="fr-FR"/>
        </w:rPr>
        <w:t>’</w:t>
      </w:r>
      <w:r w:rsidRPr="0087555A">
        <w:rPr>
          <w:lang w:val="fr-FR"/>
        </w:rPr>
        <w:t>excède pas 75</w:t>
      </w:r>
      <w:r w:rsidR="00216C71">
        <w:rPr>
          <w:lang w:val="fr-FR"/>
        </w:rPr>
        <w:t> </w:t>
      </w:r>
      <w:r w:rsidRPr="0087555A">
        <w:rPr>
          <w:lang w:val="fr-FR"/>
        </w:rPr>
        <w:t>mm lorsque la mesure est effectuée perpendiculairement à l</w:t>
      </w:r>
      <w:r>
        <w:rPr>
          <w:lang w:val="fr-FR"/>
        </w:rPr>
        <w:t>’</w:t>
      </w:r>
      <w:r w:rsidRPr="0087555A">
        <w:rPr>
          <w:lang w:val="fr-FR"/>
        </w:rPr>
        <w:t>axe de référence.</w:t>
      </w:r>
      <w:bookmarkStart w:id="3" w:name="_Hlk33693344"/>
      <w:bookmarkEnd w:id="3"/>
    </w:p>
    <w:p w14:paraId="2297D19C" w14:textId="77777777" w:rsidR="00FD721D" w:rsidRPr="0087555A" w:rsidRDefault="00FD721D" w:rsidP="00216C71">
      <w:pPr>
        <w:pStyle w:val="SingleTxtG"/>
        <w:ind w:left="2268"/>
        <w:rPr>
          <w:color w:val="000000"/>
          <w:lang w:val="fr-FR"/>
        </w:rPr>
      </w:pPr>
      <w:r w:rsidRPr="0087555A">
        <w:rPr>
          <w:lang w:val="fr-FR"/>
        </w:rPr>
        <w:t>Ces prescriptions ne s</w:t>
      </w:r>
      <w:r>
        <w:rPr>
          <w:lang w:val="fr-FR"/>
        </w:rPr>
        <w:t>’</w:t>
      </w:r>
      <w:r w:rsidRPr="0087555A">
        <w:rPr>
          <w:lang w:val="fr-FR"/>
        </w:rPr>
        <w:t>appliquent pas à un catadioptre simple.</w:t>
      </w:r>
      <w:r>
        <w:rPr>
          <w:lang w:val="fr-FR"/>
        </w:rPr>
        <w:t> ».</w:t>
      </w:r>
    </w:p>
    <w:p w14:paraId="35510498" w14:textId="77777777" w:rsidR="00FD721D" w:rsidRPr="0087555A" w:rsidRDefault="00FD721D" w:rsidP="00216C71">
      <w:pPr>
        <w:pStyle w:val="SingleTxtG"/>
        <w:keepNext/>
        <w:rPr>
          <w:iCs/>
          <w:lang w:val="fr-FR"/>
        </w:rPr>
      </w:pPr>
      <w:r w:rsidRPr="0087555A">
        <w:rPr>
          <w:i/>
          <w:iCs/>
          <w:lang w:val="fr-FR"/>
        </w:rPr>
        <w:t>Paragraphes 5.32 à 5.34</w:t>
      </w:r>
      <w:r w:rsidRPr="0087555A">
        <w:rPr>
          <w:lang w:val="fr-FR"/>
        </w:rPr>
        <w:t>, renuméroter et lire comme suit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002A1A88" w14:textId="77777777" w:rsidR="00FD721D" w:rsidRPr="0087555A" w:rsidRDefault="00FD721D" w:rsidP="00216C71">
      <w:pPr>
        <w:pStyle w:val="SingleTxtG"/>
        <w:keepNext/>
        <w:ind w:left="2268" w:hanging="1134"/>
      </w:pPr>
      <w:r>
        <w:t>« </w:t>
      </w:r>
      <w:r w:rsidRPr="0087555A">
        <w:t>5.32</w:t>
      </w:r>
      <w:r w:rsidRPr="0087555A">
        <w:tab/>
        <w:t>Témoin extérieur d</w:t>
      </w:r>
      <w:r>
        <w:t>’</w:t>
      </w:r>
      <w:r w:rsidRPr="0087555A">
        <w:t>état</w:t>
      </w:r>
    </w:p>
    <w:p w14:paraId="6A4888AE" w14:textId="77777777" w:rsidR="00FD721D" w:rsidRPr="0087555A" w:rsidRDefault="00FD721D" w:rsidP="00216C71">
      <w:pPr>
        <w:pStyle w:val="SingleTxtG"/>
        <w:keepNext/>
        <w:ind w:left="2268"/>
      </w:pPr>
      <w:r w:rsidRPr="0087555A">
        <w:t>Un témoin extérieur d</w:t>
      </w:r>
      <w:r>
        <w:t>’</w:t>
      </w:r>
      <w:r w:rsidRPr="0087555A">
        <w:t>état du système d</w:t>
      </w:r>
      <w:r>
        <w:t>’</w:t>
      </w:r>
      <w:r w:rsidRPr="0087555A">
        <w:t>alarme pour véhicules, du système d</w:t>
      </w:r>
      <w:r>
        <w:t>’</w:t>
      </w:r>
      <w:r w:rsidRPr="0087555A">
        <w:t>alarme et du dispositif d</w:t>
      </w:r>
      <w:r>
        <w:t>’</w:t>
      </w:r>
      <w:r w:rsidRPr="0087555A">
        <w:t>immobilisation est autorisé si</w:t>
      </w:r>
      <w:r w:rsidR="00216C71">
        <w:t> </w:t>
      </w:r>
      <w:r w:rsidRPr="0087555A">
        <w:t>:</w:t>
      </w:r>
    </w:p>
    <w:p w14:paraId="7BB05AAB" w14:textId="77777777" w:rsidR="00FD721D" w:rsidRPr="0087555A" w:rsidRDefault="00FD721D" w:rsidP="00216C71">
      <w:pPr>
        <w:pStyle w:val="SingleTxtG"/>
        <w:ind w:left="2835" w:hanging="567"/>
      </w:pPr>
      <w:r w:rsidRPr="0087555A">
        <w:t>a)</w:t>
      </w:r>
      <w:r w:rsidRPr="0087555A">
        <w:tab/>
        <w:t>L</w:t>
      </w:r>
      <w:r>
        <w:t>’</w:t>
      </w:r>
      <w:r w:rsidRPr="0087555A">
        <w:t>intensité lumineuse dans n</w:t>
      </w:r>
      <w:r>
        <w:t>’</w:t>
      </w:r>
      <w:r w:rsidRPr="0087555A">
        <w:t>importe quelle direction ne dépasse pas 0,5</w:t>
      </w:r>
      <w:r w:rsidR="00216C71">
        <w:t> </w:t>
      </w:r>
      <w:r w:rsidRPr="0087555A">
        <w:t>cd</w:t>
      </w:r>
      <w:r w:rsidR="00216C71">
        <w:rPr>
          <w:lang w:val="fr-FR"/>
        </w:rPr>
        <w:t> </w:t>
      </w:r>
      <w:r w:rsidRPr="0087555A">
        <w:t xml:space="preserve">; </w:t>
      </w:r>
    </w:p>
    <w:p w14:paraId="37934A15" w14:textId="77777777" w:rsidR="00FD721D" w:rsidRPr="0087555A" w:rsidRDefault="00FD721D" w:rsidP="00216C71">
      <w:pPr>
        <w:pStyle w:val="SingleTxtG"/>
        <w:ind w:left="2835" w:hanging="567"/>
      </w:pPr>
      <w:r w:rsidRPr="0087555A">
        <w:t>b)</w:t>
      </w:r>
      <w:r w:rsidRPr="0087555A">
        <w:tab/>
        <w:t>La couleur de la lumière émise est blanche, rouge ou jaune-auto</w:t>
      </w:r>
      <w:r w:rsidR="00216C71">
        <w:t> </w:t>
      </w:r>
      <w:r w:rsidRPr="0087555A">
        <w:t>;</w:t>
      </w:r>
    </w:p>
    <w:p w14:paraId="288DDA20" w14:textId="77777777" w:rsidR="00FD721D" w:rsidRPr="0087555A" w:rsidRDefault="00FD721D" w:rsidP="00216C71">
      <w:pPr>
        <w:pStyle w:val="SingleTxtG"/>
        <w:ind w:left="2835" w:hanging="567"/>
      </w:pPr>
      <w:r w:rsidRPr="0087555A">
        <w:t>c)</w:t>
      </w:r>
      <w:r w:rsidRPr="0087555A">
        <w:tab/>
        <w:t>La surface apparente ne dépasse pas 20</w:t>
      </w:r>
      <w:r w:rsidR="00216C71">
        <w:t> </w:t>
      </w:r>
      <w:r w:rsidRPr="0087555A">
        <w:t>cm</w:t>
      </w:r>
      <w:r w:rsidRPr="0087555A">
        <w:rPr>
          <w:vertAlign w:val="superscript"/>
        </w:rPr>
        <w:t>2</w:t>
      </w:r>
      <w:r w:rsidRPr="0087555A">
        <w:t>.</w:t>
      </w:r>
    </w:p>
    <w:p w14:paraId="64F5D6F0" w14:textId="77777777" w:rsidR="00FD721D" w:rsidRPr="0087555A" w:rsidRDefault="00FD721D" w:rsidP="00216C71">
      <w:pPr>
        <w:pStyle w:val="SingleTxtG"/>
        <w:ind w:left="2268"/>
        <w:rPr>
          <w:lang w:val="fr-FR"/>
        </w:rPr>
      </w:pPr>
      <w:r w:rsidRPr="0087555A">
        <w:rPr>
          <w:lang w:val="fr-FR"/>
        </w:rPr>
        <w:t>Jusqu</w:t>
      </w:r>
      <w:r>
        <w:rPr>
          <w:lang w:val="fr-FR"/>
        </w:rPr>
        <w:t>’</w:t>
      </w:r>
      <w:r w:rsidRPr="0087555A">
        <w:rPr>
          <w:lang w:val="fr-FR"/>
        </w:rPr>
        <w:t>à deux témoins extérieurs d</w:t>
      </w:r>
      <w:r>
        <w:rPr>
          <w:lang w:val="fr-FR"/>
        </w:rPr>
        <w:t>’</w:t>
      </w:r>
      <w:r w:rsidRPr="0087555A">
        <w:rPr>
          <w:lang w:val="fr-FR"/>
        </w:rPr>
        <w:t>état du système d</w:t>
      </w:r>
      <w:r>
        <w:rPr>
          <w:lang w:val="fr-FR"/>
        </w:rPr>
        <w:t>’</w:t>
      </w:r>
      <w:r w:rsidRPr="0087555A">
        <w:rPr>
          <w:lang w:val="fr-FR"/>
        </w:rPr>
        <w:t>alarme pour véhicules, du système d</w:t>
      </w:r>
      <w:r>
        <w:rPr>
          <w:lang w:val="fr-FR"/>
        </w:rPr>
        <w:t>’</w:t>
      </w:r>
      <w:r w:rsidRPr="0087555A">
        <w:rPr>
          <w:lang w:val="fr-FR"/>
        </w:rPr>
        <w:t>alarme et du dispositif d</w:t>
      </w:r>
      <w:r>
        <w:rPr>
          <w:lang w:val="fr-FR"/>
        </w:rPr>
        <w:t>’</w:t>
      </w:r>
      <w:r w:rsidRPr="0087555A">
        <w:rPr>
          <w:lang w:val="fr-FR"/>
        </w:rPr>
        <w:t>immobilisation sont autorisés sur un véhicule, à condition que la surface apparente ne dépasse pas 10</w:t>
      </w:r>
      <w:r w:rsidR="00216C71">
        <w:rPr>
          <w:lang w:val="fr-FR"/>
        </w:rPr>
        <w:t> </w:t>
      </w:r>
      <w:r w:rsidRPr="0087555A">
        <w:rPr>
          <w:lang w:val="fr-FR"/>
        </w:rPr>
        <w:t>cm</w:t>
      </w:r>
      <w:r w:rsidRPr="0087555A">
        <w:rPr>
          <w:vertAlign w:val="superscript"/>
          <w:lang w:val="fr-FR"/>
        </w:rPr>
        <w:t>2</w:t>
      </w:r>
      <w:r w:rsidRPr="0087555A">
        <w:rPr>
          <w:lang w:val="fr-FR"/>
        </w:rPr>
        <w:t xml:space="preserve"> par témoin.</w:t>
      </w:r>
    </w:p>
    <w:p w14:paraId="4643A2CF" w14:textId="77777777" w:rsidR="00FD721D" w:rsidRPr="0087555A" w:rsidRDefault="00FD721D" w:rsidP="00216C71">
      <w:pPr>
        <w:pStyle w:val="SingleTxtG"/>
        <w:keepLines/>
        <w:ind w:left="2268" w:hanging="1134"/>
        <w:rPr>
          <w:lang w:val="fr-FR"/>
        </w:rPr>
      </w:pPr>
      <w:r w:rsidRPr="0087555A">
        <w:rPr>
          <w:lang w:val="fr-FR"/>
        </w:rPr>
        <w:lastRenderedPageBreak/>
        <w:t>5.33</w:t>
      </w:r>
      <w:r w:rsidRPr="0087555A">
        <w:rPr>
          <w:lang w:val="fr-FR"/>
        </w:rPr>
        <w:tab/>
        <w:t>Un dispositif homologué au titre d</w:t>
      </w:r>
      <w:r>
        <w:rPr>
          <w:lang w:val="fr-FR"/>
        </w:rPr>
        <w:t>’</w:t>
      </w:r>
      <w:r w:rsidRPr="0087555A">
        <w:rPr>
          <w:lang w:val="fr-FR"/>
        </w:rPr>
        <w:t>une série précédente d</w:t>
      </w:r>
      <w:r>
        <w:rPr>
          <w:lang w:val="fr-FR"/>
        </w:rPr>
        <w:t>’</w:t>
      </w:r>
      <w:r w:rsidRPr="0087555A">
        <w:rPr>
          <w:lang w:val="fr-FR"/>
        </w:rPr>
        <w:t>amendements aux Règlements ONU n</w:t>
      </w:r>
      <w:r w:rsidRPr="0087555A">
        <w:rPr>
          <w:vertAlign w:val="superscript"/>
          <w:lang w:val="fr-FR"/>
        </w:rPr>
        <w:t>os</w:t>
      </w:r>
      <w:r w:rsidR="00216C71">
        <w:rPr>
          <w:lang w:val="fr-FR"/>
        </w:rPr>
        <w:t> </w:t>
      </w:r>
      <w:r w:rsidRPr="0087555A">
        <w:rPr>
          <w:lang w:val="fr-FR"/>
        </w:rPr>
        <w:t>148 et/ou 149 et/ou 150 est réputé équivalent à un dispositif homologué au titre de la série d</w:t>
      </w:r>
      <w:r>
        <w:rPr>
          <w:lang w:val="fr-FR"/>
        </w:rPr>
        <w:t>’</w:t>
      </w:r>
      <w:r w:rsidRPr="0087555A">
        <w:rPr>
          <w:lang w:val="fr-FR"/>
        </w:rPr>
        <w:t>amendements la plus récente au Règlement ONU concerné (n</w:t>
      </w:r>
      <w:r w:rsidRPr="0087555A">
        <w:rPr>
          <w:vertAlign w:val="superscript"/>
          <w:lang w:val="fr-FR"/>
        </w:rPr>
        <w:t>os</w:t>
      </w:r>
      <w:r w:rsidR="00216C71">
        <w:rPr>
          <w:lang w:val="fr-FR"/>
        </w:rPr>
        <w:t> </w:t>
      </w:r>
      <w:r w:rsidRPr="0087555A">
        <w:rPr>
          <w:lang w:val="fr-FR"/>
        </w:rPr>
        <w:t>148 et/ou 149 et/ou 150), lorsque les indices des modifications (définis au paragraphe</w:t>
      </w:r>
      <w:r w:rsidR="00216C71">
        <w:rPr>
          <w:lang w:val="fr-FR"/>
        </w:rPr>
        <w:t> </w:t>
      </w:r>
      <w:r w:rsidRPr="0087555A">
        <w:rPr>
          <w:lang w:val="fr-FR"/>
        </w:rPr>
        <w:t>2.1.6) de chacun des feux (fonctions) sont les mêmes. Dans ce cas, un tel dispositif peut être installé sur le véhicule dont l</w:t>
      </w:r>
      <w:r>
        <w:rPr>
          <w:lang w:val="fr-FR"/>
        </w:rPr>
        <w:t>’</w:t>
      </w:r>
      <w:r w:rsidRPr="0087555A">
        <w:rPr>
          <w:lang w:val="fr-FR"/>
        </w:rPr>
        <w:t>homologation de type est demandée sans qu</w:t>
      </w:r>
      <w:r>
        <w:rPr>
          <w:lang w:val="fr-FR"/>
        </w:rPr>
        <w:t>’</w:t>
      </w:r>
      <w:r w:rsidRPr="0087555A">
        <w:rPr>
          <w:lang w:val="fr-FR"/>
        </w:rPr>
        <w:t>il soit nécessaire de mettre à jour les documents d</w:t>
      </w:r>
      <w:r>
        <w:rPr>
          <w:lang w:val="fr-FR"/>
        </w:rPr>
        <w:t>’</w:t>
      </w:r>
      <w:r w:rsidRPr="0087555A">
        <w:rPr>
          <w:lang w:val="fr-FR"/>
        </w:rPr>
        <w:t>homologation de type ni le marquage du dispositif.</w:t>
      </w:r>
    </w:p>
    <w:p w14:paraId="2BC9AF13" w14:textId="77777777" w:rsidR="00FD721D" w:rsidRPr="0087555A" w:rsidRDefault="00FD721D" w:rsidP="00FD721D">
      <w:pPr>
        <w:pStyle w:val="SingleTxtG"/>
        <w:ind w:left="2268" w:hanging="1134"/>
      </w:pPr>
      <w:r w:rsidRPr="0087555A">
        <w:t>5.34</w:t>
      </w:r>
      <w:r w:rsidRPr="0087555A">
        <w:tab/>
        <w:t>L</w:t>
      </w:r>
      <w:r>
        <w:t>’</w:t>
      </w:r>
      <w:r w:rsidRPr="0087555A">
        <w:t>utilisation de feux homologués pour être équipés de sources lumineuses à DEL de substitution, et qui en sont équipés, est autorisée uniquement lorsqu</w:t>
      </w:r>
      <w:r>
        <w:t>’</w:t>
      </w:r>
      <w:r w:rsidRPr="0087555A">
        <w:t>il est répondu positivement à la question du paragraphe</w:t>
      </w:r>
      <w:r w:rsidR="00216C71">
        <w:t> </w:t>
      </w:r>
      <w:r w:rsidRPr="0087555A">
        <w:t>3.2.8.</w:t>
      </w:r>
    </w:p>
    <w:p w14:paraId="734E3781" w14:textId="77777777" w:rsidR="00FD721D" w:rsidRPr="0087555A" w:rsidRDefault="00FD721D" w:rsidP="00216C71">
      <w:pPr>
        <w:pStyle w:val="SingleTxtG"/>
        <w:ind w:left="2268"/>
        <w:rPr>
          <w:i/>
          <w:lang w:val="fr-FR"/>
        </w:rPr>
      </w:pPr>
      <w:r w:rsidRPr="0087555A">
        <w:rPr>
          <w:lang w:val="fr-FR"/>
        </w:rPr>
        <w:t>Pour vérifier que cette déclaration est suivie d</w:t>
      </w:r>
      <w:r>
        <w:rPr>
          <w:lang w:val="fr-FR"/>
        </w:rPr>
        <w:t>’</w:t>
      </w:r>
      <w:r w:rsidRPr="0087555A">
        <w:rPr>
          <w:lang w:val="fr-FR"/>
        </w:rPr>
        <w:t>effets, il faut contrôler la présence sur les feux de la marque relative à l</w:t>
      </w:r>
      <w:r>
        <w:rPr>
          <w:lang w:val="fr-FR"/>
        </w:rPr>
        <w:t>’</w:t>
      </w:r>
      <w:r w:rsidRPr="0087555A">
        <w:rPr>
          <w:lang w:val="fr-FR"/>
        </w:rPr>
        <w:t>utilisation de sources lumineuses à DEL de substitution, tant au stade de l</w:t>
      </w:r>
      <w:r>
        <w:rPr>
          <w:lang w:val="fr-FR"/>
        </w:rPr>
        <w:t>’</w:t>
      </w:r>
      <w:r w:rsidRPr="0087555A">
        <w:rPr>
          <w:lang w:val="fr-FR"/>
        </w:rPr>
        <w:t>homologation de type qu</w:t>
      </w:r>
      <w:r>
        <w:rPr>
          <w:lang w:val="fr-FR"/>
        </w:rPr>
        <w:t>’</w:t>
      </w:r>
      <w:r w:rsidRPr="0087555A">
        <w:rPr>
          <w:lang w:val="fr-FR"/>
        </w:rPr>
        <w:t>à celui de la vérification de la conformité de la production.</w:t>
      </w:r>
      <w:r>
        <w:rPr>
          <w:lang w:val="fr-FR"/>
        </w:rPr>
        <w:t> ».</w:t>
      </w:r>
    </w:p>
    <w:p w14:paraId="1AB43445" w14:textId="77777777" w:rsidR="00FD721D" w:rsidRPr="0087555A" w:rsidRDefault="00FD721D" w:rsidP="00216C71">
      <w:pPr>
        <w:pStyle w:val="SingleTxtG"/>
        <w:keepNext/>
        <w:rPr>
          <w:lang w:val="fr-FR"/>
        </w:rPr>
      </w:pPr>
      <w:r w:rsidRPr="0087555A">
        <w:rPr>
          <w:i/>
          <w:iCs/>
          <w:lang w:val="fr-FR"/>
        </w:rPr>
        <w:t>Paragraphe 6.2.4.2</w:t>
      </w:r>
      <w:r w:rsidRPr="0087555A">
        <w:rPr>
          <w:lang w:val="fr-FR"/>
        </w:rPr>
        <w:t>, lire (la note 10 demeure inchangée)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0E45FDD5" w14:textId="77777777" w:rsidR="00FD721D" w:rsidRPr="0087555A" w:rsidRDefault="00FD721D" w:rsidP="00FD721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6.2.4.2</w:t>
      </w:r>
      <w:r w:rsidRPr="0087555A">
        <w:rPr>
          <w:lang w:val="fr-FR"/>
        </w:rPr>
        <w:tab/>
        <w:t>En hauteur</w:t>
      </w:r>
      <w:r w:rsidR="00216C71">
        <w:rPr>
          <w:lang w:val="fr-FR"/>
        </w:rPr>
        <w:t> </w:t>
      </w:r>
      <w:r w:rsidRPr="0087555A">
        <w:rPr>
          <w:lang w:val="fr-FR"/>
        </w:rPr>
        <w:t>: minimum 500</w:t>
      </w:r>
      <w:r w:rsidR="00216C71">
        <w:rPr>
          <w:lang w:val="fr-FR"/>
        </w:rPr>
        <w:t> </w:t>
      </w:r>
      <w:r w:rsidRPr="0087555A">
        <w:rPr>
          <w:lang w:val="fr-FR"/>
        </w:rPr>
        <w:t>mm, maximum 1</w:t>
      </w:r>
      <w:r w:rsidR="00216C71">
        <w:rPr>
          <w:lang w:val="fr-FR"/>
        </w:rPr>
        <w:t> </w:t>
      </w:r>
      <w:r w:rsidRPr="0087555A">
        <w:rPr>
          <w:lang w:val="fr-FR"/>
        </w:rPr>
        <w:t>200</w:t>
      </w:r>
      <w:r w:rsidR="00216C71">
        <w:rPr>
          <w:lang w:val="fr-FR"/>
        </w:rPr>
        <w:t> </w:t>
      </w:r>
      <w:r w:rsidRPr="0087555A">
        <w:rPr>
          <w:lang w:val="fr-FR"/>
        </w:rPr>
        <w:t>mm au-dessus du sol. Pour les véhicules des catégories N</w:t>
      </w:r>
      <w:r w:rsidRPr="0087555A">
        <w:rPr>
          <w:vertAlign w:val="subscript"/>
          <w:lang w:val="fr-FR"/>
        </w:rPr>
        <w:t>2</w:t>
      </w:r>
      <w:r w:rsidRPr="0087555A">
        <w:rPr>
          <w:lang w:val="fr-FR"/>
        </w:rPr>
        <w:t>G, N</w:t>
      </w:r>
      <w:r w:rsidRPr="0087555A">
        <w:rPr>
          <w:vertAlign w:val="subscript"/>
          <w:lang w:val="fr-FR"/>
        </w:rPr>
        <w:t>3</w:t>
      </w:r>
      <w:r w:rsidRPr="0087555A">
        <w:rPr>
          <w:lang w:val="fr-FR"/>
        </w:rPr>
        <w:t>G, M</w:t>
      </w:r>
      <w:r w:rsidRPr="0087555A">
        <w:rPr>
          <w:vertAlign w:val="subscript"/>
          <w:lang w:val="fr-FR"/>
        </w:rPr>
        <w:t>2</w:t>
      </w:r>
      <w:r w:rsidRPr="0087555A">
        <w:rPr>
          <w:lang w:val="fr-FR"/>
        </w:rPr>
        <w:t>G et M</w:t>
      </w:r>
      <w:r w:rsidRPr="0087555A">
        <w:rPr>
          <w:vertAlign w:val="subscript"/>
          <w:lang w:val="fr-FR"/>
        </w:rPr>
        <w:t>3</w:t>
      </w:r>
      <w:r w:rsidRPr="0087555A">
        <w:rPr>
          <w:lang w:val="fr-FR"/>
        </w:rPr>
        <w:t>G (véhicules tout-terrain)</w:t>
      </w:r>
      <w:r w:rsidRPr="00216C71">
        <w:rPr>
          <w:sz w:val="18"/>
          <w:szCs w:val="18"/>
          <w:vertAlign w:val="superscript"/>
          <w:lang w:val="fr-FR"/>
        </w:rPr>
        <w:t>10</w:t>
      </w:r>
      <w:r w:rsidRPr="0087555A">
        <w:rPr>
          <w:lang w:val="fr-FR"/>
        </w:rPr>
        <w:t>, l</w:t>
      </w:r>
      <w:r>
        <w:rPr>
          <w:lang w:val="fr-FR"/>
        </w:rPr>
        <w:t>a hauteur maximale</w:t>
      </w:r>
      <w:r w:rsidRPr="0087555A">
        <w:rPr>
          <w:lang w:val="fr-FR"/>
        </w:rPr>
        <w:t xml:space="preserve"> peut être porté</w:t>
      </w:r>
      <w:r>
        <w:rPr>
          <w:lang w:val="fr-FR"/>
        </w:rPr>
        <w:t>e</w:t>
      </w:r>
      <w:r w:rsidRPr="0087555A">
        <w:rPr>
          <w:lang w:val="fr-FR"/>
        </w:rPr>
        <w:t xml:space="preserve"> à 1</w:t>
      </w:r>
      <w:r w:rsidR="00216C71">
        <w:rPr>
          <w:lang w:val="fr-FR"/>
        </w:rPr>
        <w:t> </w:t>
      </w:r>
      <w:r w:rsidRPr="0087555A">
        <w:rPr>
          <w:lang w:val="fr-FR"/>
        </w:rPr>
        <w:t>500</w:t>
      </w:r>
      <w:r w:rsidR="00216C71">
        <w:rPr>
          <w:lang w:val="fr-FR"/>
        </w:rPr>
        <w:t> </w:t>
      </w:r>
      <w:r w:rsidRPr="0087555A">
        <w:rPr>
          <w:lang w:val="fr-FR"/>
        </w:rPr>
        <w:t>mm.</w:t>
      </w:r>
      <w:r w:rsidR="00216C71">
        <w:rPr>
          <w:lang w:val="fr-FR"/>
        </w:rPr>
        <w:t> </w:t>
      </w:r>
      <w:r w:rsidRPr="0087555A">
        <w:rPr>
          <w:lang w:val="fr-FR"/>
        </w:rPr>
        <w:t>»</w:t>
      </w:r>
      <w:r>
        <w:rPr>
          <w:lang w:val="fr-FR"/>
        </w:rPr>
        <w:t>.</w:t>
      </w:r>
    </w:p>
    <w:p w14:paraId="2E2781C9" w14:textId="77777777" w:rsidR="00FD721D" w:rsidRPr="0087555A" w:rsidRDefault="00FD721D" w:rsidP="00216C71">
      <w:pPr>
        <w:pStyle w:val="SingleTxtG"/>
        <w:keepNext/>
        <w:rPr>
          <w:lang w:val="fr-FR"/>
        </w:rPr>
      </w:pPr>
      <w:r w:rsidRPr="0087555A">
        <w:rPr>
          <w:i/>
          <w:iCs/>
          <w:lang w:val="fr-FR"/>
        </w:rPr>
        <w:t>Paragraphe 6.4.4.2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3CAAD8B5" w14:textId="77777777" w:rsidR="00FD721D" w:rsidRPr="0087555A" w:rsidRDefault="00FD721D" w:rsidP="00FD721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6.4.4.2</w:t>
      </w:r>
      <w:r w:rsidRPr="0087555A">
        <w:rPr>
          <w:lang w:val="fr-FR"/>
        </w:rPr>
        <w:tab/>
        <w:t>En hauteur</w:t>
      </w:r>
      <w:r w:rsidR="00216C71">
        <w:rPr>
          <w:lang w:val="fr-FR"/>
        </w:rPr>
        <w:t> </w:t>
      </w:r>
      <w:r w:rsidRPr="0087555A">
        <w:rPr>
          <w:lang w:val="fr-FR"/>
        </w:rPr>
        <w:t>: minimum 250</w:t>
      </w:r>
      <w:r w:rsidR="00216C71">
        <w:rPr>
          <w:lang w:val="fr-FR"/>
        </w:rPr>
        <w:t> </w:t>
      </w:r>
      <w:r w:rsidRPr="0087555A">
        <w:rPr>
          <w:lang w:val="fr-FR"/>
        </w:rPr>
        <w:t>mm, maximum 1</w:t>
      </w:r>
      <w:r w:rsidR="00216C71">
        <w:rPr>
          <w:lang w:val="fr-FR"/>
        </w:rPr>
        <w:t> </w:t>
      </w:r>
      <w:r w:rsidRPr="0087555A">
        <w:rPr>
          <w:lang w:val="fr-FR"/>
        </w:rPr>
        <w:t>200</w:t>
      </w:r>
      <w:r w:rsidR="00216C71">
        <w:rPr>
          <w:lang w:val="fr-FR"/>
        </w:rPr>
        <w:t> </w:t>
      </w:r>
      <w:r w:rsidRPr="0087555A">
        <w:rPr>
          <w:lang w:val="fr-FR"/>
        </w:rPr>
        <w:t>mm au-dessus du sol. Pour les véhicules des catégories N</w:t>
      </w:r>
      <w:r w:rsidRPr="00E134D7">
        <w:rPr>
          <w:vertAlign w:val="subscript"/>
          <w:lang w:val="fr-FR"/>
        </w:rPr>
        <w:t>2</w:t>
      </w:r>
      <w:r w:rsidRPr="0087555A">
        <w:rPr>
          <w:lang w:val="fr-FR"/>
        </w:rPr>
        <w:t>G, N</w:t>
      </w:r>
      <w:r w:rsidRPr="00E134D7">
        <w:rPr>
          <w:vertAlign w:val="subscript"/>
          <w:lang w:val="fr-FR"/>
        </w:rPr>
        <w:t>3</w:t>
      </w:r>
      <w:r w:rsidRPr="0087555A">
        <w:rPr>
          <w:lang w:val="fr-FR"/>
        </w:rPr>
        <w:t>G, M</w:t>
      </w:r>
      <w:r w:rsidRPr="00E134D7">
        <w:rPr>
          <w:vertAlign w:val="subscript"/>
          <w:lang w:val="fr-FR"/>
        </w:rPr>
        <w:t>2</w:t>
      </w:r>
      <w:r w:rsidRPr="0087555A">
        <w:rPr>
          <w:lang w:val="fr-FR"/>
        </w:rPr>
        <w:t>G et M</w:t>
      </w:r>
      <w:r w:rsidRPr="00E134D7">
        <w:rPr>
          <w:vertAlign w:val="subscript"/>
          <w:lang w:val="fr-FR"/>
        </w:rPr>
        <w:t>3</w:t>
      </w:r>
      <w:r w:rsidRPr="0087555A">
        <w:rPr>
          <w:lang w:val="fr-FR"/>
        </w:rPr>
        <w:t>G (véhicules tout-terrain), l</w:t>
      </w:r>
      <w:r>
        <w:rPr>
          <w:lang w:val="fr-FR"/>
        </w:rPr>
        <w:t>a hauteur maximale</w:t>
      </w:r>
      <w:r w:rsidRPr="0087555A">
        <w:rPr>
          <w:lang w:val="fr-FR"/>
        </w:rPr>
        <w:t xml:space="preserve"> peut être porté</w:t>
      </w:r>
      <w:r>
        <w:rPr>
          <w:lang w:val="fr-FR"/>
        </w:rPr>
        <w:t>e</w:t>
      </w:r>
      <w:r w:rsidRPr="0087555A">
        <w:rPr>
          <w:lang w:val="fr-FR"/>
        </w:rPr>
        <w:t xml:space="preserve"> à 1</w:t>
      </w:r>
      <w:r w:rsidR="00216C71">
        <w:rPr>
          <w:lang w:val="fr-FR"/>
        </w:rPr>
        <w:t> </w:t>
      </w:r>
      <w:r w:rsidRPr="0087555A">
        <w:rPr>
          <w:lang w:val="fr-FR"/>
        </w:rPr>
        <w:t>400</w:t>
      </w:r>
      <w:r w:rsidR="00216C71">
        <w:rPr>
          <w:lang w:val="fr-FR"/>
        </w:rPr>
        <w:t> </w:t>
      </w:r>
      <w:r w:rsidRPr="0087555A">
        <w:rPr>
          <w:lang w:val="fr-FR"/>
        </w:rPr>
        <w:t>mm.</w:t>
      </w:r>
      <w:r w:rsidR="00216C71">
        <w:rPr>
          <w:lang w:val="fr-FR"/>
        </w:rPr>
        <w:t> </w:t>
      </w:r>
      <w:r w:rsidRPr="0087555A">
        <w:rPr>
          <w:lang w:val="fr-FR"/>
        </w:rPr>
        <w:t>»</w:t>
      </w:r>
      <w:r>
        <w:rPr>
          <w:lang w:val="fr-FR"/>
        </w:rPr>
        <w:t>.</w:t>
      </w:r>
    </w:p>
    <w:p w14:paraId="014865AF" w14:textId="77777777" w:rsidR="00FD721D" w:rsidRPr="00E134D7" w:rsidRDefault="00FD721D" w:rsidP="00216C71">
      <w:pPr>
        <w:pStyle w:val="SingleTxtG"/>
        <w:keepNext/>
        <w:rPr>
          <w:lang w:val="fr-FR"/>
        </w:rPr>
      </w:pPr>
      <w:r w:rsidRPr="00E134D7">
        <w:rPr>
          <w:i/>
          <w:iCs/>
          <w:lang w:val="fr-FR"/>
        </w:rPr>
        <w:t>Paragraphe 6.8.2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51719A74" w14:textId="77777777" w:rsidR="00FD721D" w:rsidRPr="0087555A" w:rsidRDefault="00FD721D" w:rsidP="00216C71">
      <w:pPr>
        <w:pStyle w:val="SingleTxtG"/>
        <w:keepNext/>
        <w:ind w:left="2268" w:hanging="1134"/>
      </w:pPr>
      <w:r>
        <w:t>« </w:t>
      </w:r>
      <w:r w:rsidRPr="0087555A">
        <w:t>6.8.2</w:t>
      </w:r>
      <w:r w:rsidRPr="0087555A">
        <w:tab/>
        <w:t>Nombre</w:t>
      </w:r>
    </w:p>
    <w:p w14:paraId="0E3F309B" w14:textId="77777777" w:rsidR="00FD721D" w:rsidRPr="0087555A" w:rsidRDefault="00FD721D" w:rsidP="00216C71">
      <w:pPr>
        <w:pStyle w:val="SingleTxtG"/>
        <w:ind w:left="2268"/>
      </w:pPr>
      <w:r w:rsidRPr="0087555A">
        <w:tab/>
        <w:t>Tel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  <w:r>
        <w:t> ».</w:t>
      </w:r>
    </w:p>
    <w:p w14:paraId="29386ECB" w14:textId="77777777" w:rsidR="00FD721D" w:rsidRPr="00E134D7" w:rsidRDefault="00FD721D" w:rsidP="00216C71">
      <w:pPr>
        <w:pStyle w:val="SingleTxtG"/>
        <w:keepNext/>
        <w:rPr>
          <w:lang w:val="fr-FR"/>
        </w:rPr>
      </w:pPr>
      <w:r w:rsidRPr="00E134D7">
        <w:rPr>
          <w:i/>
          <w:iCs/>
          <w:lang w:val="fr-FR"/>
        </w:rPr>
        <w:t>Paragraphe 6.8.3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74FF3C55" w14:textId="77777777" w:rsidR="00FD721D" w:rsidRPr="0087555A" w:rsidRDefault="00FD721D" w:rsidP="00216C71">
      <w:pPr>
        <w:pStyle w:val="SingleTxtG"/>
        <w:keepNext/>
        <w:ind w:left="2268" w:hanging="1134"/>
        <w:rPr>
          <w:u w:val="single"/>
        </w:rPr>
      </w:pPr>
      <w:r>
        <w:t>« </w:t>
      </w:r>
      <w:r w:rsidRPr="0087555A">
        <w:t>6.8.3</w:t>
      </w:r>
      <w:r w:rsidRPr="0087555A">
        <w:tab/>
        <w:t>Schéma de montage</w:t>
      </w:r>
    </w:p>
    <w:p w14:paraId="7EBA79DE" w14:textId="77777777" w:rsidR="00FD721D" w:rsidRPr="0087555A" w:rsidRDefault="00FD721D" w:rsidP="00216C71">
      <w:pPr>
        <w:pStyle w:val="SingleTxtG"/>
        <w:ind w:left="2268"/>
      </w:pPr>
      <w:r w:rsidRPr="0087555A">
        <w:t>Tel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  <w:r>
        <w:t> ».</w:t>
      </w:r>
    </w:p>
    <w:p w14:paraId="52E2368E" w14:textId="77777777" w:rsidR="00FD721D" w:rsidRPr="00E134D7" w:rsidRDefault="00FD721D" w:rsidP="00216C71">
      <w:pPr>
        <w:pStyle w:val="SingleTxtG"/>
        <w:keepNext/>
        <w:rPr>
          <w:lang w:val="fr-FR"/>
        </w:rPr>
      </w:pPr>
      <w:r w:rsidRPr="00E134D7">
        <w:rPr>
          <w:i/>
          <w:iCs/>
          <w:lang w:val="fr-FR"/>
        </w:rPr>
        <w:t>Paragraphes 6.8.4.1, 6.8.4.2 et 6.8.4.3</w:t>
      </w:r>
      <w:r w:rsidRPr="0087555A">
        <w:rPr>
          <w:lang w:val="fr-FR"/>
        </w:rPr>
        <w:t>, lire</w:t>
      </w:r>
      <w:r w:rsidR="00216C71">
        <w:rPr>
          <w:lang w:val="fr-FR"/>
        </w:rPr>
        <w:t> </w:t>
      </w:r>
      <w:r w:rsidRPr="0087555A">
        <w:rPr>
          <w:lang w:val="fr-FR"/>
        </w:rPr>
        <w:t>:</w:t>
      </w:r>
    </w:p>
    <w:p w14:paraId="4B53B7A2" w14:textId="77777777" w:rsidR="00FD721D" w:rsidRPr="0087555A" w:rsidRDefault="00FD721D" w:rsidP="00FD721D">
      <w:pPr>
        <w:pStyle w:val="SingleTxtG"/>
        <w:ind w:left="2268" w:hanging="1134"/>
      </w:pPr>
      <w:r>
        <w:t>« </w:t>
      </w:r>
      <w:r w:rsidRPr="0087555A">
        <w:t>6.8.4.1</w:t>
      </w:r>
      <w:r w:rsidRPr="0087555A">
        <w:tab/>
      </w:r>
      <w:r w:rsidRPr="0087555A">
        <w:tab/>
        <w:t>En largeur</w:t>
      </w:r>
      <w:r w:rsidR="00216C71">
        <w:t> </w:t>
      </w:r>
      <w:r w:rsidRPr="0087555A">
        <w:t>: tel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</w:p>
    <w:p w14:paraId="65B897B8" w14:textId="77777777" w:rsidR="00FD721D" w:rsidRPr="0087555A" w:rsidRDefault="00FD721D" w:rsidP="00FD721D">
      <w:pPr>
        <w:pStyle w:val="SingleTxtG"/>
        <w:ind w:left="2268" w:hanging="1134"/>
      </w:pPr>
      <w:r w:rsidRPr="0087555A">
        <w:t>6.8.4.2</w:t>
      </w:r>
      <w:r w:rsidRPr="0087555A">
        <w:tab/>
      </w:r>
      <w:r w:rsidRPr="0087555A">
        <w:tab/>
        <w:t>En hauteur</w:t>
      </w:r>
      <w:r w:rsidR="00216C71">
        <w:t> </w:t>
      </w:r>
      <w:r w:rsidRPr="0087555A">
        <w:t>: tel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</w:p>
    <w:p w14:paraId="75A14DD3" w14:textId="77777777" w:rsidR="00FD721D" w:rsidRPr="0087555A" w:rsidRDefault="00FD721D" w:rsidP="00FD721D">
      <w:pPr>
        <w:pStyle w:val="SingleTxtG"/>
        <w:ind w:left="2268" w:hanging="1134"/>
      </w:pPr>
      <w:r w:rsidRPr="0087555A">
        <w:t>6.8.4.3</w:t>
      </w:r>
      <w:r w:rsidRPr="0087555A">
        <w:tab/>
      </w:r>
      <w:r w:rsidRPr="0087555A">
        <w:tab/>
        <w:t>En longueur</w:t>
      </w:r>
      <w:r w:rsidR="00216C71">
        <w:t> </w:t>
      </w:r>
      <w:r w:rsidRPr="0087555A">
        <w:t>: tel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  <w:r>
        <w:t> ».</w:t>
      </w:r>
    </w:p>
    <w:p w14:paraId="48338BA4" w14:textId="77777777" w:rsidR="00FD721D" w:rsidRPr="0087555A" w:rsidRDefault="00FD721D" w:rsidP="006D7322">
      <w:pPr>
        <w:pStyle w:val="SingleTxtG"/>
        <w:keepNext/>
        <w:rPr>
          <w:lang w:val="fr-FR"/>
        </w:rPr>
      </w:pPr>
      <w:r w:rsidRPr="00E134D7">
        <w:rPr>
          <w:i/>
          <w:iCs/>
          <w:lang w:val="fr-FR"/>
        </w:rPr>
        <w:t>Paragraphe 6.8.5</w:t>
      </w:r>
      <w:r w:rsidRPr="0087555A">
        <w:rPr>
          <w:lang w:val="fr-FR"/>
        </w:rPr>
        <w:t>, lire</w:t>
      </w:r>
      <w:r w:rsidR="006D7322">
        <w:rPr>
          <w:lang w:val="fr-FR"/>
        </w:rPr>
        <w:t> </w:t>
      </w:r>
      <w:r w:rsidRPr="0087555A">
        <w:rPr>
          <w:lang w:val="fr-FR"/>
        </w:rPr>
        <w:t>:</w:t>
      </w:r>
    </w:p>
    <w:p w14:paraId="7C80F34F" w14:textId="77777777" w:rsidR="00FD721D" w:rsidRPr="0087555A" w:rsidRDefault="00FD721D" w:rsidP="006D7322">
      <w:pPr>
        <w:pStyle w:val="SingleTxtG"/>
        <w:keepNext/>
        <w:ind w:left="2268" w:hanging="1134"/>
      </w:pPr>
      <w:r>
        <w:t>« </w:t>
      </w:r>
      <w:r w:rsidRPr="0087555A">
        <w:t>6.8.5</w:t>
      </w:r>
      <w:r w:rsidRPr="0087555A">
        <w:tab/>
        <w:t>Visibilité géométrique</w:t>
      </w:r>
    </w:p>
    <w:p w14:paraId="7A030AA4" w14:textId="77777777" w:rsidR="00FD721D" w:rsidRPr="0087555A" w:rsidRDefault="00FD721D" w:rsidP="006D7322">
      <w:pPr>
        <w:pStyle w:val="SingleTxtG"/>
        <w:ind w:left="2268"/>
      </w:pPr>
      <w:r w:rsidRPr="0087555A">
        <w:tab/>
        <w:t>Telle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  <w:r>
        <w:t> ».</w:t>
      </w:r>
    </w:p>
    <w:p w14:paraId="61BC39FA" w14:textId="77777777" w:rsidR="00FD721D" w:rsidRPr="00E134D7" w:rsidRDefault="00FD721D" w:rsidP="006D7322">
      <w:pPr>
        <w:pStyle w:val="SingleTxtG"/>
        <w:keepNext/>
        <w:rPr>
          <w:lang w:val="fr-FR"/>
        </w:rPr>
      </w:pPr>
      <w:r w:rsidRPr="00E134D7">
        <w:rPr>
          <w:i/>
          <w:iCs/>
          <w:lang w:val="fr-FR"/>
        </w:rPr>
        <w:t>Paragraphe 6.8.6</w:t>
      </w:r>
      <w:r w:rsidRPr="0087555A">
        <w:rPr>
          <w:lang w:val="fr-FR"/>
        </w:rPr>
        <w:t>, lire</w:t>
      </w:r>
      <w:r w:rsidR="006D7322">
        <w:rPr>
          <w:lang w:val="fr-FR"/>
        </w:rPr>
        <w:t> </w:t>
      </w:r>
      <w:r w:rsidRPr="0087555A">
        <w:rPr>
          <w:lang w:val="fr-FR"/>
        </w:rPr>
        <w:t>:</w:t>
      </w:r>
    </w:p>
    <w:p w14:paraId="0D09042A" w14:textId="77777777" w:rsidR="00FD721D" w:rsidRPr="0087555A" w:rsidRDefault="00FD721D" w:rsidP="006D7322">
      <w:pPr>
        <w:pStyle w:val="SingleTxtG"/>
        <w:keepNext/>
        <w:ind w:left="2268" w:hanging="1134"/>
      </w:pPr>
      <w:r>
        <w:t>« </w:t>
      </w:r>
      <w:r w:rsidRPr="0087555A">
        <w:t>6.8.6</w:t>
      </w:r>
      <w:r w:rsidRPr="0087555A">
        <w:tab/>
        <w:t>Orientation</w:t>
      </w:r>
    </w:p>
    <w:p w14:paraId="2DF178A8" w14:textId="77777777" w:rsidR="00FD721D" w:rsidRPr="0087555A" w:rsidRDefault="00FD721D" w:rsidP="006D7322">
      <w:pPr>
        <w:pStyle w:val="SingleTxtG"/>
        <w:ind w:left="2268"/>
        <w:rPr>
          <w:i/>
        </w:rPr>
      </w:pPr>
      <w:r w:rsidRPr="0087555A">
        <w:tab/>
        <w:t>Telle que le dispositif éclaire l</w:t>
      </w:r>
      <w:r>
        <w:t>’</w:t>
      </w:r>
      <w:r w:rsidRPr="0087555A">
        <w:t>emplacement de la plaque conformément au dossier d</w:t>
      </w:r>
      <w:r>
        <w:t>’</w:t>
      </w:r>
      <w:r w:rsidRPr="0087555A">
        <w:t>homologation de type du dispositif.</w:t>
      </w:r>
      <w:r>
        <w:t> ».</w:t>
      </w:r>
    </w:p>
    <w:p w14:paraId="23AE7DC1" w14:textId="77777777" w:rsidR="00FD721D" w:rsidRPr="0087555A" w:rsidRDefault="00FD721D" w:rsidP="006D7322">
      <w:pPr>
        <w:pStyle w:val="SingleTxtG"/>
        <w:keepNext/>
        <w:rPr>
          <w:lang w:val="fr-FR"/>
        </w:rPr>
      </w:pPr>
      <w:r w:rsidRPr="0087555A">
        <w:rPr>
          <w:i/>
          <w:iCs/>
          <w:lang w:val="fr-FR"/>
        </w:rPr>
        <w:lastRenderedPageBreak/>
        <w:t>Paragraphe 6.11.4.2</w:t>
      </w:r>
      <w:r w:rsidRPr="0087555A">
        <w:rPr>
          <w:lang w:val="fr-FR"/>
        </w:rPr>
        <w:t>, lire</w:t>
      </w:r>
      <w:r w:rsidR="006D7322">
        <w:rPr>
          <w:lang w:val="fr-FR"/>
        </w:rPr>
        <w:t> </w:t>
      </w:r>
      <w:r w:rsidRPr="0087555A">
        <w:rPr>
          <w:lang w:val="fr-FR"/>
        </w:rPr>
        <w:t>:</w:t>
      </w:r>
    </w:p>
    <w:p w14:paraId="781B1BD8" w14:textId="77777777" w:rsidR="00FD721D" w:rsidRDefault="00FD721D" w:rsidP="00FD721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87555A">
        <w:rPr>
          <w:lang w:val="fr-FR"/>
        </w:rPr>
        <w:t>6.11.4.2</w:t>
      </w:r>
      <w:r w:rsidRPr="0087555A">
        <w:rPr>
          <w:lang w:val="fr-FR"/>
        </w:rPr>
        <w:tab/>
        <w:t>En hauteur</w:t>
      </w:r>
      <w:r w:rsidR="006D7322">
        <w:rPr>
          <w:lang w:val="fr-FR"/>
        </w:rPr>
        <w:t> </w:t>
      </w:r>
      <w:r w:rsidRPr="0087555A">
        <w:rPr>
          <w:lang w:val="fr-FR"/>
        </w:rPr>
        <w:t>: minimum 250</w:t>
      </w:r>
      <w:r w:rsidR="006D7322">
        <w:rPr>
          <w:lang w:val="fr-FR"/>
        </w:rPr>
        <w:t> </w:t>
      </w:r>
      <w:r w:rsidRPr="0087555A">
        <w:rPr>
          <w:lang w:val="fr-FR"/>
        </w:rPr>
        <w:t>mm, maximum 1</w:t>
      </w:r>
      <w:r w:rsidR="006D7322">
        <w:rPr>
          <w:lang w:val="fr-FR"/>
        </w:rPr>
        <w:t> </w:t>
      </w:r>
      <w:r w:rsidRPr="0087555A">
        <w:rPr>
          <w:lang w:val="fr-FR"/>
        </w:rPr>
        <w:t>000</w:t>
      </w:r>
      <w:r w:rsidR="006D7322">
        <w:rPr>
          <w:lang w:val="fr-FR"/>
        </w:rPr>
        <w:t> </w:t>
      </w:r>
      <w:r w:rsidRPr="0087555A">
        <w:rPr>
          <w:lang w:val="fr-FR"/>
        </w:rPr>
        <w:t>mm au-dessus du sol. Pour les feux de brouillard arrière groupés avec tout feu arrière, la hauteur maximale peut être portée à 1</w:t>
      </w:r>
      <w:r w:rsidR="006D7322">
        <w:rPr>
          <w:lang w:val="fr-FR"/>
        </w:rPr>
        <w:t> </w:t>
      </w:r>
      <w:r w:rsidRPr="0087555A">
        <w:rPr>
          <w:lang w:val="fr-FR"/>
        </w:rPr>
        <w:t>200</w:t>
      </w:r>
      <w:r w:rsidR="006D7322">
        <w:rPr>
          <w:lang w:val="fr-FR"/>
        </w:rPr>
        <w:t> </w:t>
      </w:r>
      <w:r w:rsidRPr="0087555A">
        <w:rPr>
          <w:lang w:val="fr-FR"/>
        </w:rPr>
        <w:t>mm. Pour les véhicules des catégories N</w:t>
      </w:r>
      <w:r w:rsidRPr="00E134D7">
        <w:rPr>
          <w:vertAlign w:val="subscript"/>
          <w:lang w:val="fr-FR"/>
        </w:rPr>
        <w:t>2</w:t>
      </w:r>
      <w:r w:rsidRPr="0087555A">
        <w:rPr>
          <w:lang w:val="fr-FR"/>
        </w:rPr>
        <w:t>G, N</w:t>
      </w:r>
      <w:r w:rsidRPr="00E134D7">
        <w:rPr>
          <w:vertAlign w:val="subscript"/>
          <w:lang w:val="fr-FR"/>
        </w:rPr>
        <w:t>3</w:t>
      </w:r>
      <w:r w:rsidRPr="0087555A">
        <w:rPr>
          <w:lang w:val="fr-FR"/>
        </w:rPr>
        <w:t>G, M</w:t>
      </w:r>
      <w:r w:rsidRPr="00E134D7">
        <w:rPr>
          <w:vertAlign w:val="subscript"/>
          <w:lang w:val="fr-FR"/>
        </w:rPr>
        <w:t>2</w:t>
      </w:r>
      <w:r w:rsidRPr="0087555A">
        <w:rPr>
          <w:lang w:val="fr-FR"/>
        </w:rPr>
        <w:t>G et M</w:t>
      </w:r>
      <w:r w:rsidRPr="00E134D7">
        <w:rPr>
          <w:vertAlign w:val="subscript"/>
          <w:lang w:val="fr-FR"/>
        </w:rPr>
        <w:t>3</w:t>
      </w:r>
      <w:r w:rsidRPr="0087555A">
        <w:rPr>
          <w:lang w:val="fr-FR"/>
        </w:rPr>
        <w:t>G (véhicules tout-terrain), la hauteur maximale peut être portée à 1</w:t>
      </w:r>
      <w:r w:rsidR="006D7322">
        <w:rPr>
          <w:lang w:val="fr-FR"/>
        </w:rPr>
        <w:t> </w:t>
      </w:r>
      <w:r w:rsidRPr="0087555A">
        <w:rPr>
          <w:lang w:val="fr-FR"/>
        </w:rPr>
        <w:t>400</w:t>
      </w:r>
      <w:r w:rsidR="006D7322">
        <w:rPr>
          <w:lang w:val="fr-FR"/>
        </w:rPr>
        <w:t> </w:t>
      </w:r>
      <w:r w:rsidRPr="0087555A">
        <w:rPr>
          <w:lang w:val="fr-FR"/>
        </w:rPr>
        <w:t>mm.</w:t>
      </w:r>
      <w:r w:rsidR="006D7322">
        <w:rPr>
          <w:lang w:val="fr-FR"/>
        </w:rPr>
        <w:t> </w:t>
      </w:r>
      <w:r w:rsidRPr="0087555A">
        <w:rPr>
          <w:lang w:val="fr-FR"/>
        </w:rPr>
        <w:t>»</w:t>
      </w:r>
      <w:r>
        <w:rPr>
          <w:lang w:val="fr-FR"/>
        </w:rPr>
        <w:t>.</w:t>
      </w:r>
      <w:bookmarkStart w:id="4" w:name="_GoBack"/>
      <w:bookmarkEnd w:id="4"/>
    </w:p>
    <w:p w14:paraId="4308194A" w14:textId="77777777" w:rsidR="00DA5FEE" w:rsidRPr="00DA5FEE" w:rsidRDefault="00DA5FEE" w:rsidP="00DA5FE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A5FEE" w:rsidRPr="00DA5FEE" w:rsidSect="00FD72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444E" w14:textId="77777777" w:rsidR="00537334" w:rsidRDefault="00537334" w:rsidP="00F95C08">
      <w:pPr>
        <w:spacing w:line="240" w:lineRule="auto"/>
      </w:pPr>
    </w:p>
  </w:endnote>
  <w:endnote w:type="continuationSeparator" w:id="0">
    <w:p w14:paraId="3BDC5530" w14:textId="77777777" w:rsidR="00537334" w:rsidRPr="00AC3823" w:rsidRDefault="00537334" w:rsidP="00AC3823">
      <w:pPr>
        <w:pStyle w:val="Pieddepage"/>
      </w:pPr>
    </w:p>
  </w:endnote>
  <w:endnote w:type="continuationNotice" w:id="1">
    <w:p w14:paraId="000C199E" w14:textId="77777777" w:rsidR="00537334" w:rsidRDefault="005373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A913" w14:textId="77777777" w:rsidR="00FD721D" w:rsidRPr="00FD721D" w:rsidRDefault="00FD721D" w:rsidP="00FD721D">
    <w:pPr>
      <w:pStyle w:val="Pieddepage"/>
      <w:tabs>
        <w:tab w:val="right" w:pos="9638"/>
      </w:tabs>
    </w:pPr>
    <w:r w:rsidRPr="00FD721D">
      <w:rPr>
        <w:b/>
        <w:sz w:val="18"/>
      </w:rPr>
      <w:fldChar w:fldCharType="begin"/>
    </w:r>
    <w:r w:rsidRPr="00FD721D">
      <w:rPr>
        <w:b/>
        <w:sz w:val="18"/>
      </w:rPr>
      <w:instrText xml:space="preserve"> PAGE  \* MERGEFORMAT </w:instrText>
    </w:r>
    <w:r w:rsidRPr="00FD721D">
      <w:rPr>
        <w:b/>
        <w:sz w:val="18"/>
      </w:rPr>
      <w:fldChar w:fldCharType="separate"/>
    </w:r>
    <w:r w:rsidRPr="00FD721D">
      <w:rPr>
        <w:b/>
        <w:noProof/>
        <w:sz w:val="18"/>
      </w:rPr>
      <w:t>2</w:t>
    </w:r>
    <w:r w:rsidRPr="00FD721D">
      <w:rPr>
        <w:b/>
        <w:sz w:val="18"/>
      </w:rPr>
      <w:fldChar w:fldCharType="end"/>
    </w:r>
    <w:r>
      <w:rPr>
        <w:b/>
        <w:sz w:val="18"/>
      </w:rPr>
      <w:tab/>
    </w:r>
    <w:r>
      <w:t>GE.20-17334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1483" w14:textId="77777777" w:rsidR="00FD721D" w:rsidRPr="00FD721D" w:rsidRDefault="00FD721D" w:rsidP="00FD721D">
    <w:pPr>
      <w:pStyle w:val="Pieddepage"/>
      <w:tabs>
        <w:tab w:val="right" w:pos="9638"/>
      </w:tabs>
      <w:rPr>
        <w:b/>
        <w:sz w:val="18"/>
      </w:rPr>
    </w:pPr>
    <w:r>
      <w:t>GE.20-17334</w:t>
    </w:r>
    <w:r>
      <w:tab/>
    </w:r>
    <w:r w:rsidRPr="00FD721D">
      <w:rPr>
        <w:b/>
        <w:sz w:val="18"/>
      </w:rPr>
      <w:fldChar w:fldCharType="begin"/>
    </w:r>
    <w:r w:rsidRPr="00FD721D">
      <w:rPr>
        <w:b/>
        <w:sz w:val="18"/>
      </w:rPr>
      <w:instrText xml:space="preserve"> PAGE  \* MERGEFORMAT </w:instrText>
    </w:r>
    <w:r w:rsidRPr="00FD721D">
      <w:rPr>
        <w:b/>
        <w:sz w:val="18"/>
      </w:rPr>
      <w:fldChar w:fldCharType="separate"/>
    </w:r>
    <w:r w:rsidRPr="00FD721D">
      <w:rPr>
        <w:b/>
        <w:noProof/>
        <w:sz w:val="18"/>
      </w:rPr>
      <w:t>3</w:t>
    </w:r>
    <w:r w:rsidRPr="00FD72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B8E9" w14:textId="77777777" w:rsidR="007F20FA" w:rsidRPr="00FD721D" w:rsidRDefault="00FD721D" w:rsidP="00FD721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9E269A" wp14:editId="7F3BE1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489E83" wp14:editId="77F5DB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080121    080121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455D" w14:textId="77777777" w:rsidR="00537334" w:rsidRPr="00AC3823" w:rsidRDefault="005373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448FE7" w14:textId="77777777" w:rsidR="00537334" w:rsidRPr="00AC3823" w:rsidRDefault="005373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A1A456" w14:textId="77777777" w:rsidR="00537334" w:rsidRPr="00AC3823" w:rsidRDefault="00537334">
      <w:pPr>
        <w:spacing w:line="240" w:lineRule="auto"/>
        <w:rPr>
          <w:sz w:val="2"/>
          <w:szCs w:val="2"/>
        </w:rPr>
      </w:pPr>
    </w:p>
  </w:footnote>
  <w:footnote w:id="2">
    <w:p w14:paraId="413A858B" w14:textId="77777777" w:rsidR="00FD721D" w:rsidRPr="0087555A" w:rsidRDefault="00FD721D" w:rsidP="00FD721D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7D21FEF5" w14:textId="77777777" w:rsidR="00FD721D" w:rsidRPr="0087555A" w:rsidRDefault="00FD721D" w:rsidP="00FD721D">
      <w:pPr>
        <w:pStyle w:val="Notedebasdepage"/>
        <w:rPr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9436" w14:textId="5C25B9A8" w:rsidR="00FD721D" w:rsidRPr="00FD721D" w:rsidRDefault="00FD721D">
    <w:pPr>
      <w:pStyle w:val="En-tte"/>
    </w:pPr>
    <w:fldSimple w:instr=" TITLE  \* MERGEFORMAT ">
      <w:r w:rsidR="005D7F74">
        <w:t>ECE/TRANS/WP.29/2021/31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680A" w14:textId="5A57462E" w:rsidR="00FD721D" w:rsidRPr="00FD721D" w:rsidRDefault="00FD721D" w:rsidP="00FD721D">
    <w:pPr>
      <w:pStyle w:val="En-tte"/>
      <w:jc w:val="right"/>
    </w:pPr>
    <w:fldSimple w:instr=" TITLE  \* MERGEFORMAT ">
      <w:r w:rsidR="005D7F74">
        <w:t>ECE/TRANS/WP.29/2021/31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3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6C71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37334"/>
    <w:rsid w:val="005505B7"/>
    <w:rsid w:val="00573BE5"/>
    <w:rsid w:val="00586ED3"/>
    <w:rsid w:val="00596AA9"/>
    <w:rsid w:val="005D7F74"/>
    <w:rsid w:val="006931AE"/>
    <w:rsid w:val="006D732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07A9"/>
    <w:rsid w:val="00C97039"/>
    <w:rsid w:val="00D3439C"/>
    <w:rsid w:val="00D7622E"/>
    <w:rsid w:val="00DA5FE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CDEF2D"/>
  <w15:docId w15:val="{3A975D22-3DF4-4819-BD42-A39FCAD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39EB9-ED20-43F3-BFB0-9F462A7C55C1}"/>
</file>

<file path=customXml/itemProps2.xml><?xml version="1.0" encoding="utf-8"?>
<ds:datastoreItem xmlns:ds="http://schemas.openxmlformats.org/officeDocument/2006/customXml" ds:itemID="{92D329CA-1BBE-41D2-9D6D-8317D377854E}"/>
</file>

<file path=customXml/itemProps3.xml><?xml version="1.0" encoding="utf-8"?>
<ds:datastoreItem xmlns:ds="http://schemas.openxmlformats.org/officeDocument/2006/customXml" ds:itemID="{9CB40DAC-2336-4058-8E03-06827F80DFD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1129</Words>
  <Characters>6145</Characters>
  <Application>Microsoft Office Word</Application>
  <DocSecurity>0</DocSecurity>
  <Lines>133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ECE/TRANS/WP.29/2021/31</vt:lpstr>
    </vt:vector>
  </TitlesOfParts>
  <Company>DCM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ECE/TRANS/WP.29/2021/31</dc:title>
  <dc:subject/>
  <dc:creator>Christine CHAUTAGNAT</dc:creator>
  <cp:keywords/>
  <cp:lastModifiedBy>Christine Chautagnat</cp:lastModifiedBy>
  <cp:revision>3</cp:revision>
  <cp:lastPrinted>2021-01-08T14:12:00Z</cp:lastPrinted>
  <dcterms:created xsi:type="dcterms:W3CDTF">2021-01-08T14:12:00Z</dcterms:created>
  <dcterms:modified xsi:type="dcterms:W3CDTF">2021-01-08T14:12:00Z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