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BE87CBE" w14:textId="77777777" w:rsidTr="00387CD4">
        <w:trPr>
          <w:trHeight w:hRule="exact" w:val="851"/>
        </w:trPr>
        <w:tc>
          <w:tcPr>
            <w:tcW w:w="142" w:type="dxa"/>
            <w:tcBorders>
              <w:bottom w:val="single" w:sz="4" w:space="0" w:color="auto"/>
            </w:tcBorders>
          </w:tcPr>
          <w:p w14:paraId="5BA8FDA8" w14:textId="77777777" w:rsidR="002D5AAC" w:rsidRDefault="002D5AAC" w:rsidP="00DC7A5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D18014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CF4F1AF" w14:textId="77777777" w:rsidR="002D5AAC" w:rsidRDefault="00DC7A51" w:rsidP="00DC7A51">
            <w:pPr>
              <w:jc w:val="right"/>
            </w:pPr>
            <w:r w:rsidRPr="00DC7A51">
              <w:rPr>
                <w:sz w:val="40"/>
              </w:rPr>
              <w:t>ECE</w:t>
            </w:r>
            <w:r>
              <w:t>/TRANS/WP.29/2021/26</w:t>
            </w:r>
          </w:p>
        </w:tc>
      </w:tr>
      <w:tr w:rsidR="002D5AAC" w:rsidRPr="00912EE0" w14:paraId="7C2D0A83" w14:textId="77777777" w:rsidTr="00387CD4">
        <w:trPr>
          <w:trHeight w:hRule="exact" w:val="2835"/>
        </w:trPr>
        <w:tc>
          <w:tcPr>
            <w:tcW w:w="1280" w:type="dxa"/>
            <w:gridSpan w:val="2"/>
            <w:tcBorders>
              <w:top w:val="single" w:sz="4" w:space="0" w:color="auto"/>
              <w:bottom w:val="single" w:sz="12" w:space="0" w:color="auto"/>
            </w:tcBorders>
          </w:tcPr>
          <w:p w14:paraId="210691BE" w14:textId="77777777" w:rsidR="002D5AAC" w:rsidRDefault="002E5067" w:rsidP="00387CD4">
            <w:pPr>
              <w:spacing w:before="120"/>
              <w:jc w:val="center"/>
            </w:pPr>
            <w:r>
              <w:rPr>
                <w:noProof/>
                <w:lang w:val="fr-CH" w:eastAsia="fr-CH"/>
              </w:rPr>
              <w:drawing>
                <wp:inline distT="0" distB="0" distL="0" distR="0" wp14:anchorId="6256DDF9" wp14:editId="398E7BB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411DE4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C89CCE6" w14:textId="77777777" w:rsidR="002D5AAC" w:rsidRDefault="00DC7A51" w:rsidP="00387CD4">
            <w:pPr>
              <w:spacing w:before="240"/>
              <w:rPr>
                <w:lang w:val="en-US"/>
              </w:rPr>
            </w:pPr>
            <w:r>
              <w:rPr>
                <w:lang w:val="en-US"/>
              </w:rPr>
              <w:t>Distr.: General</w:t>
            </w:r>
          </w:p>
          <w:p w14:paraId="1D864B61" w14:textId="77777777" w:rsidR="00DC7A51" w:rsidRDefault="00DC7A51" w:rsidP="00DC7A51">
            <w:pPr>
              <w:spacing w:line="240" w:lineRule="exact"/>
              <w:rPr>
                <w:lang w:val="en-US"/>
              </w:rPr>
            </w:pPr>
            <w:r>
              <w:rPr>
                <w:lang w:val="en-US"/>
              </w:rPr>
              <w:t>21 December 2020</w:t>
            </w:r>
          </w:p>
          <w:p w14:paraId="44068814" w14:textId="77777777" w:rsidR="00DC7A51" w:rsidRDefault="00DC7A51" w:rsidP="00DC7A51">
            <w:pPr>
              <w:spacing w:line="240" w:lineRule="exact"/>
              <w:rPr>
                <w:lang w:val="en-US"/>
              </w:rPr>
            </w:pPr>
            <w:r>
              <w:rPr>
                <w:lang w:val="en-US"/>
              </w:rPr>
              <w:t>Russian</w:t>
            </w:r>
          </w:p>
          <w:p w14:paraId="499F37D0" w14:textId="77777777" w:rsidR="00DC7A51" w:rsidRPr="008D53B6" w:rsidRDefault="00DC7A51" w:rsidP="00DC7A51">
            <w:pPr>
              <w:spacing w:line="240" w:lineRule="exact"/>
              <w:rPr>
                <w:lang w:val="en-US"/>
              </w:rPr>
            </w:pPr>
            <w:r>
              <w:rPr>
                <w:lang w:val="en-US"/>
              </w:rPr>
              <w:t>Original: English</w:t>
            </w:r>
          </w:p>
        </w:tc>
      </w:tr>
    </w:tbl>
    <w:p w14:paraId="66F94FA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570C010" w14:textId="77777777" w:rsidR="00E90CEA" w:rsidRPr="008677B9" w:rsidRDefault="00E90CEA" w:rsidP="00E90CEA">
      <w:pPr>
        <w:spacing w:before="120"/>
        <w:rPr>
          <w:sz w:val="28"/>
          <w:szCs w:val="28"/>
        </w:rPr>
      </w:pPr>
      <w:r w:rsidRPr="008677B9">
        <w:rPr>
          <w:sz w:val="28"/>
          <w:szCs w:val="28"/>
        </w:rPr>
        <w:t>Комитет по внутреннему транспорту</w:t>
      </w:r>
    </w:p>
    <w:p w14:paraId="5184E0DB" w14:textId="77777777" w:rsidR="00E90CEA" w:rsidRPr="008677B9" w:rsidRDefault="00E90CEA" w:rsidP="00674165">
      <w:pPr>
        <w:spacing w:before="120" w:after="120"/>
        <w:rPr>
          <w:b/>
          <w:sz w:val="24"/>
          <w:szCs w:val="24"/>
        </w:rPr>
      </w:pPr>
      <w:r w:rsidRPr="008677B9">
        <w:rPr>
          <w:b/>
          <w:bCs/>
          <w:sz w:val="24"/>
          <w:szCs w:val="24"/>
        </w:rPr>
        <w:t xml:space="preserve">Всемирный форум для согласования правил </w:t>
      </w:r>
      <w:r w:rsidRPr="008677B9">
        <w:rPr>
          <w:b/>
          <w:bCs/>
          <w:sz w:val="24"/>
          <w:szCs w:val="24"/>
        </w:rPr>
        <w:br/>
        <w:t>в области транспортных средств</w:t>
      </w:r>
    </w:p>
    <w:p w14:paraId="71B3107D" w14:textId="77777777" w:rsidR="00E90CEA" w:rsidRPr="008677B9" w:rsidRDefault="00674165" w:rsidP="00E90CEA">
      <w:pPr>
        <w:ind w:right="1134"/>
        <w:rPr>
          <w:b/>
        </w:rPr>
      </w:pPr>
      <w:r>
        <w:rPr>
          <w:b/>
          <w:bCs/>
        </w:rPr>
        <w:t>Сто восемьдесят третья</w:t>
      </w:r>
      <w:r w:rsidR="00E90CEA" w:rsidRPr="008677B9">
        <w:rPr>
          <w:b/>
          <w:bCs/>
        </w:rPr>
        <w:t xml:space="preserve"> сессия</w:t>
      </w:r>
    </w:p>
    <w:p w14:paraId="7D8C90EE" w14:textId="77777777" w:rsidR="00E90CEA" w:rsidRPr="008677B9" w:rsidRDefault="00E90CEA" w:rsidP="00E90CEA">
      <w:pPr>
        <w:ind w:right="1134"/>
      </w:pPr>
      <w:r w:rsidRPr="008677B9">
        <w:t>Женева, 9–11 марта 2021 года</w:t>
      </w:r>
    </w:p>
    <w:p w14:paraId="14A0EEAD" w14:textId="77777777" w:rsidR="00E90CEA" w:rsidRPr="008677B9" w:rsidRDefault="00E90CEA" w:rsidP="00E90CEA">
      <w:r w:rsidRPr="008677B9">
        <w:t>Пункт 4.</w:t>
      </w:r>
      <w:r w:rsidRPr="00E90CEA">
        <w:t>8</w:t>
      </w:r>
      <w:r w:rsidRPr="008677B9">
        <w:t>.</w:t>
      </w:r>
      <w:r w:rsidRPr="00E90CEA">
        <w:t>8</w:t>
      </w:r>
      <w:r w:rsidRPr="008677B9">
        <w:t xml:space="preserve"> предварительной повестки дня</w:t>
      </w:r>
    </w:p>
    <w:p w14:paraId="7CF13231" w14:textId="77777777" w:rsidR="00E90CEA" w:rsidRPr="008677B9" w:rsidRDefault="00E90CEA" w:rsidP="00E90CEA">
      <w:pPr>
        <w:ind w:right="1467"/>
        <w:rPr>
          <w:b/>
          <w:bCs/>
        </w:rPr>
      </w:pPr>
      <w:r w:rsidRPr="008677B9">
        <w:rPr>
          <w:b/>
          <w:bCs/>
          <w:color w:val="333333"/>
        </w:rPr>
        <w:t>Соглашение 1958 года:</w:t>
      </w:r>
      <w:r w:rsidRPr="008677B9">
        <w:rPr>
          <w:b/>
          <w:bCs/>
        </w:rPr>
        <w:t xml:space="preserve"> </w:t>
      </w:r>
    </w:p>
    <w:p w14:paraId="4C1F8FB7" w14:textId="77777777" w:rsidR="00E90CEA" w:rsidRPr="008677B9" w:rsidRDefault="00E90CEA" w:rsidP="00E90CEA">
      <w:pPr>
        <w:rPr>
          <w:b/>
          <w:bCs/>
          <w:color w:val="333333"/>
          <w:sz w:val="21"/>
          <w:szCs w:val="21"/>
        </w:rPr>
      </w:pPr>
      <w:r w:rsidRPr="008C39BC">
        <w:rPr>
          <w:b/>
          <w:bCs/>
          <w:color w:val="333333"/>
          <w:sz w:val="21"/>
          <w:szCs w:val="21"/>
        </w:rPr>
        <w:t>Рассмотрение проектов поправок к существующим</w:t>
      </w:r>
      <w:r w:rsidRPr="008677B9">
        <w:rPr>
          <w:b/>
          <w:bCs/>
          <w:color w:val="333333"/>
          <w:sz w:val="21"/>
          <w:szCs w:val="21"/>
        </w:rPr>
        <w:t xml:space="preserve"> </w:t>
      </w:r>
    </w:p>
    <w:p w14:paraId="71D93A84" w14:textId="77777777" w:rsidR="00E90CEA" w:rsidRPr="008677B9" w:rsidRDefault="00E90CEA" w:rsidP="00E90CEA">
      <w:pPr>
        <w:rPr>
          <w:b/>
          <w:bCs/>
          <w:sz w:val="22"/>
        </w:rPr>
      </w:pPr>
      <w:r w:rsidRPr="008C39BC">
        <w:rPr>
          <w:b/>
          <w:bCs/>
          <w:color w:val="333333"/>
          <w:sz w:val="21"/>
          <w:szCs w:val="21"/>
        </w:rPr>
        <w:t>правилам</w:t>
      </w:r>
      <w:r w:rsidRPr="008677B9">
        <w:rPr>
          <w:b/>
          <w:bCs/>
          <w:color w:val="333333"/>
          <w:sz w:val="21"/>
          <w:szCs w:val="21"/>
        </w:rPr>
        <w:t xml:space="preserve"> </w:t>
      </w:r>
      <w:r w:rsidRPr="008C39BC">
        <w:rPr>
          <w:b/>
          <w:bCs/>
          <w:color w:val="333333"/>
          <w:sz w:val="21"/>
          <w:szCs w:val="21"/>
        </w:rPr>
        <w:t>ООН</w:t>
      </w:r>
      <w:r w:rsidRPr="008677B9">
        <w:rPr>
          <w:b/>
          <w:bCs/>
          <w:color w:val="333333"/>
          <w:sz w:val="21"/>
          <w:szCs w:val="21"/>
        </w:rPr>
        <w:t xml:space="preserve">, </w:t>
      </w:r>
      <w:r w:rsidRPr="008C39BC">
        <w:rPr>
          <w:b/>
          <w:bCs/>
          <w:color w:val="333333"/>
          <w:sz w:val="21"/>
          <w:szCs w:val="21"/>
        </w:rPr>
        <w:t>представленных</w:t>
      </w:r>
      <w:r w:rsidRPr="008677B9">
        <w:rPr>
          <w:b/>
          <w:bCs/>
          <w:color w:val="333333"/>
          <w:sz w:val="21"/>
          <w:szCs w:val="21"/>
        </w:rPr>
        <w:t xml:space="preserve"> </w:t>
      </w:r>
      <w:r>
        <w:rPr>
          <w:b/>
        </w:rPr>
        <w:t>GRSG</w:t>
      </w:r>
    </w:p>
    <w:p w14:paraId="35A6CE65" w14:textId="4D7B7963" w:rsidR="00E90CEA" w:rsidRPr="008677B9" w:rsidRDefault="00E90CEA" w:rsidP="00E90CEA">
      <w:pPr>
        <w:pStyle w:val="HChG"/>
        <w:ind w:firstLine="0"/>
      </w:pPr>
      <w:r>
        <w:t>Предложение</w:t>
      </w:r>
      <w:r w:rsidRPr="008677B9">
        <w:t xml:space="preserve"> </w:t>
      </w:r>
      <w:r>
        <w:t>по</w:t>
      </w:r>
      <w:r w:rsidRPr="008677B9">
        <w:t xml:space="preserve"> </w:t>
      </w:r>
      <w:r>
        <w:t>поправкам</w:t>
      </w:r>
      <w:r w:rsidRPr="008677B9">
        <w:t xml:space="preserve"> </w:t>
      </w:r>
      <w:r>
        <w:t>серии</w:t>
      </w:r>
      <w:r w:rsidRPr="008677B9">
        <w:t xml:space="preserve"> </w:t>
      </w:r>
      <w:r w:rsidRPr="008677B9">
        <w:rPr>
          <w:rFonts w:asciiTheme="majorBidi" w:hAnsiTheme="majorBidi" w:cstheme="majorBidi"/>
        </w:rPr>
        <w:t xml:space="preserve">09 </w:t>
      </w:r>
      <w:r w:rsidR="00674165">
        <w:rPr>
          <w:rFonts w:asciiTheme="majorBidi" w:hAnsiTheme="majorBidi" w:cstheme="majorBidi"/>
        </w:rPr>
        <w:br/>
      </w:r>
      <w:r>
        <w:rPr>
          <w:rFonts w:asciiTheme="majorBidi" w:hAnsiTheme="majorBidi" w:cstheme="majorBidi"/>
        </w:rPr>
        <w:t>к</w:t>
      </w:r>
      <w:r w:rsidRPr="008677B9">
        <w:rPr>
          <w:rFonts w:asciiTheme="majorBidi" w:hAnsiTheme="majorBidi" w:cstheme="majorBidi"/>
        </w:rPr>
        <w:t xml:space="preserve"> </w:t>
      </w:r>
      <w:r>
        <w:rPr>
          <w:rFonts w:asciiTheme="majorBidi" w:hAnsiTheme="majorBidi" w:cstheme="majorBidi"/>
        </w:rPr>
        <w:t>Правилам</w:t>
      </w:r>
      <w:r w:rsidRPr="008677B9">
        <w:rPr>
          <w:rFonts w:asciiTheme="majorBidi" w:hAnsiTheme="majorBidi" w:cstheme="majorBidi"/>
        </w:rPr>
        <w:t xml:space="preserve"> № 107 </w:t>
      </w:r>
      <w:r>
        <w:rPr>
          <w:rFonts w:asciiTheme="majorBidi" w:hAnsiTheme="majorBidi" w:cstheme="majorBidi"/>
        </w:rPr>
        <w:t xml:space="preserve">ООН </w:t>
      </w:r>
      <w:r w:rsidRPr="008677B9">
        <w:rPr>
          <w:rFonts w:asciiTheme="majorBidi" w:hAnsiTheme="majorBidi" w:cstheme="majorBidi"/>
        </w:rPr>
        <w:t>(</w:t>
      </w:r>
      <w:r>
        <w:rPr>
          <w:rFonts w:asciiTheme="majorBidi" w:hAnsiTheme="majorBidi" w:cstheme="majorBidi"/>
        </w:rPr>
        <w:t xml:space="preserve">транспортные средства </w:t>
      </w:r>
      <w:r>
        <w:rPr>
          <w:color w:val="000000"/>
        </w:rPr>
        <w:t>M</w:t>
      </w:r>
      <w:r w:rsidRPr="008677B9">
        <w:rPr>
          <w:color w:val="000000"/>
          <w:vertAlign w:val="subscript"/>
        </w:rPr>
        <w:t>2</w:t>
      </w:r>
      <w:r w:rsidRPr="008677B9">
        <w:rPr>
          <w:color w:val="000000"/>
        </w:rPr>
        <w:t xml:space="preserve"> </w:t>
      </w:r>
      <w:r>
        <w:rPr>
          <w:color w:val="000000"/>
        </w:rPr>
        <w:t>и</w:t>
      </w:r>
      <w:r w:rsidR="004F0FE1">
        <w:rPr>
          <w:color w:val="000000"/>
        </w:rPr>
        <w:t> </w:t>
      </w:r>
      <w:bookmarkStart w:id="0" w:name="_GoBack"/>
      <w:bookmarkEnd w:id="0"/>
      <w:r>
        <w:rPr>
          <w:color w:val="000000"/>
        </w:rPr>
        <w:t>M</w:t>
      </w:r>
      <w:r w:rsidRPr="008677B9">
        <w:rPr>
          <w:color w:val="000000"/>
          <w:vertAlign w:val="subscript"/>
        </w:rPr>
        <w:t>3</w:t>
      </w:r>
      <w:r w:rsidRPr="008677B9">
        <w:rPr>
          <w:rFonts w:asciiTheme="majorBidi" w:hAnsiTheme="majorBidi" w:cstheme="majorBidi"/>
        </w:rPr>
        <w:t>)</w:t>
      </w:r>
    </w:p>
    <w:p w14:paraId="5B48B6A8" w14:textId="77777777" w:rsidR="00E90CEA" w:rsidRPr="008677B9" w:rsidRDefault="00E90CEA" w:rsidP="00E90CEA">
      <w:pPr>
        <w:pStyle w:val="H1G"/>
        <w:rPr>
          <w:szCs w:val="24"/>
        </w:rPr>
      </w:pPr>
      <w:r w:rsidRPr="008677B9">
        <w:tab/>
      </w:r>
      <w:r w:rsidRPr="008677B9">
        <w:tab/>
      </w:r>
      <w:r w:rsidRPr="008677B9">
        <w:rPr>
          <w:szCs w:val="24"/>
        </w:rPr>
        <w:t xml:space="preserve">Представлено Рабочей группой по </w:t>
      </w:r>
      <w:r>
        <w:rPr>
          <w:szCs w:val="24"/>
        </w:rPr>
        <w:t>общим</w:t>
      </w:r>
      <w:r w:rsidRPr="008677B9">
        <w:rPr>
          <w:szCs w:val="24"/>
        </w:rPr>
        <w:t xml:space="preserve"> </w:t>
      </w:r>
      <w:r>
        <w:rPr>
          <w:szCs w:val="24"/>
        </w:rPr>
        <w:t>предписаниям</w:t>
      </w:r>
      <w:r w:rsidRPr="008677B9">
        <w:rPr>
          <w:szCs w:val="24"/>
        </w:rPr>
        <w:t xml:space="preserve">, </w:t>
      </w:r>
      <w:r>
        <w:rPr>
          <w:szCs w:val="24"/>
        </w:rPr>
        <w:t>касающимся безопасности</w:t>
      </w:r>
      <w:r w:rsidRPr="00E90CEA">
        <w:rPr>
          <w:rStyle w:val="aa"/>
          <w:b w:val="0"/>
          <w:bCs/>
          <w:sz w:val="20"/>
          <w:vertAlign w:val="baseline"/>
        </w:rPr>
        <w:footnoteReference w:customMarkFollows="1" w:id="1"/>
        <w:t>*</w:t>
      </w:r>
      <w:r w:rsidRPr="00E90CEA">
        <w:rPr>
          <w:sz w:val="20"/>
        </w:rPr>
        <w:t xml:space="preserve"> </w:t>
      </w:r>
      <w:r w:rsidRPr="00E90CEA">
        <w:rPr>
          <w:rStyle w:val="aa"/>
          <w:b w:val="0"/>
          <w:bCs/>
          <w:sz w:val="20"/>
          <w:vertAlign w:val="baseline"/>
        </w:rPr>
        <w:footnoteReference w:customMarkFollows="1" w:id="2"/>
        <w:t>**</w:t>
      </w:r>
    </w:p>
    <w:p w14:paraId="0F942D31" w14:textId="4BE1B896" w:rsidR="00E90CEA" w:rsidRPr="00E609BE" w:rsidRDefault="00E90CEA" w:rsidP="00E90CEA">
      <w:pPr>
        <w:pStyle w:val="SingleTxtG"/>
        <w:rPr>
          <w:color w:val="333333"/>
          <w:sz w:val="21"/>
          <w:szCs w:val="21"/>
          <w:shd w:val="clear" w:color="auto" w:fill="FFFFFF"/>
        </w:rPr>
      </w:pPr>
      <w:r>
        <w:rPr>
          <w:color w:val="333333"/>
          <w:sz w:val="21"/>
          <w:szCs w:val="21"/>
          <w:shd w:val="clear" w:color="auto" w:fill="FFFFFF"/>
        </w:rPr>
        <w:tab/>
      </w:r>
      <w:r w:rsidRPr="008677B9">
        <w:rPr>
          <w:color w:val="333333"/>
          <w:sz w:val="21"/>
          <w:szCs w:val="21"/>
          <w:shd w:val="clear" w:color="auto" w:fill="FFFFFF"/>
        </w:rPr>
        <w:t xml:space="preserve">Воспроизведенный ниже текст был принят Рабочей группой по общим предписаниям, касающимся безопасности, на ее </w:t>
      </w:r>
      <w:r w:rsidR="000F31EB">
        <w:rPr>
          <w:color w:val="333333"/>
          <w:sz w:val="21"/>
          <w:szCs w:val="21"/>
          <w:shd w:val="clear" w:color="auto" w:fill="FFFFFF"/>
        </w:rPr>
        <w:t>сто девятнадцатой</w:t>
      </w:r>
      <w:r w:rsidRPr="008677B9">
        <w:rPr>
          <w:color w:val="333333"/>
          <w:sz w:val="21"/>
          <w:szCs w:val="21"/>
          <w:shd w:val="clear" w:color="auto" w:fill="FFFFFF"/>
        </w:rPr>
        <w:t xml:space="preserve"> сессии, состоявшейся в октябре 2020 года</w:t>
      </w:r>
      <w:r w:rsidRPr="008677B9">
        <w:t xml:space="preserve"> (</w:t>
      </w:r>
      <w:r w:rsidRPr="00680A0B">
        <w:rPr>
          <w:bCs/>
        </w:rPr>
        <w:t>ECE</w:t>
      </w:r>
      <w:r w:rsidRPr="008677B9">
        <w:rPr>
          <w:bCs/>
        </w:rPr>
        <w:t>/</w:t>
      </w:r>
      <w:r w:rsidRPr="00680A0B">
        <w:rPr>
          <w:bCs/>
        </w:rPr>
        <w:t>TRANS</w:t>
      </w:r>
      <w:r w:rsidRPr="008677B9">
        <w:rPr>
          <w:bCs/>
        </w:rPr>
        <w:t>/</w:t>
      </w:r>
      <w:r w:rsidRPr="00680A0B">
        <w:rPr>
          <w:bCs/>
        </w:rPr>
        <w:t>WP</w:t>
      </w:r>
      <w:r w:rsidRPr="008677B9">
        <w:rPr>
          <w:bCs/>
        </w:rPr>
        <w:t>.29/</w:t>
      </w:r>
      <w:r w:rsidRPr="00680A0B">
        <w:rPr>
          <w:bCs/>
        </w:rPr>
        <w:t>GRSG</w:t>
      </w:r>
      <w:r w:rsidRPr="008677B9">
        <w:rPr>
          <w:bCs/>
        </w:rPr>
        <w:t xml:space="preserve">/98, </w:t>
      </w:r>
      <w:r>
        <w:rPr>
          <w:bCs/>
        </w:rPr>
        <w:t>пункт</w:t>
      </w:r>
      <w:r w:rsidRPr="008677B9">
        <w:rPr>
          <w:bCs/>
        </w:rPr>
        <w:t xml:space="preserve"> 13). </w:t>
      </w:r>
      <w:r>
        <w:rPr>
          <w:bCs/>
        </w:rPr>
        <w:t>В</w:t>
      </w:r>
      <w:r w:rsidRPr="008677B9">
        <w:rPr>
          <w:bCs/>
        </w:rPr>
        <w:t xml:space="preserve"> </w:t>
      </w:r>
      <w:r>
        <w:rPr>
          <w:bCs/>
        </w:rPr>
        <w:t>его</w:t>
      </w:r>
      <w:r w:rsidRPr="008677B9">
        <w:rPr>
          <w:bCs/>
        </w:rPr>
        <w:t xml:space="preserve"> </w:t>
      </w:r>
      <w:r>
        <w:rPr>
          <w:bCs/>
        </w:rPr>
        <w:t>основу</w:t>
      </w:r>
      <w:r w:rsidRPr="008677B9">
        <w:rPr>
          <w:bCs/>
        </w:rPr>
        <w:t xml:space="preserve"> </w:t>
      </w:r>
      <w:r>
        <w:rPr>
          <w:bCs/>
        </w:rPr>
        <w:t>положены</w:t>
      </w:r>
      <w:r w:rsidRPr="008677B9">
        <w:rPr>
          <w:bCs/>
        </w:rPr>
        <w:t xml:space="preserve"> </w:t>
      </w:r>
      <w:r>
        <w:rPr>
          <w:bCs/>
        </w:rPr>
        <w:t>документы</w:t>
      </w:r>
      <w:r w:rsidRPr="008677B9">
        <w:rPr>
          <w:bCs/>
        </w:rPr>
        <w:t xml:space="preserve"> </w:t>
      </w:r>
      <w:r w:rsidRPr="00635EE6">
        <w:rPr>
          <w:color w:val="000000"/>
        </w:rPr>
        <w:t>ECE</w:t>
      </w:r>
      <w:r w:rsidRPr="008677B9">
        <w:rPr>
          <w:color w:val="000000"/>
        </w:rPr>
        <w:t>/</w:t>
      </w:r>
      <w:r w:rsidRPr="00635EE6">
        <w:rPr>
          <w:color w:val="000000"/>
        </w:rPr>
        <w:t>TRANS</w:t>
      </w:r>
      <w:r w:rsidRPr="008677B9">
        <w:rPr>
          <w:color w:val="000000"/>
        </w:rPr>
        <w:t>/</w:t>
      </w:r>
      <w:r w:rsidRPr="00635EE6">
        <w:rPr>
          <w:color w:val="000000"/>
        </w:rPr>
        <w:t>WP</w:t>
      </w:r>
      <w:r w:rsidRPr="008677B9">
        <w:rPr>
          <w:color w:val="000000"/>
        </w:rPr>
        <w:t>.29/</w:t>
      </w:r>
      <w:r w:rsidRPr="00635EE6">
        <w:rPr>
          <w:color w:val="000000"/>
        </w:rPr>
        <w:t>GRSG</w:t>
      </w:r>
      <w:r w:rsidRPr="008677B9">
        <w:rPr>
          <w:color w:val="000000"/>
        </w:rPr>
        <w:t xml:space="preserve">/2020/19 </w:t>
      </w:r>
      <w:r>
        <w:rPr>
          <w:color w:val="000000"/>
        </w:rPr>
        <w:t>с</w:t>
      </w:r>
      <w:r w:rsidRPr="008677B9">
        <w:rPr>
          <w:color w:val="000000"/>
        </w:rPr>
        <w:t xml:space="preserve"> </w:t>
      </w:r>
      <w:r>
        <w:rPr>
          <w:color w:val="000000"/>
        </w:rPr>
        <w:t>поправками</w:t>
      </w:r>
      <w:r w:rsidRPr="008677B9">
        <w:rPr>
          <w:color w:val="000000"/>
        </w:rPr>
        <w:t xml:space="preserve">, </w:t>
      </w:r>
      <w:r>
        <w:rPr>
          <w:color w:val="000000"/>
        </w:rPr>
        <w:t>содержащимися в документах</w:t>
      </w:r>
      <w:r w:rsidRPr="008677B9">
        <w:rPr>
          <w:color w:val="000000"/>
        </w:rPr>
        <w:t xml:space="preserve"> </w:t>
      </w:r>
      <w:r w:rsidRPr="00635EE6">
        <w:rPr>
          <w:color w:val="000000"/>
        </w:rPr>
        <w:t>GRSG</w:t>
      </w:r>
      <w:r w:rsidRPr="008677B9">
        <w:rPr>
          <w:color w:val="000000"/>
        </w:rPr>
        <w:t xml:space="preserve">-119-09 </w:t>
      </w:r>
      <w:r>
        <w:rPr>
          <w:color w:val="000000"/>
        </w:rPr>
        <w:t>и</w:t>
      </w:r>
      <w:r w:rsidRPr="008677B9">
        <w:rPr>
          <w:color w:val="000000"/>
        </w:rPr>
        <w:t xml:space="preserve"> </w:t>
      </w:r>
      <w:r w:rsidRPr="00635EE6">
        <w:rPr>
          <w:color w:val="000000"/>
        </w:rPr>
        <w:t>GRSG</w:t>
      </w:r>
      <w:r w:rsidRPr="008677B9">
        <w:rPr>
          <w:color w:val="000000"/>
        </w:rPr>
        <w:t xml:space="preserve">-119-18, </w:t>
      </w:r>
      <w:r>
        <w:rPr>
          <w:color w:val="000000"/>
        </w:rPr>
        <w:t>и</w:t>
      </w:r>
      <w:r w:rsidRPr="008677B9">
        <w:rPr>
          <w:color w:val="000000"/>
        </w:rPr>
        <w:t xml:space="preserve"> </w:t>
      </w:r>
      <w:r w:rsidRPr="00635EE6">
        <w:rPr>
          <w:color w:val="000000"/>
        </w:rPr>
        <w:t>ECE</w:t>
      </w:r>
      <w:r w:rsidRPr="008677B9">
        <w:rPr>
          <w:color w:val="000000"/>
        </w:rPr>
        <w:t>/</w:t>
      </w:r>
      <w:r w:rsidRPr="00635EE6">
        <w:rPr>
          <w:color w:val="000000"/>
        </w:rPr>
        <w:t>TRANS</w:t>
      </w:r>
      <w:r w:rsidRPr="008677B9">
        <w:rPr>
          <w:color w:val="000000"/>
        </w:rPr>
        <w:t>/</w:t>
      </w:r>
      <w:r w:rsidRPr="00635EE6">
        <w:rPr>
          <w:color w:val="000000"/>
        </w:rPr>
        <w:t>WP</w:t>
      </w:r>
      <w:r w:rsidRPr="008677B9">
        <w:rPr>
          <w:color w:val="000000"/>
        </w:rPr>
        <w:t>.29/</w:t>
      </w:r>
      <w:r w:rsidR="000F31EB">
        <w:rPr>
          <w:color w:val="000000"/>
        </w:rPr>
        <w:br/>
      </w:r>
      <w:r w:rsidRPr="00635EE6">
        <w:rPr>
          <w:color w:val="000000"/>
        </w:rPr>
        <w:t>GRSG</w:t>
      </w:r>
      <w:r w:rsidRPr="008677B9">
        <w:rPr>
          <w:color w:val="000000"/>
        </w:rPr>
        <w:t>/2020/20</w:t>
      </w:r>
      <w:r>
        <w:rPr>
          <w:color w:val="000000"/>
        </w:rPr>
        <w:t xml:space="preserve"> с</w:t>
      </w:r>
      <w:r w:rsidRPr="008677B9">
        <w:rPr>
          <w:color w:val="000000"/>
        </w:rPr>
        <w:t xml:space="preserve"> </w:t>
      </w:r>
      <w:r>
        <w:rPr>
          <w:color w:val="000000"/>
        </w:rPr>
        <w:t>поправками</w:t>
      </w:r>
      <w:r w:rsidRPr="008677B9">
        <w:rPr>
          <w:color w:val="000000"/>
        </w:rPr>
        <w:t xml:space="preserve">, </w:t>
      </w:r>
      <w:r>
        <w:rPr>
          <w:color w:val="000000"/>
        </w:rPr>
        <w:t>содержащимися в документе</w:t>
      </w:r>
      <w:r w:rsidRPr="008677B9">
        <w:rPr>
          <w:color w:val="000000"/>
        </w:rPr>
        <w:t xml:space="preserve"> </w:t>
      </w:r>
      <w:r w:rsidRPr="00635EE6">
        <w:rPr>
          <w:color w:val="000000"/>
        </w:rPr>
        <w:t>GRSG</w:t>
      </w:r>
      <w:r w:rsidRPr="008677B9">
        <w:rPr>
          <w:color w:val="000000"/>
        </w:rPr>
        <w:t xml:space="preserve">-119-19. </w:t>
      </w:r>
      <w:r w:rsidRPr="00E609BE">
        <w:rPr>
          <w:color w:val="333333"/>
          <w:sz w:val="21"/>
          <w:szCs w:val="21"/>
          <w:shd w:val="clear" w:color="auto" w:fill="FFFFFF"/>
        </w:rPr>
        <w:t>Этот текст представлен Всемирному форуму для согласования правил в области транспортных средств (</w:t>
      </w:r>
      <w:r>
        <w:rPr>
          <w:color w:val="333333"/>
          <w:sz w:val="21"/>
          <w:szCs w:val="21"/>
          <w:shd w:val="clear" w:color="auto" w:fill="FFFFFF"/>
        </w:rPr>
        <w:t>WP</w:t>
      </w:r>
      <w:r w:rsidRPr="00E609BE">
        <w:rPr>
          <w:color w:val="333333"/>
          <w:sz w:val="21"/>
          <w:szCs w:val="21"/>
          <w:shd w:val="clear" w:color="auto" w:fill="FFFFFF"/>
        </w:rPr>
        <w:t>.29) и Административному комитету</w:t>
      </w:r>
      <w:r w:rsidR="00912EE0">
        <w:rPr>
          <w:color w:val="333333"/>
          <w:sz w:val="21"/>
          <w:szCs w:val="21"/>
          <w:shd w:val="clear" w:color="auto" w:fill="FFFFFF"/>
        </w:rPr>
        <w:t xml:space="preserve"> Соглашения 1958 года</w:t>
      </w:r>
      <w:r w:rsidRPr="00E609BE">
        <w:rPr>
          <w:color w:val="333333"/>
          <w:sz w:val="21"/>
          <w:szCs w:val="21"/>
          <w:shd w:val="clear" w:color="auto" w:fill="FFFFFF"/>
        </w:rPr>
        <w:t xml:space="preserve"> (</w:t>
      </w:r>
      <w:r>
        <w:rPr>
          <w:color w:val="333333"/>
          <w:sz w:val="21"/>
          <w:szCs w:val="21"/>
          <w:shd w:val="clear" w:color="auto" w:fill="FFFFFF"/>
        </w:rPr>
        <w:t>AC</w:t>
      </w:r>
      <w:r w:rsidRPr="00E609BE">
        <w:rPr>
          <w:color w:val="333333"/>
          <w:sz w:val="21"/>
          <w:szCs w:val="21"/>
          <w:shd w:val="clear" w:color="auto" w:fill="FFFFFF"/>
        </w:rPr>
        <w:t xml:space="preserve">.1) для рассмотрения </w:t>
      </w:r>
      <w:r w:rsidR="00912EE0">
        <w:rPr>
          <w:color w:val="333333"/>
          <w:sz w:val="21"/>
          <w:szCs w:val="21"/>
          <w:shd w:val="clear" w:color="auto" w:fill="FFFFFF"/>
        </w:rPr>
        <w:t xml:space="preserve">и голосования </w:t>
      </w:r>
      <w:r w:rsidRPr="00E609BE">
        <w:rPr>
          <w:color w:val="333333"/>
          <w:sz w:val="21"/>
          <w:szCs w:val="21"/>
          <w:shd w:val="clear" w:color="auto" w:fill="FFFFFF"/>
        </w:rPr>
        <w:t>на их сессиях в марте 2021 года.</w:t>
      </w:r>
    </w:p>
    <w:p w14:paraId="42966254" w14:textId="77777777" w:rsidR="00E90CEA" w:rsidRDefault="00E90CEA" w:rsidP="00E90CEA">
      <w:pPr>
        <w:pStyle w:val="SingleTxtG"/>
        <w:ind w:firstLine="567"/>
      </w:pPr>
      <w:r>
        <w:br w:type="page"/>
      </w:r>
    </w:p>
    <w:p w14:paraId="1E470CD4" w14:textId="77777777" w:rsidR="00E90CEA" w:rsidRPr="00AF4A25" w:rsidRDefault="00E90CEA" w:rsidP="00E90CEA">
      <w:pPr>
        <w:tabs>
          <w:tab w:val="left" w:pos="2268"/>
          <w:tab w:val="left" w:pos="8505"/>
        </w:tabs>
        <w:spacing w:after="120" w:line="240" w:lineRule="auto"/>
        <w:ind w:left="2126" w:right="1134" w:hanging="992"/>
        <w:jc w:val="both"/>
        <w:rPr>
          <w:rFonts w:asciiTheme="majorBidi" w:hAnsiTheme="majorBidi" w:cstheme="majorBidi"/>
          <w:i/>
          <w:iCs/>
        </w:rPr>
      </w:pPr>
      <w:r>
        <w:rPr>
          <w:rFonts w:asciiTheme="majorBidi" w:hAnsiTheme="majorBidi" w:cstheme="majorBidi"/>
          <w:i/>
          <w:iCs/>
        </w:rPr>
        <w:lastRenderedPageBreak/>
        <w:t xml:space="preserve">Включить новые пункты </w:t>
      </w:r>
      <w:r w:rsidRPr="00AF4A25">
        <w:rPr>
          <w:rFonts w:asciiTheme="majorBidi" w:hAnsiTheme="majorBidi" w:cstheme="majorBidi"/>
          <w:i/>
          <w:iCs/>
        </w:rPr>
        <w:t>10.25</w:t>
      </w:r>
      <w:r w:rsidR="00F417A2">
        <w:rPr>
          <w:rFonts w:asciiTheme="majorBidi" w:hAnsiTheme="majorBidi" w:cstheme="majorBidi"/>
          <w:i/>
          <w:iCs/>
        </w:rPr>
        <w:t>—</w:t>
      </w:r>
      <w:r w:rsidRPr="00AF4A25">
        <w:rPr>
          <w:rFonts w:asciiTheme="majorBidi" w:hAnsiTheme="majorBidi" w:cstheme="majorBidi"/>
          <w:i/>
          <w:iCs/>
        </w:rPr>
        <w:t>10.29</w:t>
      </w:r>
      <w:r>
        <w:rPr>
          <w:rFonts w:asciiTheme="majorBidi" w:hAnsiTheme="majorBidi" w:cstheme="majorBidi"/>
          <w:i/>
          <w:iCs/>
        </w:rPr>
        <w:t xml:space="preserve"> </w:t>
      </w:r>
      <w:r>
        <w:rPr>
          <w:rFonts w:asciiTheme="majorBidi" w:hAnsiTheme="majorBidi" w:cstheme="majorBidi"/>
        </w:rPr>
        <w:t>следующего содержания</w:t>
      </w:r>
      <w:r w:rsidRPr="00AF4A25">
        <w:rPr>
          <w:rFonts w:asciiTheme="majorBidi" w:hAnsiTheme="majorBidi" w:cstheme="majorBidi"/>
        </w:rPr>
        <w:t>:</w:t>
      </w:r>
    </w:p>
    <w:p w14:paraId="26C3F277" w14:textId="77777777" w:rsidR="00E90CEA" w:rsidRPr="00F417A2" w:rsidRDefault="00E90CEA" w:rsidP="00E90CEA">
      <w:pPr>
        <w:pStyle w:val="SingleTxtG"/>
        <w:tabs>
          <w:tab w:val="clear" w:pos="1701"/>
        </w:tabs>
        <w:ind w:left="2268" w:hanging="1134"/>
        <w:rPr>
          <w:color w:val="333333"/>
          <w:shd w:val="clear" w:color="auto" w:fill="FFFFFF"/>
        </w:rPr>
      </w:pPr>
      <w:r w:rsidRPr="00F417A2">
        <w:t>«10.25</w:t>
      </w:r>
      <w:r w:rsidRPr="00F417A2">
        <w:tab/>
      </w:r>
      <w:r w:rsidRPr="00F417A2">
        <w:rPr>
          <w:color w:val="333333"/>
          <w:shd w:val="clear" w:color="auto" w:fill="FFFFFF"/>
        </w:rPr>
        <w:t>Начиная с официальной даты вступления в силу поправок серии 09 ни одна из Договаривающихся сторон, применяющих настоящие Правила, не должна отказывать в предоставлении или признании официальных утверждений типа на основании настоящих Правил с внесенными в них поправками серии 09.</w:t>
      </w:r>
    </w:p>
    <w:p w14:paraId="463983B7" w14:textId="77777777" w:rsidR="00E90CEA" w:rsidRPr="00F417A2" w:rsidRDefault="00E90CEA" w:rsidP="00E90CEA">
      <w:pPr>
        <w:pStyle w:val="SingleTxtG"/>
        <w:tabs>
          <w:tab w:val="clear" w:pos="1701"/>
        </w:tabs>
        <w:ind w:left="2268" w:hanging="1134"/>
        <w:rPr>
          <w:color w:val="333333"/>
          <w:shd w:val="clear" w:color="auto" w:fill="FFFFFF"/>
        </w:rPr>
      </w:pPr>
      <w:r w:rsidRPr="00F417A2">
        <w:t>10.26</w:t>
      </w:r>
      <w:r w:rsidRPr="00F417A2">
        <w:tab/>
      </w:r>
      <w:r w:rsidRPr="00F417A2">
        <w:rPr>
          <w:color w:val="333333"/>
          <w:shd w:val="clear" w:color="auto" w:fill="FFFFFF"/>
        </w:rPr>
        <w:t>Начиная с 1 сентября 2023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впервые выданные после 1 сентября 2023 года.</w:t>
      </w:r>
    </w:p>
    <w:p w14:paraId="277EDE12" w14:textId="77777777" w:rsidR="00E90CEA" w:rsidRPr="00F417A2" w:rsidRDefault="00E90CEA" w:rsidP="00E90CEA">
      <w:pPr>
        <w:pStyle w:val="SingleTxtG"/>
        <w:tabs>
          <w:tab w:val="clear" w:pos="1701"/>
        </w:tabs>
        <w:ind w:left="2268" w:hanging="1134"/>
        <w:rPr>
          <w:color w:val="333333"/>
          <w:shd w:val="clear" w:color="auto" w:fill="FFFFFF"/>
        </w:rPr>
      </w:pPr>
      <w:r w:rsidRPr="00F417A2">
        <w:t>10.27</w:t>
      </w:r>
      <w:r w:rsidRPr="00F417A2">
        <w:tab/>
      </w:r>
      <w:r w:rsidRPr="00F417A2">
        <w:rPr>
          <w:color w:val="333333"/>
          <w:shd w:val="clear" w:color="auto" w:fill="FFFFFF"/>
        </w:rPr>
        <w:t>До 1 сентября 2025 года Договаривающиеся стороны, применяющие настоящие Правила, признают официальные утверждения типа в соответствии с поправками предыдущих серий, которые были впервые выданы до 1 сентября 2023 года.</w:t>
      </w:r>
    </w:p>
    <w:p w14:paraId="491A232B" w14:textId="77777777" w:rsidR="00E90CEA" w:rsidRPr="00F417A2" w:rsidRDefault="00E90CEA" w:rsidP="00E90CEA">
      <w:pPr>
        <w:pStyle w:val="SingleTxtG"/>
        <w:tabs>
          <w:tab w:val="clear" w:pos="1701"/>
        </w:tabs>
        <w:ind w:left="2268" w:hanging="1134"/>
        <w:rPr>
          <w:color w:val="333333"/>
          <w:shd w:val="clear" w:color="auto" w:fill="FFFFFF"/>
        </w:rPr>
      </w:pPr>
      <w:r w:rsidRPr="00F417A2">
        <w:t>10.28</w:t>
      </w:r>
      <w:r w:rsidRPr="00F417A2">
        <w:tab/>
      </w:r>
      <w:r w:rsidRPr="00F417A2">
        <w:rPr>
          <w:color w:val="333333"/>
          <w:shd w:val="clear" w:color="auto" w:fill="FFFFFF"/>
        </w:rPr>
        <w:t>Начиная с 1 сентября 2025 года Договаривающиеся стороны, применяющие настоящие Правила, не обязаны признавать официальные утверждения типа, выданные на основании поправок предыдущих серий к настоящим Правилам.</w:t>
      </w:r>
    </w:p>
    <w:p w14:paraId="0AC3FF2B" w14:textId="77777777" w:rsidR="00E90CEA" w:rsidRPr="00F417A2" w:rsidRDefault="00E90CEA" w:rsidP="00E90CEA">
      <w:pPr>
        <w:pStyle w:val="SingleTxtG"/>
        <w:tabs>
          <w:tab w:val="clear" w:pos="1701"/>
        </w:tabs>
        <w:ind w:left="2268" w:hanging="1134"/>
        <w:rPr>
          <w:color w:val="333333"/>
          <w:shd w:val="clear" w:color="auto" w:fill="FFFFFF"/>
        </w:rPr>
      </w:pPr>
      <w:r w:rsidRPr="00F417A2">
        <w:t>10.29</w:t>
      </w:r>
      <w:r w:rsidRPr="00F417A2">
        <w:tab/>
      </w:r>
      <w:r w:rsidRPr="00F417A2">
        <w:rPr>
          <w:color w:val="333333"/>
          <w:shd w:val="clear" w:color="auto" w:fill="FFFFFF"/>
        </w:rPr>
        <w:t>Независимо от положений пунктов 10.26 и 10.28 Договаривающиеся стороны, применяющие настоящие Правила, продолжают признавать официальные утверждения типа, предоставленные на основании поправок серии 06, 07 или 08 в отношении транспортных средств, не затрагиваемых поправками серии 09</w:t>
      </w:r>
      <w:r w:rsidRPr="00F417A2">
        <w:t>»</w:t>
      </w:r>
      <w:r w:rsidR="00310DF9">
        <w:t>.</w:t>
      </w:r>
    </w:p>
    <w:p w14:paraId="1C20C03B" w14:textId="77777777" w:rsidR="00E90CEA" w:rsidRPr="00F417A2" w:rsidRDefault="00E90CEA" w:rsidP="00E90CEA">
      <w:pPr>
        <w:pStyle w:val="SingleTxtG"/>
        <w:tabs>
          <w:tab w:val="clear" w:pos="1701"/>
        </w:tabs>
        <w:spacing w:before="240"/>
        <w:rPr>
          <w:color w:val="333333"/>
          <w:shd w:val="clear" w:color="auto" w:fill="FFFFFF"/>
        </w:rPr>
      </w:pPr>
      <w:r w:rsidRPr="00F417A2">
        <w:rPr>
          <w:i/>
          <w:iCs/>
          <w:color w:val="333333"/>
          <w:shd w:val="clear" w:color="auto" w:fill="FFFFFF"/>
        </w:rPr>
        <w:t>Приложение 1, часть 1, добавление 1,</w:t>
      </w:r>
      <w:r w:rsidRPr="00F417A2">
        <w:rPr>
          <w:color w:val="333333"/>
          <w:shd w:val="clear" w:color="auto" w:fill="FFFFFF"/>
        </w:rPr>
        <w:t xml:space="preserve"> включить новый пункт 4.4 следующего содержания</w:t>
      </w:r>
      <w:r w:rsidRPr="00F417A2">
        <w:rPr>
          <w:rFonts w:asciiTheme="majorBidi" w:hAnsiTheme="majorBidi" w:cstheme="majorBidi"/>
        </w:rPr>
        <w:t>:</w:t>
      </w:r>
    </w:p>
    <w:p w14:paraId="2F7B6656" w14:textId="77777777" w:rsidR="00E90CEA" w:rsidRPr="00F417A2" w:rsidRDefault="00E90CEA" w:rsidP="00E90CEA">
      <w:pPr>
        <w:pStyle w:val="SingleTxtG"/>
        <w:tabs>
          <w:tab w:val="clear" w:pos="1701"/>
        </w:tabs>
        <w:ind w:left="2268" w:hanging="1134"/>
        <w:rPr>
          <w:color w:val="333333"/>
          <w:shd w:val="clear" w:color="auto" w:fill="FFFFFF"/>
        </w:rPr>
      </w:pPr>
      <w:bookmarkStart w:id="1" w:name="_Hlk33794674"/>
      <w:r w:rsidRPr="00F417A2">
        <w:rPr>
          <w:rFonts w:asciiTheme="majorBidi" w:hAnsiTheme="majorBidi" w:cstheme="majorBidi"/>
          <w:bCs/>
          <w:iCs/>
        </w:rPr>
        <w:t>«4.4</w:t>
      </w:r>
      <w:r w:rsidRPr="00F417A2">
        <w:rPr>
          <w:rFonts w:asciiTheme="majorBidi" w:hAnsiTheme="majorBidi" w:cstheme="majorBidi"/>
          <w:bCs/>
          <w:iCs/>
        </w:rPr>
        <w:tab/>
      </w:r>
      <w:r w:rsidRPr="00F417A2">
        <w:rPr>
          <w:color w:val="333333"/>
          <w:shd w:val="clear" w:color="auto" w:fill="FFFFFF"/>
        </w:rPr>
        <w:t>Контрольная температура для системы выявления (согласно пункту</w:t>
      </w:r>
      <w:r w:rsidR="008619A7">
        <w:rPr>
          <w:color w:val="333333"/>
          <w:shd w:val="clear" w:color="auto" w:fill="FFFFFF"/>
        </w:rPr>
        <w:t> </w:t>
      </w:r>
      <w:r w:rsidRPr="00F417A2">
        <w:rPr>
          <w:color w:val="333333"/>
          <w:shd w:val="clear" w:color="auto" w:fill="FFFFFF"/>
        </w:rPr>
        <w:t>7.5.1.5.1):</w:t>
      </w:r>
      <w:bookmarkEnd w:id="1"/>
      <w:r w:rsidRPr="00F417A2">
        <w:rPr>
          <w:rFonts w:asciiTheme="majorBidi" w:hAnsiTheme="majorBidi" w:cstheme="majorBidi"/>
          <w:bCs/>
          <w:iCs/>
        </w:rPr>
        <w:t>…»</w:t>
      </w:r>
      <w:r w:rsidR="008619A7">
        <w:rPr>
          <w:rFonts w:asciiTheme="majorBidi" w:hAnsiTheme="majorBidi" w:cstheme="majorBidi"/>
          <w:bCs/>
          <w:iCs/>
        </w:rPr>
        <w:t>.</w:t>
      </w:r>
    </w:p>
    <w:p w14:paraId="2C11AEFC" w14:textId="77777777" w:rsidR="00E90CEA" w:rsidRPr="00F417A2" w:rsidRDefault="00E90CEA" w:rsidP="00E90CEA">
      <w:pPr>
        <w:pStyle w:val="SingleTxtG"/>
        <w:tabs>
          <w:tab w:val="left" w:pos="8505"/>
        </w:tabs>
        <w:spacing w:before="240"/>
        <w:ind w:right="1133"/>
        <w:rPr>
          <w:color w:val="333333"/>
          <w:shd w:val="clear" w:color="auto" w:fill="FFFFFF"/>
        </w:rPr>
      </w:pPr>
      <w:r w:rsidRPr="00F417A2">
        <w:rPr>
          <w:i/>
          <w:iCs/>
          <w:color w:val="333333"/>
          <w:shd w:val="clear" w:color="auto" w:fill="FFFFFF"/>
        </w:rPr>
        <w:t>Приложение 1, часть 1, добавление 3,</w:t>
      </w:r>
      <w:r w:rsidRPr="00F417A2">
        <w:rPr>
          <w:color w:val="333333"/>
          <w:shd w:val="clear" w:color="auto" w:fill="FFFFFF"/>
        </w:rPr>
        <w:t xml:space="preserve"> включить новый пункт 5 следующего содержания:</w:t>
      </w:r>
    </w:p>
    <w:p w14:paraId="3D72C6CC" w14:textId="77777777" w:rsidR="00E90CEA" w:rsidRPr="008619A7" w:rsidRDefault="00E90CEA" w:rsidP="00E90CEA">
      <w:pPr>
        <w:tabs>
          <w:tab w:val="left" w:pos="1418"/>
          <w:tab w:val="left" w:pos="2268"/>
          <w:tab w:val="left" w:pos="8505"/>
        </w:tabs>
        <w:spacing w:line="240" w:lineRule="auto"/>
        <w:ind w:left="2268" w:right="1133" w:hanging="1134"/>
        <w:jc w:val="both"/>
        <w:rPr>
          <w:rFonts w:cstheme="majorBidi"/>
          <w:bCs/>
          <w:i/>
          <w:color w:val="000000" w:themeColor="text1"/>
          <w:szCs w:val="20"/>
        </w:rPr>
      </w:pPr>
      <w:r w:rsidRPr="00F417A2">
        <w:rPr>
          <w:rFonts w:asciiTheme="majorBidi" w:hAnsiTheme="majorBidi" w:cstheme="majorBidi"/>
          <w:bCs/>
          <w:iCs/>
          <w:szCs w:val="20"/>
        </w:rPr>
        <w:t>«5.</w:t>
      </w:r>
      <w:r w:rsidR="008619A7">
        <w:rPr>
          <w:rFonts w:asciiTheme="majorBidi" w:hAnsiTheme="majorBidi" w:cstheme="majorBidi"/>
          <w:bCs/>
          <w:iCs/>
          <w:szCs w:val="20"/>
        </w:rPr>
        <w:tab/>
      </w:r>
      <w:r w:rsidRPr="00F417A2">
        <w:rPr>
          <w:rFonts w:asciiTheme="majorBidi" w:hAnsiTheme="majorBidi" w:cstheme="majorBidi"/>
          <w:bCs/>
          <w:iCs/>
          <w:szCs w:val="20"/>
        </w:rPr>
        <w:tab/>
      </w:r>
      <w:r w:rsidRPr="00F417A2">
        <w:rPr>
          <w:color w:val="333333"/>
          <w:szCs w:val="20"/>
          <w:shd w:val="clear" w:color="auto" w:fill="FFFFFF"/>
        </w:rPr>
        <w:t>Контрольная температура для системы выявления (согласно пункту</w:t>
      </w:r>
      <w:r w:rsidR="008619A7">
        <w:rPr>
          <w:color w:val="333333"/>
          <w:szCs w:val="20"/>
          <w:shd w:val="clear" w:color="auto" w:fill="FFFFFF"/>
        </w:rPr>
        <w:t> </w:t>
      </w:r>
      <w:r w:rsidRPr="00F417A2">
        <w:rPr>
          <w:color w:val="333333"/>
          <w:szCs w:val="20"/>
          <w:shd w:val="clear" w:color="auto" w:fill="FFFFFF"/>
        </w:rPr>
        <w:t>7.5.1.5.1</w:t>
      </w:r>
      <w:r w:rsidRPr="008619A7">
        <w:rPr>
          <w:color w:val="000000" w:themeColor="text1"/>
          <w:szCs w:val="20"/>
          <w:shd w:val="clear" w:color="auto" w:fill="FFFFFF"/>
        </w:rPr>
        <w:t>):</w:t>
      </w:r>
      <w:r w:rsidRPr="008619A7">
        <w:rPr>
          <w:rFonts w:cstheme="majorBidi"/>
          <w:bCs/>
          <w:iCs/>
          <w:color w:val="000000" w:themeColor="text1"/>
          <w:szCs w:val="20"/>
        </w:rPr>
        <w:t>…»</w:t>
      </w:r>
      <w:r w:rsidR="008619A7" w:rsidRPr="008619A7">
        <w:rPr>
          <w:rFonts w:cstheme="majorBidi"/>
          <w:bCs/>
          <w:iCs/>
          <w:color w:val="000000" w:themeColor="text1"/>
          <w:szCs w:val="20"/>
        </w:rPr>
        <w:t>.</w:t>
      </w:r>
    </w:p>
    <w:p w14:paraId="7741645C" w14:textId="77777777" w:rsidR="00E90CEA" w:rsidRPr="00F417A2" w:rsidRDefault="00E90CEA" w:rsidP="00E90CEA">
      <w:pPr>
        <w:pStyle w:val="SingleTxtG"/>
        <w:spacing w:before="240"/>
      </w:pPr>
      <w:r w:rsidRPr="00F417A2">
        <w:rPr>
          <w:i/>
          <w:iCs/>
          <w:color w:val="333333"/>
          <w:shd w:val="clear" w:color="auto" w:fill="FFFFFF"/>
        </w:rPr>
        <w:t>Приложение 2</w:t>
      </w:r>
      <w:r w:rsidRPr="00F417A2">
        <w:rPr>
          <w:color w:val="333333"/>
          <w:shd w:val="clear" w:color="auto" w:fill="FFFFFF"/>
        </w:rPr>
        <w:t xml:space="preserve"> изменить следующим образом</w:t>
      </w:r>
      <w:r w:rsidRPr="00F417A2">
        <w:t>:</w:t>
      </w:r>
    </w:p>
    <w:p w14:paraId="22B41EFA" w14:textId="77777777" w:rsidR="00E90CEA" w:rsidRPr="00C153B8" w:rsidRDefault="00E90CEA" w:rsidP="00E90CEA">
      <w:pPr>
        <w:pStyle w:val="HChG"/>
        <w:ind w:left="0" w:firstLine="0"/>
      </w:pPr>
      <w:bookmarkStart w:id="2" w:name="_Toc381693798"/>
      <w:r>
        <w:rPr>
          <w:b w:val="0"/>
          <w:bCs/>
        </w:rPr>
        <w:t>«</w:t>
      </w:r>
      <w:r w:rsidRPr="00C153B8">
        <w:t>Приложение 2</w:t>
      </w:r>
      <w:bookmarkEnd w:id="2"/>
    </w:p>
    <w:p w14:paraId="7315128B" w14:textId="77777777" w:rsidR="00E90CEA" w:rsidRPr="00C153B8" w:rsidRDefault="00E90CEA" w:rsidP="00E90CEA">
      <w:pPr>
        <w:pStyle w:val="HChG"/>
        <w:ind w:firstLine="0"/>
      </w:pPr>
      <w:r w:rsidRPr="00C153B8">
        <w:tab/>
      </w:r>
      <w:bookmarkStart w:id="3" w:name="_Toc381693799"/>
      <w:r>
        <w:t>Схемы знаков официального утверждения</w:t>
      </w:r>
      <w:bookmarkEnd w:id="3"/>
    </w:p>
    <w:p w14:paraId="0A754168" w14:textId="77777777" w:rsidR="00E90CEA" w:rsidRPr="008619A7" w:rsidRDefault="008619A7" w:rsidP="008619A7">
      <w:pPr>
        <w:pStyle w:val="1"/>
        <w:keepLines/>
        <w:ind w:left="1134"/>
        <w:jc w:val="left"/>
        <w:rPr>
          <w:b w:val="0"/>
          <w:bCs w:val="0"/>
        </w:rPr>
      </w:pPr>
      <w:bookmarkStart w:id="4" w:name="_Toc381693800"/>
      <w:r>
        <w:tab/>
      </w:r>
      <w:r w:rsidR="00E90CEA" w:rsidRPr="008619A7">
        <w:rPr>
          <w:b w:val="0"/>
          <w:bCs w:val="0"/>
        </w:rPr>
        <w:t>Образец А</w:t>
      </w:r>
      <w:bookmarkEnd w:id="4"/>
      <w:r>
        <w:rPr>
          <w:b w:val="0"/>
          <w:bCs w:val="0"/>
        </w:rPr>
        <w:br/>
      </w:r>
      <w:r w:rsidR="00E90CEA" w:rsidRPr="008619A7">
        <w:rPr>
          <w:b w:val="0"/>
          <w:bCs w:val="0"/>
        </w:rPr>
        <w:t>(см. пункт 4.4 настоящих Правил)</w:t>
      </w:r>
    </w:p>
    <w:p w14:paraId="4F5ADD44" w14:textId="77777777" w:rsidR="00E90CEA" w:rsidRDefault="00E90CEA" w:rsidP="00E90CEA">
      <w:pPr>
        <w:pStyle w:val="SingleTxtG"/>
        <w:tabs>
          <w:tab w:val="left" w:pos="6800"/>
        </w:tabs>
        <w:rPr>
          <w:caps/>
        </w:rPr>
      </w:pPr>
      <w:r w:rsidRPr="006F2B2E">
        <w:rPr>
          <w:caps/>
          <w:noProof/>
        </w:rPr>
        <mc:AlternateContent>
          <mc:Choice Requires="wps">
            <w:drawing>
              <wp:anchor distT="45720" distB="45720" distL="114300" distR="114300" simplePos="0" relativeHeight="251659264" behindDoc="0" locked="0" layoutInCell="1" allowOverlap="1" wp14:anchorId="5DB494DF" wp14:editId="73C016DC">
                <wp:simplePos x="0" y="0"/>
                <wp:positionH relativeFrom="column">
                  <wp:posOffset>3776847</wp:posOffset>
                </wp:positionH>
                <wp:positionV relativeFrom="paragraph">
                  <wp:posOffset>312325</wp:posOffset>
                </wp:positionV>
                <wp:extent cx="1235123" cy="1404620"/>
                <wp:effectExtent l="0" t="0" r="317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123" cy="1404620"/>
                        </a:xfrm>
                        <a:prstGeom prst="rect">
                          <a:avLst/>
                        </a:prstGeom>
                        <a:solidFill>
                          <a:srgbClr val="FFFFFF"/>
                        </a:solidFill>
                        <a:ln w="9525">
                          <a:noFill/>
                          <a:miter lim="800000"/>
                          <a:headEnd/>
                          <a:tailEnd/>
                        </a:ln>
                      </wps:spPr>
                      <wps:txbx>
                        <w:txbxContent>
                          <w:p w14:paraId="1BC94192" w14:textId="77777777" w:rsidR="00E90CEA" w:rsidRPr="006B40F3" w:rsidRDefault="00E90CEA" w:rsidP="00E90CEA">
                            <w:pPr>
                              <w:bidi/>
                              <w:spacing w:line="0" w:lineRule="atLeast"/>
                              <w:jc w:val="center"/>
                              <w:rPr>
                                <w:rFonts w:asciiTheme="minorBidi" w:hAnsiTheme="minorBidi"/>
                                <w:sz w:val="48"/>
                                <w:szCs w:val="48"/>
                                <w:lang w:val="fr-CH"/>
                              </w:rPr>
                            </w:pPr>
                            <w:r w:rsidRPr="006B40F3">
                              <w:rPr>
                                <w:rFonts w:asciiTheme="minorBidi" w:hAnsiTheme="minorBidi"/>
                                <w:sz w:val="48"/>
                                <w:szCs w:val="48"/>
                                <w:lang w:val="fr-CH"/>
                              </w:rPr>
                              <w:t>09243</w:t>
                            </w:r>
                            <w:r>
                              <w:rPr>
                                <w:rFonts w:asciiTheme="minorBidi" w:hAnsiTheme="minorBidi"/>
                                <w:sz w:val="48"/>
                                <w:szCs w:val="48"/>
                                <w:lang w:val="fr-CH"/>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494DF" id="_x0000_t202" coordsize="21600,21600" o:spt="202" path="m,l,21600r21600,l21600,xe">
                <v:stroke joinstyle="miter"/>
                <v:path gradientshapeok="t" o:connecttype="rect"/>
              </v:shapetype>
              <v:shape id="Text Box 2" o:spid="_x0000_s1026" type="#_x0000_t202" style="position:absolute;left:0;text-align:left;margin-left:297.4pt;margin-top:24.6pt;width: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" stroked="f">
                <v:textbox style="mso-fit-shape-to-text:t">
                  <w:txbxContent>
                    <w:p w14:paraId="1BC94192" w14:textId="77777777" w:rsidR="00E90CEA" w:rsidRPr="006B40F3" w:rsidRDefault="00E90CEA" w:rsidP="00E90CEA">
                      <w:pPr>
                        <w:bidi/>
                        <w:spacing w:line="0" w:lineRule="atLeast"/>
                        <w:jc w:val="center"/>
                        <w:rPr>
                          <w:rFonts w:asciiTheme="minorBidi" w:hAnsiTheme="minorBidi"/>
                          <w:sz w:val="48"/>
                          <w:szCs w:val="48"/>
                          <w:lang w:val="fr-CH"/>
                        </w:rPr>
                      </w:pPr>
                      <w:r w:rsidRPr="006B40F3">
                        <w:rPr>
                          <w:rFonts w:asciiTheme="minorBidi" w:hAnsiTheme="minorBidi"/>
                          <w:sz w:val="48"/>
                          <w:szCs w:val="48"/>
                          <w:lang w:val="fr-CH"/>
                        </w:rPr>
                        <w:t>09243</w:t>
                      </w:r>
                      <w:r>
                        <w:rPr>
                          <w:rFonts w:asciiTheme="minorBidi" w:hAnsiTheme="minorBidi"/>
                          <w:sz w:val="48"/>
                          <w:szCs w:val="48"/>
                          <w:lang w:val="fr-CH"/>
                        </w:rPr>
                        <w:t>9</w:t>
                      </w:r>
                    </w:p>
                  </w:txbxContent>
                </v:textbox>
              </v:shape>
            </w:pict>
          </mc:Fallback>
        </mc:AlternateContent>
      </w:r>
      <w:r w:rsidRPr="004F1386">
        <w:rPr>
          <w:caps/>
          <w:noProof/>
        </w:rPr>
        <w:drawing>
          <wp:inline distT="0" distB="0" distL="0" distR="0" wp14:anchorId="2B39ECAF" wp14:editId="6839CBAA">
            <wp:extent cx="4676775" cy="914400"/>
            <wp:effectExtent l="0" t="0" r="9525" b="0"/>
            <wp:docPr id="4" name="Picture 4" descr="Reg107 Annex2 Model A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107 Annex2 Model A fr"/>
                    <pic:cNvPicPr>
                      <a:picLocks noChangeAspect="1" noChangeArrowheads="1"/>
                    </pic:cNvPicPr>
                  </pic:nvPicPr>
                  <pic:blipFill>
                    <a:blip r:embed="rId8" cstate="print">
                      <a:extLst>
                        <a:ext uri="{28A0092B-C50C-407E-A947-70E740481C1C}">
                          <a14:useLocalDpi xmlns:a14="http://schemas.microsoft.com/office/drawing/2010/main" val="0"/>
                        </a:ext>
                      </a:extLst>
                    </a:blip>
                    <a:srcRect t="17282"/>
                    <a:stretch>
                      <a:fillRect/>
                    </a:stretch>
                  </pic:blipFill>
                  <pic:spPr bwMode="auto">
                    <a:xfrm>
                      <a:off x="0" y="0"/>
                      <a:ext cx="4676775" cy="914400"/>
                    </a:xfrm>
                    <a:prstGeom prst="rect">
                      <a:avLst/>
                    </a:prstGeom>
                    <a:noFill/>
                    <a:ln>
                      <a:noFill/>
                    </a:ln>
                  </pic:spPr>
                </pic:pic>
              </a:graphicData>
            </a:graphic>
          </wp:inline>
        </w:drawing>
      </w:r>
    </w:p>
    <w:p w14:paraId="6BE7532A" w14:textId="77777777" w:rsidR="00E90CEA" w:rsidRPr="00C153B8" w:rsidRDefault="00E90CEA" w:rsidP="00E90CEA">
      <w:pPr>
        <w:pStyle w:val="SingleTxtG"/>
        <w:tabs>
          <w:tab w:val="left" w:pos="6800"/>
        </w:tabs>
        <w:jc w:val="right"/>
        <w:rPr>
          <w:caps/>
        </w:rPr>
      </w:pPr>
      <w:r>
        <w:t>a</w:t>
      </w:r>
      <w:r w:rsidRPr="00C153B8">
        <w:t xml:space="preserve"> = 8 </w:t>
      </w:r>
      <w:r>
        <w:t>мм мин.</w:t>
      </w:r>
    </w:p>
    <w:p w14:paraId="246E6DD1" w14:textId="77777777" w:rsidR="00E90CEA" w:rsidRPr="00C153B8" w:rsidRDefault="00E90CEA" w:rsidP="00E90CEA">
      <w:pPr>
        <w:pStyle w:val="SingleTxtG"/>
        <w:tabs>
          <w:tab w:val="left" w:pos="6800"/>
        </w:tabs>
        <w:rPr>
          <w:sz w:val="2"/>
          <w:szCs w:val="2"/>
        </w:rPr>
      </w:pPr>
    </w:p>
    <w:p w14:paraId="3B77B2A2" w14:textId="77777777" w:rsidR="00E90CEA" w:rsidRPr="00C153B8" w:rsidRDefault="00E90CEA" w:rsidP="00E90CEA">
      <w:pPr>
        <w:pStyle w:val="SingleTxtG"/>
        <w:spacing w:before="120"/>
      </w:pPr>
      <w:r w:rsidRPr="00C153B8">
        <w:tab/>
        <w:t xml:space="preserve">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конструктивных особенностей для класса </w:t>
      </w:r>
      <w:r>
        <w:t>III</w:t>
      </w:r>
      <w:r w:rsidRPr="00C153B8">
        <w:t xml:space="preserve"> в </w:t>
      </w:r>
      <w:r w:rsidRPr="00C153B8">
        <w:lastRenderedPageBreak/>
        <w:t>Нидерландах (</w:t>
      </w:r>
      <w:r>
        <w:t>E</w:t>
      </w:r>
      <w:r w:rsidRPr="00C153B8">
        <w:t xml:space="preserve">4) на основании Правил № 107 </w:t>
      </w:r>
      <w:r>
        <w:t xml:space="preserve">ООН </w:t>
      </w:r>
      <w:r w:rsidRPr="00C153B8">
        <w:t>под номером официального утверждения 092439. Номер официального утверждения указывает на то, что официальное утверждение было предоставлено в соответствии с требованиями Правил</w:t>
      </w:r>
      <w:r w:rsidR="008619A7">
        <w:t> </w:t>
      </w:r>
      <w:r w:rsidRPr="00C153B8">
        <w:t xml:space="preserve">№ 107 </w:t>
      </w:r>
      <w:r>
        <w:t xml:space="preserve">ООН </w:t>
      </w:r>
      <w:r w:rsidRPr="00C153B8">
        <w:t>с внесенными в них поправками серии 09.</w:t>
      </w:r>
    </w:p>
    <w:p w14:paraId="7A0CC42B" w14:textId="77777777" w:rsidR="00E90CEA" w:rsidRPr="008619A7" w:rsidRDefault="008619A7" w:rsidP="008619A7">
      <w:pPr>
        <w:pStyle w:val="1"/>
        <w:keepLines/>
        <w:spacing w:before="200"/>
        <w:ind w:left="1134"/>
        <w:jc w:val="left"/>
        <w:rPr>
          <w:b w:val="0"/>
          <w:bCs w:val="0"/>
        </w:rPr>
      </w:pPr>
      <w:bookmarkStart w:id="5" w:name="_Toc381693801"/>
      <w:r>
        <w:tab/>
      </w:r>
      <w:r w:rsidR="00E90CEA" w:rsidRPr="008619A7">
        <w:rPr>
          <w:b w:val="0"/>
          <w:bCs w:val="0"/>
        </w:rPr>
        <w:t>Образец В</w:t>
      </w:r>
      <w:r w:rsidRPr="008619A7">
        <w:rPr>
          <w:b w:val="0"/>
          <w:bCs w:val="0"/>
        </w:rPr>
        <w:br/>
      </w:r>
      <w:r w:rsidR="00E90CEA" w:rsidRPr="008619A7">
        <w:rPr>
          <w:b w:val="0"/>
          <w:bCs w:val="0"/>
        </w:rPr>
        <w:t>(см. пункт 4.5 настоящих Правил)</w:t>
      </w:r>
    </w:p>
    <w:bookmarkEnd w:id="5"/>
    <w:p w14:paraId="56CEA539" w14:textId="77777777" w:rsidR="00E90CEA" w:rsidRPr="008619A7" w:rsidRDefault="00E90CEA" w:rsidP="00E90CEA">
      <w:pPr>
        <w:rPr>
          <w:sz w:val="2"/>
          <w:szCs w:val="2"/>
        </w:rPr>
      </w:pPr>
    </w:p>
    <w:p w14:paraId="50A5626F" w14:textId="77777777" w:rsidR="00E90CEA" w:rsidRPr="00775EBE" w:rsidRDefault="00E90CEA" w:rsidP="00E90CEA">
      <w:pPr>
        <w:ind w:left="1134"/>
        <w:rPr>
          <w:sz w:val="2"/>
          <w:szCs w:val="2"/>
        </w:rPr>
      </w:pPr>
      <w:r>
        <w:rPr>
          <w:noProof/>
        </w:rPr>
        <w:drawing>
          <wp:anchor distT="0" distB="0" distL="114300" distR="114300" simplePos="0" relativeHeight="251660288" behindDoc="0" locked="0" layoutInCell="1" allowOverlap="1" wp14:anchorId="0C472DA6" wp14:editId="21AEFA92">
            <wp:simplePos x="0" y="0"/>
            <wp:positionH relativeFrom="column">
              <wp:posOffset>3829050</wp:posOffset>
            </wp:positionH>
            <wp:positionV relativeFrom="paragraph">
              <wp:posOffset>304800</wp:posOffset>
            </wp:positionV>
            <wp:extent cx="1047750" cy="285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7750" cy="285750"/>
                    </a:xfrm>
                    <a:prstGeom prst="rect">
                      <a:avLst/>
                    </a:prstGeom>
                  </pic:spPr>
                </pic:pic>
              </a:graphicData>
            </a:graphic>
          </wp:anchor>
        </w:drawing>
      </w:r>
      <w:r w:rsidRPr="004F1386">
        <w:rPr>
          <w:noProof/>
        </w:rPr>
        <w:drawing>
          <wp:inline distT="0" distB="0" distL="0" distR="0" wp14:anchorId="50CF6E88" wp14:editId="40D039CA">
            <wp:extent cx="5029200" cy="1009650"/>
            <wp:effectExtent l="0" t="0" r="0" b="0"/>
            <wp:docPr id="5" name="Picture 3" descr="Reg107 Annex2 Model B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107 Annex2 Model B fr"/>
                    <pic:cNvPicPr>
                      <a:picLocks noChangeAspect="1" noChangeArrowheads="1"/>
                    </pic:cNvPicPr>
                  </pic:nvPicPr>
                  <pic:blipFill>
                    <a:blip r:embed="rId10" cstate="print">
                      <a:extLst>
                        <a:ext uri="{28A0092B-C50C-407E-A947-70E740481C1C}">
                          <a14:useLocalDpi xmlns:a14="http://schemas.microsoft.com/office/drawing/2010/main" val="0"/>
                        </a:ext>
                      </a:extLst>
                    </a:blip>
                    <a:srcRect t="12053"/>
                    <a:stretch>
                      <a:fillRect/>
                    </a:stretch>
                  </pic:blipFill>
                  <pic:spPr bwMode="auto">
                    <a:xfrm>
                      <a:off x="0" y="0"/>
                      <a:ext cx="5029200" cy="1009650"/>
                    </a:xfrm>
                    <a:prstGeom prst="rect">
                      <a:avLst/>
                    </a:prstGeom>
                    <a:noFill/>
                    <a:ln>
                      <a:noFill/>
                    </a:ln>
                  </pic:spPr>
                </pic:pic>
              </a:graphicData>
            </a:graphic>
          </wp:inline>
        </w:drawing>
      </w:r>
    </w:p>
    <w:p w14:paraId="73BE1749" w14:textId="77777777" w:rsidR="00E90CEA" w:rsidRDefault="00E90CEA" w:rsidP="00E90CEA">
      <w:pPr>
        <w:pStyle w:val="SingleTxtG"/>
        <w:jc w:val="right"/>
      </w:pPr>
      <w:r>
        <w:t>a = 8 мм мин.</w:t>
      </w:r>
    </w:p>
    <w:p w14:paraId="5E9038FD" w14:textId="77777777" w:rsidR="00E90CEA" w:rsidRPr="00775EBE" w:rsidRDefault="00E90CEA" w:rsidP="00E90CEA">
      <w:pPr>
        <w:pStyle w:val="SingleTxtG"/>
        <w:jc w:val="right"/>
        <w:rPr>
          <w:sz w:val="2"/>
          <w:szCs w:val="2"/>
        </w:rPr>
      </w:pPr>
    </w:p>
    <w:p w14:paraId="5DE72A49" w14:textId="77777777" w:rsidR="00E90CEA" w:rsidRPr="00C153B8" w:rsidRDefault="00E90CEA" w:rsidP="00E90CEA">
      <w:pPr>
        <w:pStyle w:val="SingleTxtG"/>
      </w:pPr>
      <w:r>
        <w:tab/>
      </w:r>
      <w:r w:rsidRPr="00C153B8">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Нидерландах (</w:t>
      </w:r>
      <w:r>
        <w:t>E</w:t>
      </w:r>
      <w:r w:rsidRPr="00C153B8">
        <w:t>4) на основании правил № 107 и 43</w:t>
      </w:r>
      <w:r>
        <w:t xml:space="preserve"> ООН</w:t>
      </w:r>
      <w:r w:rsidRPr="008619A7">
        <w:rPr>
          <w:rStyle w:val="aa"/>
          <w:sz w:val="20"/>
          <w:vertAlign w:val="baseline"/>
        </w:rPr>
        <w:footnoteReference w:customMarkFollows="1" w:id="3"/>
        <w:t>*</w:t>
      </w:r>
      <w:r w:rsidRPr="00C153B8">
        <w:t>. Первые две цифры номера официального утверждения указывают на то, что в момент предоставления официального утверждения Правила № 107</w:t>
      </w:r>
      <w:r>
        <w:t xml:space="preserve"> ООН</w:t>
      </w:r>
      <w:r w:rsidRPr="00C153B8">
        <w:t xml:space="preserve"> включали поправки серии 09, а Правила № 43 </w:t>
      </w:r>
      <w:r>
        <w:t xml:space="preserve">ООН </w:t>
      </w:r>
      <w:r w:rsidRPr="00C153B8">
        <w:t>были в первоначальном варианте.</w:t>
      </w:r>
    </w:p>
    <w:p w14:paraId="084E0D56" w14:textId="77777777" w:rsidR="00E90CEA" w:rsidRPr="008619A7" w:rsidRDefault="00E90CEA" w:rsidP="008619A7">
      <w:pPr>
        <w:pStyle w:val="1"/>
        <w:keepLines/>
        <w:spacing w:before="200"/>
        <w:ind w:left="1134"/>
        <w:jc w:val="left"/>
        <w:rPr>
          <w:b w:val="0"/>
          <w:bCs w:val="0"/>
        </w:rPr>
      </w:pPr>
      <w:bookmarkStart w:id="6" w:name="_Toc381693802"/>
      <w:r w:rsidRPr="008619A7">
        <w:rPr>
          <w:b w:val="0"/>
          <w:bCs w:val="0"/>
        </w:rPr>
        <w:t>Образец С</w:t>
      </w:r>
      <w:r w:rsidR="008619A7" w:rsidRPr="008619A7">
        <w:rPr>
          <w:b w:val="0"/>
          <w:bCs w:val="0"/>
        </w:rPr>
        <w:br/>
      </w:r>
      <w:r w:rsidRPr="008619A7">
        <w:rPr>
          <w:b w:val="0"/>
          <w:bCs w:val="0"/>
        </w:rPr>
        <w:t>(см. пункт 4.4.3 настоящих Правил)</w:t>
      </w:r>
    </w:p>
    <w:bookmarkEnd w:id="6"/>
    <w:p w14:paraId="3562556A" w14:textId="77777777" w:rsidR="00E90CEA" w:rsidRPr="00775EBE" w:rsidRDefault="00E90CEA" w:rsidP="00E90CEA">
      <w:pPr>
        <w:pStyle w:val="SingleTxtG"/>
        <w:keepNext/>
        <w:keepLines/>
        <w:spacing w:after="0"/>
        <w:rPr>
          <w:sz w:val="2"/>
          <w:szCs w:val="2"/>
        </w:rPr>
      </w:pPr>
    </w:p>
    <w:p w14:paraId="18738DB1" w14:textId="77777777" w:rsidR="00E90CEA" w:rsidRDefault="00E90CEA" w:rsidP="00E90CEA">
      <w:pPr>
        <w:pStyle w:val="SingleTxtG"/>
      </w:pPr>
      <w:r>
        <w:rPr>
          <w:noProof/>
        </w:rPr>
        <w:drawing>
          <wp:anchor distT="0" distB="0" distL="114300" distR="114300" simplePos="0" relativeHeight="251661312" behindDoc="0" locked="0" layoutInCell="1" allowOverlap="1" wp14:anchorId="0F45C0D2" wp14:editId="0202E1E1">
            <wp:simplePos x="0" y="0"/>
            <wp:positionH relativeFrom="column">
              <wp:posOffset>3966210</wp:posOffset>
            </wp:positionH>
            <wp:positionV relativeFrom="paragraph">
              <wp:posOffset>302895</wp:posOffset>
            </wp:positionV>
            <wp:extent cx="1047750" cy="285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7750" cy="285750"/>
                    </a:xfrm>
                    <a:prstGeom prst="rect">
                      <a:avLst/>
                    </a:prstGeom>
                  </pic:spPr>
                </pic:pic>
              </a:graphicData>
            </a:graphic>
          </wp:anchor>
        </w:drawing>
      </w:r>
      <w:r w:rsidRPr="00BB0F2D">
        <w:rPr>
          <w:noProof/>
          <w:spacing w:val="-2"/>
        </w:rPr>
        <w:drawing>
          <wp:inline distT="0" distB="0" distL="0" distR="0" wp14:anchorId="43A020F2" wp14:editId="711CC432">
            <wp:extent cx="4724400" cy="800100"/>
            <wp:effectExtent l="0" t="0" r="0" b="0"/>
            <wp:docPr id="8" name="Picture 2" descr="Reg107 Annex2 Model 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107 Annex2 Model C fr"/>
                    <pic:cNvPicPr>
                      <a:picLocks noChangeAspect="1" noChangeArrowheads="1"/>
                    </pic:cNvPicPr>
                  </pic:nvPicPr>
                  <pic:blipFill>
                    <a:blip r:embed="rId11" cstate="print">
                      <a:extLst>
                        <a:ext uri="{28A0092B-C50C-407E-A947-70E740481C1C}">
                          <a14:useLocalDpi xmlns:a14="http://schemas.microsoft.com/office/drawing/2010/main" val="0"/>
                        </a:ext>
                      </a:extLst>
                    </a:blip>
                    <a:srcRect t="23636"/>
                    <a:stretch>
                      <a:fillRect/>
                    </a:stretch>
                  </pic:blipFill>
                  <pic:spPr bwMode="auto">
                    <a:xfrm>
                      <a:off x="0" y="0"/>
                      <a:ext cx="4724400" cy="800100"/>
                    </a:xfrm>
                    <a:prstGeom prst="rect">
                      <a:avLst/>
                    </a:prstGeom>
                    <a:noFill/>
                    <a:ln>
                      <a:noFill/>
                    </a:ln>
                  </pic:spPr>
                </pic:pic>
              </a:graphicData>
            </a:graphic>
          </wp:inline>
        </w:drawing>
      </w:r>
    </w:p>
    <w:p w14:paraId="240F6C09" w14:textId="77777777" w:rsidR="00E90CEA" w:rsidRPr="00C153B8" w:rsidRDefault="00E90CEA" w:rsidP="00E90CEA">
      <w:pPr>
        <w:pStyle w:val="SingleTxtG"/>
        <w:tabs>
          <w:tab w:val="left" w:pos="6800"/>
        </w:tabs>
        <w:jc w:val="right"/>
        <w:rPr>
          <w:caps/>
        </w:rPr>
      </w:pPr>
      <w:r>
        <w:t>a</w:t>
      </w:r>
      <w:r w:rsidRPr="00C153B8">
        <w:t xml:space="preserve"> = 8 </w:t>
      </w:r>
      <w:r>
        <w:t>мм мин.</w:t>
      </w:r>
    </w:p>
    <w:p w14:paraId="7EB0599A" w14:textId="77777777" w:rsidR="00E90CEA" w:rsidRPr="00C153B8" w:rsidRDefault="00E90CEA" w:rsidP="00E90CEA">
      <w:pPr>
        <w:pStyle w:val="SingleTxtG"/>
        <w:spacing w:after="0"/>
        <w:rPr>
          <w:sz w:val="2"/>
          <w:szCs w:val="2"/>
        </w:rPr>
      </w:pPr>
    </w:p>
    <w:p w14:paraId="4E6A5BF6" w14:textId="77777777" w:rsidR="00E90CEA" w:rsidRPr="009000CE" w:rsidRDefault="00E90CEA" w:rsidP="00E90CEA">
      <w:pPr>
        <w:pStyle w:val="SingleTxtG"/>
      </w:pPr>
      <w:r w:rsidRPr="00C153B8">
        <w:tab/>
        <w:t>Приведенный выше знак официального утверждения, проставленный на кузове транспортного средства, указывает, что данный тип кузова был официально утвержден отдельно в Нидерландах (</w:t>
      </w:r>
      <w:r>
        <w:t>E</w:t>
      </w:r>
      <w:r w:rsidRPr="00C153B8">
        <w:t>4) в отношении конструктивных особенностей для класса</w:t>
      </w:r>
      <w:r>
        <w:t> III</w:t>
      </w:r>
      <w:r w:rsidRPr="00C153B8">
        <w:t xml:space="preserve"> в качестве отдельного кузова на основании Правил № 107 </w:t>
      </w:r>
      <w:r>
        <w:t xml:space="preserve">ООН </w:t>
      </w:r>
      <w:r w:rsidRPr="00C153B8">
        <w:t xml:space="preserve">под номером официального утверждения 092439. Номер официального утверждения указывает на то, что официальное утверждение было предоставлено в соответствии с требованиями Правил № 107 </w:t>
      </w:r>
      <w:r>
        <w:t xml:space="preserve">ООН </w:t>
      </w:r>
      <w:r w:rsidRPr="00C153B8">
        <w:t>с внесенными в них поправками серии 09</w:t>
      </w:r>
      <w:r>
        <w:t>»</w:t>
      </w:r>
      <w:r w:rsidR="008E7C56">
        <w:t>.</w:t>
      </w:r>
    </w:p>
    <w:p w14:paraId="6156BF50" w14:textId="77777777" w:rsidR="00E90CEA" w:rsidRPr="001E0A6F" w:rsidRDefault="00E90CEA" w:rsidP="00E90CEA">
      <w:pPr>
        <w:pStyle w:val="SingleTxtG"/>
        <w:rPr>
          <w:rFonts w:asciiTheme="majorBidi" w:hAnsiTheme="majorBidi" w:cstheme="majorBidi"/>
          <w:i/>
        </w:rPr>
      </w:pPr>
      <w:r>
        <w:rPr>
          <w:rFonts w:asciiTheme="majorBidi" w:hAnsiTheme="majorBidi" w:cstheme="majorBidi"/>
          <w:i/>
        </w:rPr>
        <w:t>Приложение</w:t>
      </w:r>
      <w:r w:rsidRPr="001E0A6F">
        <w:rPr>
          <w:rFonts w:asciiTheme="majorBidi" w:hAnsiTheme="majorBidi" w:cstheme="majorBidi"/>
          <w:i/>
        </w:rPr>
        <w:t xml:space="preserve"> 3 </w:t>
      </w:r>
    </w:p>
    <w:p w14:paraId="57F63CD3" w14:textId="77777777" w:rsidR="00E90CEA" w:rsidRPr="001E0A6F" w:rsidRDefault="00E90CEA" w:rsidP="00E90CEA">
      <w:pPr>
        <w:pStyle w:val="SingleTxtG"/>
        <w:tabs>
          <w:tab w:val="left" w:pos="8505"/>
        </w:tabs>
        <w:rPr>
          <w:rFonts w:asciiTheme="majorBidi" w:hAnsiTheme="majorBidi" w:cstheme="majorBidi"/>
          <w:i/>
        </w:rPr>
      </w:pPr>
      <w:r>
        <w:rPr>
          <w:rFonts w:asciiTheme="majorBidi" w:hAnsiTheme="majorBidi" w:cstheme="majorBidi"/>
          <w:i/>
        </w:rPr>
        <w:t>П</w:t>
      </w:r>
      <w:r w:rsidRPr="001E0A6F">
        <w:rPr>
          <w:i/>
          <w:iCs/>
        </w:rPr>
        <w:t>ункт 7.5.1.5.1</w:t>
      </w:r>
      <w:r w:rsidRPr="001E0A6F">
        <w:t xml:space="preserve"> изменить следующим образом</w:t>
      </w:r>
      <w:r w:rsidRPr="001E0A6F">
        <w:rPr>
          <w:rFonts w:asciiTheme="majorBidi" w:hAnsiTheme="majorBidi" w:cstheme="majorBidi"/>
          <w:iCs/>
        </w:rPr>
        <w:t>:</w:t>
      </w:r>
    </w:p>
    <w:p w14:paraId="1C883F8C" w14:textId="77777777" w:rsidR="00E90CEA" w:rsidRPr="001E0A6F" w:rsidRDefault="00E90CEA" w:rsidP="00E90CEA">
      <w:pPr>
        <w:pStyle w:val="SingleTxtG"/>
        <w:ind w:left="2268" w:hanging="1134"/>
      </w:pPr>
      <w:r>
        <w:rPr>
          <w:rFonts w:asciiTheme="majorBidi" w:hAnsiTheme="majorBidi" w:cstheme="majorBidi"/>
        </w:rPr>
        <w:t>«</w:t>
      </w:r>
      <w:r w:rsidRPr="001E0A6F">
        <w:rPr>
          <w:rFonts w:asciiTheme="majorBidi" w:hAnsiTheme="majorBidi" w:cstheme="majorBidi"/>
        </w:rPr>
        <w:t>7.5.1.5.1</w:t>
      </w:r>
      <w:r w:rsidRPr="001E0A6F">
        <w:rPr>
          <w:rFonts w:asciiTheme="majorBidi" w:hAnsiTheme="majorBidi" w:cstheme="majorBidi"/>
        </w:rPr>
        <w:tab/>
      </w:r>
      <w:r w:rsidRPr="001E0A6F">
        <w:t>Система аварийной сигнализации и система пожаротушения, если они установлены, должны автоматически включаться с помощью соответствующей системы выявления возгорания. Эта система выявления должна быть сконструирована таким образом, чтобы она могла выявить избыточную по отношению к контрольной температуру, согласно указаниям изготовителя, при обычной эксплуатации в моторном отделении и в каждом из отделений, в котором находится отопительное устройство, работающее на выхлопных газах.</w:t>
      </w:r>
    </w:p>
    <w:p w14:paraId="31FAAFFB" w14:textId="77777777" w:rsidR="00E90CEA" w:rsidRPr="001E0A6F" w:rsidRDefault="00E90CEA" w:rsidP="00E90CEA">
      <w:pPr>
        <w:pStyle w:val="SingleTxtG"/>
        <w:ind w:left="2268"/>
        <w:rPr>
          <w:rFonts w:asciiTheme="majorBidi" w:hAnsiTheme="majorBidi" w:cstheme="majorBidi"/>
        </w:rPr>
      </w:pPr>
      <w:r>
        <w:lastRenderedPageBreak/>
        <w:t>На момент</w:t>
      </w:r>
      <w:r w:rsidRPr="001E0A6F">
        <w:rPr>
          <w:b/>
          <w:bCs/>
        </w:rPr>
        <w:t xml:space="preserve"> </w:t>
      </w:r>
      <w:r w:rsidRPr="001E0A6F">
        <w:t>официального утверждения типа эту систему выявления избыточной температуры проверяет техническая служба в соответствии с рекомендациями изготовителя.</w:t>
      </w:r>
    </w:p>
    <w:p w14:paraId="793E0D04" w14:textId="77777777" w:rsidR="00E90CEA" w:rsidRPr="002B064B" w:rsidRDefault="00E90CEA" w:rsidP="00E90CEA">
      <w:pPr>
        <w:pStyle w:val="SingleTxtG"/>
        <w:ind w:left="2268"/>
        <w:rPr>
          <w:rFonts w:asciiTheme="majorBidi" w:hAnsiTheme="majorBidi" w:cstheme="majorBidi"/>
        </w:rPr>
      </w:pPr>
      <w:r w:rsidRPr="001E0A6F">
        <w:t>В качестве альтернативы система пожаротушения может активироваться автоматически другими способами при условии, что срабатывает система аварийной сигнализации</w:t>
      </w:r>
      <w:r>
        <w:rPr>
          <w:rFonts w:asciiTheme="majorBidi" w:hAnsiTheme="majorBidi" w:cstheme="majorBidi"/>
        </w:rPr>
        <w:t>»</w:t>
      </w:r>
      <w:r w:rsidR="009A5737">
        <w:rPr>
          <w:rFonts w:asciiTheme="majorBidi" w:hAnsiTheme="majorBidi" w:cstheme="majorBidi"/>
        </w:rPr>
        <w:t>.</w:t>
      </w:r>
    </w:p>
    <w:p w14:paraId="5C8654AD" w14:textId="77777777" w:rsidR="00E90CEA" w:rsidRPr="002B064B" w:rsidRDefault="00E90CEA" w:rsidP="00E90CEA">
      <w:pPr>
        <w:pStyle w:val="SingleTxtG"/>
        <w:tabs>
          <w:tab w:val="left" w:pos="8505"/>
        </w:tabs>
        <w:spacing w:before="240"/>
        <w:ind w:right="1133"/>
        <w:rPr>
          <w:rFonts w:asciiTheme="majorBidi" w:hAnsiTheme="majorBidi" w:cstheme="majorBidi"/>
          <w:i/>
        </w:rPr>
      </w:pPr>
      <w:r>
        <w:rPr>
          <w:rFonts w:asciiTheme="majorBidi" w:hAnsiTheme="majorBidi" w:cstheme="majorBidi"/>
          <w:i/>
        </w:rPr>
        <w:t>В</w:t>
      </w:r>
      <w:r w:rsidRPr="002B064B">
        <w:rPr>
          <w:i/>
          <w:iCs/>
        </w:rPr>
        <w:t>ключить новые пункты 7.5.7 и 7.5.7.1</w:t>
      </w:r>
      <w:r w:rsidRPr="002B064B">
        <w:t xml:space="preserve"> следующего содержания:</w:t>
      </w:r>
    </w:p>
    <w:p w14:paraId="286B655D" w14:textId="77777777" w:rsidR="00E90CEA" w:rsidRPr="00074E9A" w:rsidRDefault="00E90CEA" w:rsidP="00E90CEA">
      <w:pPr>
        <w:pStyle w:val="SingleTxtG"/>
        <w:ind w:left="2268" w:hanging="1134"/>
        <w:rPr>
          <w:rFonts w:asciiTheme="majorBidi" w:hAnsiTheme="majorBidi" w:cstheme="majorBidi"/>
          <w:bCs/>
        </w:rPr>
      </w:pPr>
      <w:r>
        <w:rPr>
          <w:rFonts w:asciiTheme="majorBidi" w:hAnsiTheme="majorBidi" w:cstheme="majorBidi"/>
        </w:rPr>
        <w:t>«</w:t>
      </w:r>
      <w:r w:rsidRPr="00074E9A">
        <w:rPr>
          <w:rFonts w:asciiTheme="majorBidi" w:hAnsiTheme="majorBidi" w:cstheme="majorBidi"/>
        </w:rPr>
        <w:t>7.5.7</w:t>
      </w:r>
      <w:r w:rsidRPr="00074E9A">
        <w:rPr>
          <w:rFonts w:asciiTheme="majorBidi" w:hAnsiTheme="majorBidi" w:cstheme="majorBidi"/>
        </w:rPr>
        <w:tab/>
      </w:r>
      <w:r w:rsidRPr="00074E9A">
        <w:rPr>
          <w:bCs/>
        </w:rPr>
        <w:tab/>
        <w:t>Возгорание</w:t>
      </w:r>
    </w:p>
    <w:p w14:paraId="3B1C6592" w14:textId="77777777" w:rsidR="00E90CEA" w:rsidRPr="00074E9A" w:rsidRDefault="00E90CEA" w:rsidP="00E90CEA">
      <w:pPr>
        <w:pStyle w:val="SingleTxtG"/>
        <w:tabs>
          <w:tab w:val="clear" w:pos="1701"/>
        </w:tabs>
        <w:ind w:left="2268" w:hanging="1134"/>
        <w:rPr>
          <w:rFonts w:asciiTheme="majorBidi" w:hAnsiTheme="majorBidi" w:cstheme="majorBidi"/>
          <w:bCs/>
        </w:rPr>
      </w:pPr>
      <w:r w:rsidRPr="00074E9A">
        <w:rPr>
          <w:bCs/>
        </w:rPr>
        <w:t>7.5.7.1</w:t>
      </w:r>
      <w:r w:rsidRPr="00074E9A">
        <w:rPr>
          <w:bCs/>
        </w:rPr>
        <w:tab/>
        <w:t xml:space="preserve">В случае транспортных средств классов </w:t>
      </w:r>
      <w:r w:rsidRPr="00B666AE">
        <w:rPr>
          <w:bCs/>
        </w:rPr>
        <w:t>I</w:t>
      </w:r>
      <w:r w:rsidRPr="00074E9A">
        <w:rPr>
          <w:bCs/>
        </w:rPr>
        <w:t xml:space="preserve">, </w:t>
      </w:r>
      <w:r w:rsidRPr="00B666AE">
        <w:rPr>
          <w:bCs/>
        </w:rPr>
        <w:t>II</w:t>
      </w:r>
      <w:r w:rsidRPr="00074E9A">
        <w:rPr>
          <w:bCs/>
        </w:rPr>
        <w:t xml:space="preserve">, </w:t>
      </w:r>
      <w:r w:rsidRPr="00B666AE">
        <w:rPr>
          <w:bCs/>
        </w:rPr>
        <w:t>III</w:t>
      </w:r>
      <w:r w:rsidRPr="00074E9A">
        <w:rPr>
          <w:bCs/>
        </w:rPr>
        <w:t xml:space="preserve"> и </w:t>
      </w:r>
      <w:r w:rsidRPr="00B666AE">
        <w:rPr>
          <w:bCs/>
        </w:rPr>
        <w:t>B</w:t>
      </w:r>
      <w:r w:rsidRPr="00074E9A">
        <w:rPr>
          <w:bCs/>
        </w:rPr>
        <w:t>, в которых двигатель расположен позади отделения водителя, при срабатывании системы аварийной сигнализации:</w:t>
      </w:r>
    </w:p>
    <w:p w14:paraId="4B716223" w14:textId="77777777" w:rsidR="00E90CEA" w:rsidRPr="00074E9A" w:rsidRDefault="00E90CEA" w:rsidP="00E90CEA">
      <w:pPr>
        <w:tabs>
          <w:tab w:val="left" w:pos="1418"/>
          <w:tab w:val="left" w:pos="8505"/>
        </w:tabs>
        <w:spacing w:after="120"/>
        <w:ind w:left="2835" w:right="1134" w:hanging="567"/>
        <w:jc w:val="both"/>
        <w:rPr>
          <w:bCs/>
        </w:rPr>
      </w:pPr>
      <w:r>
        <w:rPr>
          <w:rFonts w:asciiTheme="majorBidi" w:hAnsiTheme="majorBidi" w:cstheme="majorBidi"/>
        </w:rPr>
        <w:t>a</w:t>
      </w:r>
      <w:r w:rsidRPr="00074E9A">
        <w:rPr>
          <w:rFonts w:asciiTheme="majorBidi" w:hAnsiTheme="majorBidi" w:cstheme="majorBidi"/>
        </w:rPr>
        <w:t>)</w:t>
      </w:r>
      <w:r w:rsidRPr="00074E9A">
        <w:rPr>
          <w:bCs/>
        </w:rPr>
        <w:tab/>
        <w:t>должна автоматически активироваться система аварийного освещения</w:t>
      </w:r>
      <w:r>
        <w:rPr>
          <w:bCs/>
        </w:rPr>
        <w:t xml:space="preserve">, </w:t>
      </w:r>
      <w:r w:rsidRPr="00074E9A">
        <w:rPr>
          <w:bCs/>
        </w:rPr>
        <w:t>если она установлена</w:t>
      </w:r>
      <w:r>
        <w:rPr>
          <w:bCs/>
        </w:rPr>
        <w:t>,</w:t>
      </w:r>
      <w:r w:rsidRPr="00074E9A">
        <w:rPr>
          <w:bCs/>
        </w:rPr>
        <w:t xml:space="preserve"> в соответствии с пунктом</w:t>
      </w:r>
      <w:r w:rsidRPr="00B666AE">
        <w:rPr>
          <w:bCs/>
        </w:rPr>
        <w:t> </w:t>
      </w:r>
      <w:r w:rsidRPr="00074E9A">
        <w:rPr>
          <w:bCs/>
        </w:rPr>
        <w:t xml:space="preserve">7.8.3 и </w:t>
      </w:r>
    </w:p>
    <w:p w14:paraId="57CEB939" w14:textId="77777777" w:rsidR="00E90CEA" w:rsidRPr="00074E9A" w:rsidRDefault="00E90CEA" w:rsidP="00E90CEA">
      <w:pPr>
        <w:tabs>
          <w:tab w:val="left" w:pos="1418"/>
          <w:tab w:val="left" w:pos="8505"/>
        </w:tabs>
        <w:spacing w:after="120"/>
        <w:ind w:left="2835" w:right="1134" w:hanging="567"/>
        <w:contextualSpacing/>
        <w:jc w:val="both"/>
        <w:rPr>
          <w:bCs/>
        </w:rPr>
      </w:pPr>
      <w:r>
        <w:rPr>
          <w:rFonts w:asciiTheme="majorBidi" w:hAnsiTheme="majorBidi" w:cstheme="majorBidi"/>
        </w:rPr>
        <w:t>b</w:t>
      </w:r>
      <w:r w:rsidRPr="00074E9A">
        <w:rPr>
          <w:rFonts w:asciiTheme="majorBidi" w:hAnsiTheme="majorBidi" w:cstheme="majorBidi"/>
        </w:rPr>
        <w:t>)</w:t>
      </w:r>
      <w:r w:rsidRPr="00074E9A">
        <w:rPr>
          <w:bCs/>
        </w:rPr>
        <w:tab/>
        <w:t>после однократного осознанного воздействия водителя на любой из механизмов управления дверью в кабине водителя все двери с механическим приводом, расположенные с ближней к обочине стороны транспортного средства, соответствующей направлению движения, с учетом которого это транспортное средство сконструировано, должны быть открыты и должны оставаться в открытом положении.</w:t>
      </w:r>
    </w:p>
    <w:p w14:paraId="30A497C0" w14:textId="77777777" w:rsidR="00E90CEA" w:rsidRPr="00074E9A" w:rsidRDefault="00E90CEA" w:rsidP="00E90CEA">
      <w:pPr>
        <w:pStyle w:val="SingleTxtG"/>
        <w:tabs>
          <w:tab w:val="clear" w:pos="1701"/>
        </w:tabs>
        <w:ind w:left="2268" w:hanging="1134"/>
        <w:rPr>
          <w:bCs/>
        </w:rPr>
      </w:pPr>
      <w:r w:rsidRPr="00074E9A">
        <w:rPr>
          <w:bCs/>
        </w:rPr>
        <w:tab/>
        <w:t>Это положение применяется, если транспортное средство находится в неподвижном состоянии или движется со скоростью не более 3</w:t>
      </w:r>
      <w:r w:rsidRPr="00B666AE">
        <w:rPr>
          <w:bCs/>
        </w:rPr>
        <w:t> </w:t>
      </w:r>
      <w:r w:rsidRPr="00074E9A">
        <w:rPr>
          <w:bCs/>
        </w:rPr>
        <w:t>км/ч.</w:t>
      </w:r>
    </w:p>
    <w:p w14:paraId="355E64A3" w14:textId="77777777" w:rsidR="00E90CEA" w:rsidRPr="00636142" w:rsidRDefault="00E90CEA" w:rsidP="00E90CEA">
      <w:pPr>
        <w:pStyle w:val="SingleTxtG"/>
        <w:tabs>
          <w:tab w:val="clear" w:pos="1701"/>
        </w:tabs>
        <w:ind w:left="2268" w:hanging="1134"/>
        <w:rPr>
          <w:rFonts w:asciiTheme="majorBidi" w:hAnsiTheme="majorBidi" w:cstheme="majorBidi"/>
        </w:rPr>
      </w:pPr>
      <w:r w:rsidRPr="00074E9A">
        <w:rPr>
          <w:bCs/>
        </w:rPr>
        <w:tab/>
        <w:t>Повторное воздействие на механизм открывания двери не должно приводить к закрыванию двери во избежание ее непреднамеренного закрытия в аварийной ситуац</w:t>
      </w:r>
      <w:r>
        <w:rPr>
          <w:bCs/>
        </w:rPr>
        <w:t>ии</w:t>
      </w:r>
      <w:r>
        <w:rPr>
          <w:rFonts w:asciiTheme="majorBidi" w:hAnsiTheme="majorBidi" w:cstheme="majorBidi"/>
        </w:rPr>
        <w:t>»</w:t>
      </w:r>
      <w:r w:rsidR="00011E57">
        <w:rPr>
          <w:rFonts w:asciiTheme="majorBidi" w:hAnsiTheme="majorBidi" w:cstheme="majorBidi"/>
        </w:rPr>
        <w:t>.</w:t>
      </w:r>
    </w:p>
    <w:p w14:paraId="01478A6D" w14:textId="77777777" w:rsidR="00E90CEA" w:rsidRPr="00636142" w:rsidRDefault="00E90CEA" w:rsidP="00E90CEA">
      <w:pPr>
        <w:pStyle w:val="SingleTxtG"/>
        <w:tabs>
          <w:tab w:val="left" w:pos="8505"/>
        </w:tabs>
        <w:rPr>
          <w:rFonts w:asciiTheme="majorBidi" w:hAnsiTheme="majorBidi" w:cstheme="majorBidi"/>
          <w:i/>
        </w:rPr>
      </w:pPr>
      <w:r w:rsidRPr="00D2669D">
        <w:rPr>
          <w:rFonts w:asciiTheme="majorBidi" w:hAnsiTheme="majorBidi" w:cstheme="majorBidi"/>
          <w:i/>
        </w:rPr>
        <w:t>В</w:t>
      </w:r>
      <w:r w:rsidRPr="00D2669D">
        <w:rPr>
          <w:i/>
        </w:rPr>
        <w:t>ключить новый пункт 7.19</w:t>
      </w:r>
      <w:r w:rsidRPr="00636142">
        <w:t xml:space="preserve"> следующего содержания:</w:t>
      </w:r>
    </w:p>
    <w:p w14:paraId="30961678" w14:textId="77777777" w:rsidR="00E90CEA" w:rsidRPr="006F77F4" w:rsidRDefault="00E90CEA" w:rsidP="00E90CEA">
      <w:pPr>
        <w:pStyle w:val="SingleTxtG"/>
        <w:tabs>
          <w:tab w:val="clear" w:pos="1701"/>
        </w:tabs>
        <w:ind w:left="2268" w:hanging="1134"/>
        <w:rPr>
          <w:rFonts w:asciiTheme="majorBidi" w:hAnsiTheme="majorBidi" w:cstheme="majorBidi"/>
        </w:rPr>
      </w:pPr>
      <w:r>
        <w:rPr>
          <w:rFonts w:asciiTheme="majorBidi" w:hAnsiTheme="majorBidi" w:cstheme="majorBidi"/>
        </w:rPr>
        <w:t>«</w:t>
      </w:r>
      <w:r w:rsidRPr="006F77F4">
        <w:rPr>
          <w:rFonts w:asciiTheme="majorBidi" w:hAnsiTheme="majorBidi" w:cstheme="majorBidi"/>
        </w:rPr>
        <w:t>7.19</w:t>
      </w:r>
      <w:r w:rsidRPr="006F77F4">
        <w:rPr>
          <w:rFonts w:asciiTheme="majorBidi" w:hAnsiTheme="majorBidi" w:cstheme="majorBidi"/>
        </w:rPr>
        <w:tab/>
      </w:r>
      <w:r w:rsidRPr="006F77F4">
        <w:t>Информация о безопасности:</w:t>
      </w:r>
    </w:p>
    <w:p w14:paraId="08E8CD25" w14:textId="77777777" w:rsidR="00E90CEA" w:rsidRPr="006F77F4" w:rsidRDefault="00E90CEA" w:rsidP="00E90CEA">
      <w:pPr>
        <w:pStyle w:val="SingleTxtG"/>
        <w:ind w:left="2268"/>
        <w:rPr>
          <w:rFonts w:asciiTheme="majorBidi" w:hAnsiTheme="majorBidi" w:cstheme="majorBidi"/>
        </w:rPr>
      </w:pPr>
      <w:r w:rsidRPr="006F77F4">
        <w:t>В случае транспортных средств классов II</w:t>
      </w:r>
      <w:r>
        <w:t xml:space="preserve"> (без низкого пола)</w:t>
      </w:r>
      <w:r w:rsidRPr="006F77F4">
        <w:t>, III и В в заявке на официальное утверждение изготовитель должен указать средства передачи информации о безопасности, которые позволяют оператору, водителю и/или экипажу эффективно информировать пассажиров об инструкциях по технике безопасности, например о расположении аварийных выходов, огнетушителей, знаков безопасности.</w:t>
      </w:r>
    </w:p>
    <w:p w14:paraId="6612B15C" w14:textId="77777777" w:rsidR="00E90CEA" w:rsidRPr="00E76CA1" w:rsidRDefault="00E90CEA" w:rsidP="00E90CEA">
      <w:pPr>
        <w:pStyle w:val="SingleTxtG"/>
        <w:tabs>
          <w:tab w:val="clear" w:pos="1701"/>
        </w:tabs>
        <w:ind w:left="2268" w:hanging="1134"/>
      </w:pPr>
      <w:r>
        <w:tab/>
      </w:r>
      <w:r w:rsidRPr="006F77F4">
        <w:t>Эти средства должны быть приспособлены к конструкции и строению транспортного средства, так чтобы инструкции по технике безопасности были легко доступны и понятны любому пассажиру</w:t>
      </w:r>
      <w:r>
        <w:rPr>
          <w:rFonts w:asciiTheme="majorBidi" w:hAnsiTheme="majorBidi" w:cstheme="majorBidi"/>
        </w:rPr>
        <w:t>»</w:t>
      </w:r>
      <w:r w:rsidR="004D27FD">
        <w:rPr>
          <w:rFonts w:asciiTheme="majorBidi" w:hAnsiTheme="majorBidi" w:cstheme="majorBidi"/>
        </w:rPr>
        <w:t>.</w:t>
      </w:r>
    </w:p>
    <w:p w14:paraId="762AFF5B" w14:textId="77777777" w:rsidR="00E90CEA" w:rsidRPr="008B174F" w:rsidRDefault="00E90CEA" w:rsidP="00E90CEA">
      <w:pPr>
        <w:pStyle w:val="SingleTxtG"/>
      </w:pPr>
      <w:r>
        <w:rPr>
          <w:i/>
          <w:iCs/>
        </w:rPr>
        <w:t>Приложение</w:t>
      </w:r>
      <w:r w:rsidRPr="008B174F">
        <w:rPr>
          <w:i/>
          <w:iCs/>
        </w:rPr>
        <w:t xml:space="preserve"> 8</w:t>
      </w:r>
    </w:p>
    <w:p w14:paraId="6A9341FD" w14:textId="77777777" w:rsidR="00E90CEA" w:rsidRPr="00E90CEA" w:rsidRDefault="00E90CEA" w:rsidP="00E90CEA">
      <w:pPr>
        <w:pStyle w:val="SingleTxtG"/>
        <w:rPr>
          <w:iCs/>
        </w:rPr>
      </w:pPr>
      <w:r w:rsidRPr="008B174F">
        <w:rPr>
          <w:i/>
          <w:iCs/>
        </w:rPr>
        <w:t>Пункт</w:t>
      </w:r>
      <w:r w:rsidRPr="00E90CEA">
        <w:rPr>
          <w:i/>
          <w:iCs/>
        </w:rPr>
        <w:t xml:space="preserve"> 3.11.3.1.1</w:t>
      </w:r>
      <w:r w:rsidRPr="00E90CEA">
        <w:t xml:space="preserve"> </w:t>
      </w:r>
      <w:r w:rsidRPr="008B174F">
        <w:t>изменить</w:t>
      </w:r>
      <w:r w:rsidRPr="00E90CEA">
        <w:t xml:space="preserve"> </w:t>
      </w:r>
      <w:r w:rsidRPr="008B174F">
        <w:t>следующим</w:t>
      </w:r>
      <w:r w:rsidRPr="00E90CEA">
        <w:t xml:space="preserve"> </w:t>
      </w:r>
      <w:r w:rsidRPr="008B174F">
        <w:t>образом</w:t>
      </w:r>
      <w:r w:rsidRPr="00E90CEA">
        <w:rPr>
          <w:iCs/>
        </w:rPr>
        <w:t>:</w:t>
      </w:r>
    </w:p>
    <w:p w14:paraId="2E577189" w14:textId="77777777" w:rsidR="00E90CEA" w:rsidRPr="008B174F" w:rsidRDefault="00E90CEA" w:rsidP="00E90CEA">
      <w:pPr>
        <w:pStyle w:val="SingleTxtG"/>
        <w:ind w:left="2268" w:hanging="1134"/>
        <w:rPr>
          <w:rStyle w:val="SingleTxtGChar"/>
        </w:rPr>
      </w:pPr>
      <w:r>
        <w:t>«</w:t>
      </w:r>
      <w:r w:rsidRPr="008B174F">
        <w:t>3.11.3.1.1</w:t>
      </w:r>
      <w:r w:rsidRPr="008B174F">
        <w:tab/>
        <w:t>Должна быть обеспечена возможность приведения подъемников в действие только при полной остановке транспортного средства. Устройство, препятствующее началу движения транспортного средства, должно оставаться включенным до тех пор, пока подъемник не будет установлен в нерабочее положение. Если подъемник обеспечивает доступ в транспортное средство через дверь, указанную в пункте</w:t>
      </w:r>
      <w:r w:rsidR="004D27FD">
        <w:t> </w:t>
      </w:r>
      <w:r w:rsidRPr="008B174F">
        <w:t>3.6 настоящего приложения, то устройство, препятствующее началу движения транспортного средства, должно оставаться включенным до тех пор, пока эта дверь не будет полностью закрыта. Должно быть исключено любое движение платформы, пока не было активировано или не сработало автоматически устройство, предотвращающее скатывание инвалидной коляски</w:t>
      </w:r>
      <w:r>
        <w:t>»</w:t>
      </w:r>
      <w:r w:rsidR="004D27FD">
        <w:t>.</w:t>
      </w:r>
    </w:p>
    <w:p w14:paraId="6BAB5A73" w14:textId="77777777" w:rsidR="00E90CEA" w:rsidRPr="008B174F" w:rsidRDefault="00E90CEA" w:rsidP="00E90CEA">
      <w:pPr>
        <w:pStyle w:val="SingleTxtG"/>
        <w:rPr>
          <w:iCs/>
        </w:rPr>
      </w:pPr>
      <w:r w:rsidRPr="008B174F">
        <w:rPr>
          <w:i/>
          <w:iCs/>
        </w:rPr>
        <w:lastRenderedPageBreak/>
        <w:t>Пункт 3.11.4.1.1</w:t>
      </w:r>
      <w:r w:rsidRPr="008B174F">
        <w:t xml:space="preserve"> изменить следующим образом</w:t>
      </w:r>
      <w:r w:rsidRPr="008B174F">
        <w:rPr>
          <w:iCs/>
        </w:rPr>
        <w:t>:</w:t>
      </w:r>
    </w:p>
    <w:p w14:paraId="27B9EB22" w14:textId="77777777" w:rsidR="00E90CEA" w:rsidRDefault="00E90CEA" w:rsidP="00E90CEA">
      <w:pPr>
        <w:pStyle w:val="SingleTxtG"/>
        <w:ind w:left="2268" w:hanging="1134"/>
      </w:pPr>
      <w:r>
        <w:t>«</w:t>
      </w:r>
      <w:r w:rsidRPr="008B174F">
        <w:t>3.11.4.1.1</w:t>
      </w:r>
      <w:r w:rsidRPr="008B174F">
        <w:tab/>
        <w:t>Должна быть обеспечена возможность приведения аппарели в действие только при полной остановке транспортного средства. Устройство, препятствующее началу движения транспортного средства, должно оставаться включенным до тех пор, пока аппарель не будет установлена в нерабочее положение или полностью отсоединена от транспортного средства</w:t>
      </w:r>
      <w:r>
        <w:t>»</w:t>
      </w:r>
      <w:r w:rsidR="0049313E">
        <w:t>.</w:t>
      </w:r>
    </w:p>
    <w:p w14:paraId="227E4CD9" w14:textId="77777777" w:rsidR="00E12C5F" w:rsidRPr="008D53B6" w:rsidRDefault="00E90CEA" w:rsidP="00E90CEA">
      <w:pPr>
        <w:pStyle w:val="SingleTxtG"/>
        <w:spacing w:before="240" w:after="0"/>
        <w:ind w:left="2268"/>
        <w:jc w:val="center"/>
      </w:pPr>
      <w:r>
        <w:rPr>
          <w:u w:val="single"/>
        </w:rPr>
        <w:tab/>
      </w:r>
      <w:r>
        <w:rPr>
          <w:u w:val="single"/>
        </w:rPr>
        <w:tab/>
      </w:r>
      <w:r>
        <w:rPr>
          <w:u w:val="single"/>
        </w:rPr>
        <w:tab/>
      </w:r>
      <w:r>
        <w:rPr>
          <w:u w:val="single"/>
        </w:rPr>
        <w:tab/>
      </w:r>
    </w:p>
    <w:sectPr w:rsidR="00E12C5F" w:rsidRPr="008D53B6" w:rsidSect="00DC7A5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D702" w14:textId="77777777" w:rsidR="00CF6DCE" w:rsidRPr="00A312BC" w:rsidRDefault="00CF6DCE" w:rsidP="00A312BC"/>
  </w:endnote>
  <w:endnote w:type="continuationSeparator" w:id="0">
    <w:p w14:paraId="6987EE51" w14:textId="77777777" w:rsidR="00CF6DCE" w:rsidRPr="00A312BC" w:rsidRDefault="00CF6DC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7A61" w14:textId="77777777" w:rsidR="00DC7A51" w:rsidRPr="00DC7A51" w:rsidRDefault="00DC7A51">
    <w:pPr>
      <w:pStyle w:val="a8"/>
    </w:pPr>
    <w:r w:rsidRPr="00DC7A51">
      <w:rPr>
        <w:b/>
        <w:sz w:val="18"/>
      </w:rPr>
      <w:fldChar w:fldCharType="begin"/>
    </w:r>
    <w:r w:rsidRPr="00DC7A51">
      <w:rPr>
        <w:b/>
        <w:sz w:val="18"/>
      </w:rPr>
      <w:instrText xml:space="preserve"> PAGE  \* MERGEFORMAT </w:instrText>
    </w:r>
    <w:r w:rsidRPr="00DC7A51">
      <w:rPr>
        <w:b/>
        <w:sz w:val="18"/>
      </w:rPr>
      <w:fldChar w:fldCharType="separate"/>
    </w:r>
    <w:r w:rsidRPr="00DC7A51">
      <w:rPr>
        <w:b/>
        <w:noProof/>
        <w:sz w:val="18"/>
      </w:rPr>
      <w:t>2</w:t>
    </w:r>
    <w:r w:rsidRPr="00DC7A51">
      <w:rPr>
        <w:b/>
        <w:sz w:val="18"/>
      </w:rPr>
      <w:fldChar w:fldCharType="end"/>
    </w:r>
    <w:r>
      <w:rPr>
        <w:b/>
        <w:sz w:val="18"/>
      </w:rPr>
      <w:tab/>
    </w:r>
    <w:r>
      <w:t>GE.20-17422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339F" w14:textId="77777777" w:rsidR="00DC7A51" w:rsidRPr="00DC7A51" w:rsidRDefault="00DC7A51" w:rsidP="00DC7A51">
    <w:pPr>
      <w:pStyle w:val="a8"/>
      <w:tabs>
        <w:tab w:val="clear" w:pos="9639"/>
        <w:tab w:val="right" w:pos="9638"/>
      </w:tabs>
      <w:rPr>
        <w:b/>
        <w:sz w:val="18"/>
      </w:rPr>
    </w:pPr>
    <w:r>
      <w:t>GE.20-17422</w:t>
    </w:r>
    <w:r>
      <w:tab/>
    </w:r>
    <w:r w:rsidRPr="00DC7A51">
      <w:rPr>
        <w:b/>
        <w:sz w:val="18"/>
      </w:rPr>
      <w:fldChar w:fldCharType="begin"/>
    </w:r>
    <w:r w:rsidRPr="00DC7A51">
      <w:rPr>
        <w:b/>
        <w:sz w:val="18"/>
      </w:rPr>
      <w:instrText xml:space="preserve"> PAGE  \* MERGEFORMAT </w:instrText>
    </w:r>
    <w:r w:rsidRPr="00DC7A51">
      <w:rPr>
        <w:b/>
        <w:sz w:val="18"/>
      </w:rPr>
      <w:fldChar w:fldCharType="separate"/>
    </w:r>
    <w:r w:rsidRPr="00DC7A51">
      <w:rPr>
        <w:b/>
        <w:noProof/>
        <w:sz w:val="18"/>
      </w:rPr>
      <w:t>3</w:t>
    </w:r>
    <w:r w:rsidRPr="00DC7A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F11F" w14:textId="77777777" w:rsidR="00042B72" w:rsidRPr="00DC7A51" w:rsidRDefault="00DC7A51" w:rsidP="00DC7A5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B0630B1" wp14:editId="4786D07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20-17422  (R)</w:t>
    </w:r>
    <w:r>
      <w:rPr>
        <w:noProof/>
      </w:rPr>
      <w:drawing>
        <wp:anchor distT="0" distB="0" distL="114300" distR="114300" simplePos="0" relativeHeight="251659264" behindDoc="0" locked="0" layoutInCell="1" allowOverlap="1" wp14:anchorId="66EAF4BC" wp14:editId="5EBBCBB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220121  250121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B2AA" w14:textId="77777777" w:rsidR="00CF6DCE" w:rsidRPr="001075E9" w:rsidRDefault="00CF6DCE" w:rsidP="001075E9">
      <w:pPr>
        <w:tabs>
          <w:tab w:val="right" w:pos="2155"/>
        </w:tabs>
        <w:spacing w:after="80" w:line="240" w:lineRule="auto"/>
        <w:ind w:left="680"/>
        <w:rPr>
          <w:u w:val="single"/>
        </w:rPr>
      </w:pPr>
      <w:r>
        <w:rPr>
          <w:u w:val="single"/>
        </w:rPr>
        <w:tab/>
      </w:r>
    </w:p>
  </w:footnote>
  <w:footnote w:type="continuationSeparator" w:id="0">
    <w:p w14:paraId="4C258630" w14:textId="77777777" w:rsidR="00CF6DCE" w:rsidRDefault="00CF6DCE" w:rsidP="00407B78">
      <w:pPr>
        <w:tabs>
          <w:tab w:val="right" w:pos="2155"/>
        </w:tabs>
        <w:spacing w:after="80"/>
        <w:ind w:left="680"/>
        <w:rPr>
          <w:u w:val="single"/>
        </w:rPr>
      </w:pPr>
      <w:r>
        <w:rPr>
          <w:u w:val="single"/>
        </w:rPr>
        <w:tab/>
      </w:r>
    </w:p>
  </w:footnote>
  <w:footnote w:id="1">
    <w:p w14:paraId="65829872" w14:textId="77777777" w:rsidR="00E90CEA" w:rsidRPr="008677B9" w:rsidRDefault="00E90CEA" w:rsidP="00E90CEA">
      <w:pPr>
        <w:pStyle w:val="ad"/>
      </w:pPr>
      <w:r>
        <w:rPr>
          <w:sz w:val="20"/>
        </w:rPr>
        <w:tab/>
      </w:r>
      <w:r w:rsidRPr="00E90CEA">
        <w:rPr>
          <w:rStyle w:val="aa"/>
          <w:sz w:val="20"/>
          <w:vertAlign w:val="baseline"/>
        </w:rPr>
        <w:t>*</w:t>
      </w:r>
      <w:r w:rsidRPr="008677B9">
        <w:tab/>
        <w:t>В соответствии с программой работы Комитета по внутреннему транспорту на 2020 год, изложенной в предлагаемом бюджете по программам на 2020 год (</w:t>
      </w:r>
      <w:r>
        <w:t>A</w:t>
      </w:r>
      <w:r w:rsidRPr="008677B9">
        <w:t xml:space="preserve">/74/6 (часть </w:t>
      </w:r>
      <w:r>
        <w:t>V</w:t>
      </w:r>
      <w:r w:rsidRPr="008677B9">
        <w:t>, разд</w:t>
      </w:r>
      <w:r w:rsidR="00F417A2">
        <w:t>.</w:t>
      </w:r>
      <w:r w:rsidRPr="008677B9">
        <w:t xml:space="preserve"> 20), п</w:t>
      </w:r>
      <w:r w:rsidR="00F417A2">
        <w:t>. </w:t>
      </w:r>
      <w:r w:rsidRPr="008677B9">
        <w:t>20.37), Всемирный форум будет разрабатывать, согласовывать и обновлять Правила Организации Объединенных Наций в целях улучшения характеристик транспортных средств. Настоящий документ представлен в соответствии с этим мандатом</w:t>
      </w:r>
      <w:r w:rsidRPr="008677B9">
        <w:rPr>
          <w:szCs w:val="18"/>
        </w:rPr>
        <w:t>.</w:t>
      </w:r>
    </w:p>
  </w:footnote>
  <w:footnote w:id="2">
    <w:p w14:paraId="5E1F485F" w14:textId="77777777" w:rsidR="00E90CEA" w:rsidRPr="008677B9" w:rsidRDefault="00E90CEA" w:rsidP="00E90CEA">
      <w:pPr>
        <w:pStyle w:val="ad"/>
      </w:pPr>
      <w:r w:rsidRPr="008677B9">
        <w:rPr>
          <w:rStyle w:val="aa"/>
        </w:rPr>
        <w:tab/>
      </w:r>
      <w:r w:rsidRPr="00E90CEA">
        <w:rPr>
          <w:rStyle w:val="aa"/>
          <w:sz w:val="20"/>
          <w:vertAlign w:val="baseline"/>
        </w:rPr>
        <w:t>**</w:t>
      </w:r>
      <w:r w:rsidRPr="00F417A2">
        <w:rPr>
          <w:rStyle w:val="aa"/>
          <w:sz w:val="20"/>
          <w:vertAlign w:val="baseline"/>
        </w:rPr>
        <w:tab/>
      </w:r>
      <w:r w:rsidRPr="008677B9">
        <w:rPr>
          <w:color w:val="333333"/>
          <w:szCs w:val="18"/>
          <w:shd w:val="clear" w:color="auto" w:fill="FFFFFF"/>
        </w:rPr>
        <w:t>Настоящий документ был запланирован к изданию после установленного срока в силу обстоятельств, не зависящих от представившей его стороны</w:t>
      </w:r>
      <w:r w:rsidRPr="008677B9">
        <w:t>.</w:t>
      </w:r>
    </w:p>
  </w:footnote>
  <w:footnote w:id="3">
    <w:p w14:paraId="7128411F" w14:textId="77777777" w:rsidR="00E90CEA" w:rsidRPr="005679CD" w:rsidRDefault="00E90CEA" w:rsidP="00E90CEA">
      <w:pPr>
        <w:pStyle w:val="ad"/>
        <w:rPr>
          <w:rStyle w:val="aa"/>
          <w:sz w:val="20"/>
        </w:rPr>
      </w:pPr>
      <w:r>
        <w:tab/>
      </w:r>
      <w:r w:rsidRPr="00E90CEA">
        <w:rPr>
          <w:sz w:val="20"/>
        </w:rPr>
        <w:t>*</w:t>
      </w:r>
      <w:r w:rsidRPr="00C153B8">
        <w:tab/>
        <w:t>Этот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45CF" w14:textId="08F3FE18" w:rsidR="00DC7A51" w:rsidRPr="00DC7A51" w:rsidRDefault="007276C1">
    <w:pPr>
      <w:pStyle w:val="a5"/>
    </w:pPr>
    <w:r>
      <w:fldChar w:fldCharType="begin"/>
    </w:r>
    <w:r>
      <w:instrText xml:space="preserve"> TITLE  \* MERGEFORMAT </w:instrText>
    </w:r>
    <w:r>
      <w:fldChar w:fldCharType="separate"/>
    </w:r>
    <w:r>
      <w:t>ECE/TRANS/WP.29/2021/26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C3B0" w14:textId="08F5A79B" w:rsidR="00DC7A51" w:rsidRPr="00DC7A51" w:rsidRDefault="007276C1" w:rsidP="00DC7A51">
    <w:pPr>
      <w:pStyle w:val="a5"/>
      <w:jc w:val="right"/>
    </w:pPr>
    <w:r>
      <w:fldChar w:fldCharType="begin"/>
    </w:r>
    <w:r>
      <w:instrText xml:space="preserve"> TITLE  \* MERGEFORMAT </w:instrText>
    </w:r>
    <w:r>
      <w:fldChar w:fldCharType="separate"/>
    </w:r>
    <w:r>
      <w:t>ECE/TRANS/WP.29/2021/26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525A" w14:textId="77777777" w:rsidR="00DC7A51" w:rsidRDefault="00DC7A51" w:rsidP="00DC7A5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CE"/>
    <w:rsid w:val="00011E57"/>
    <w:rsid w:val="00033EE1"/>
    <w:rsid w:val="00042B72"/>
    <w:rsid w:val="000558BD"/>
    <w:rsid w:val="000B57E7"/>
    <w:rsid w:val="000B6373"/>
    <w:rsid w:val="000E4E5B"/>
    <w:rsid w:val="000F09DF"/>
    <w:rsid w:val="000F31EB"/>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0DF9"/>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313E"/>
    <w:rsid w:val="004D27FD"/>
    <w:rsid w:val="004E05B7"/>
    <w:rsid w:val="004F0FE1"/>
    <w:rsid w:val="0050108D"/>
    <w:rsid w:val="00513081"/>
    <w:rsid w:val="00517901"/>
    <w:rsid w:val="00526683"/>
    <w:rsid w:val="00526DB8"/>
    <w:rsid w:val="00560BF6"/>
    <w:rsid w:val="005639C1"/>
    <w:rsid w:val="005679CD"/>
    <w:rsid w:val="005709E0"/>
    <w:rsid w:val="00572E19"/>
    <w:rsid w:val="00594CAE"/>
    <w:rsid w:val="005961C8"/>
    <w:rsid w:val="005966F1"/>
    <w:rsid w:val="005D7914"/>
    <w:rsid w:val="005E2B41"/>
    <w:rsid w:val="005F0B42"/>
    <w:rsid w:val="00617A43"/>
    <w:rsid w:val="006345DB"/>
    <w:rsid w:val="00640F49"/>
    <w:rsid w:val="00674165"/>
    <w:rsid w:val="00680D03"/>
    <w:rsid w:val="00681A10"/>
    <w:rsid w:val="006A1ED8"/>
    <w:rsid w:val="006C2031"/>
    <w:rsid w:val="006D461A"/>
    <w:rsid w:val="006F35EE"/>
    <w:rsid w:val="007021FF"/>
    <w:rsid w:val="00712895"/>
    <w:rsid w:val="007276C1"/>
    <w:rsid w:val="00734ACB"/>
    <w:rsid w:val="00757357"/>
    <w:rsid w:val="00792497"/>
    <w:rsid w:val="00806737"/>
    <w:rsid w:val="00825F8D"/>
    <w:rsid w:val="00834B71"/>
    <w:rsid w:val="008619A7"/>
    <w:rsid w:val="0086445C"/>
    <w:rsid w:val="00894693"/>
    <w:rsid w:val="008A08D7"/>
    <w:rsid w:val="008A37C8"/>
    <w:rsid w:val="008B6909"/>
    <w:rsid w:val="008D53B6"/>
    <w:rsid w:val="008E7C56"/>
    <w:rsid w:val="008F7609"/>
    <w:rsid w:val="00906890"/>
    <w:rsid w:val="00911BE4"/>
    <w:rsid w:val="00912EE0"/>
    <w:rsid w:val="00951972"/>
    <w:rsid w:val="009608F3"/>
    <w:rsid w:val="009A24AC"/>
    <w:rsid w:val="009A5737"/>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CF6DCE"/>
    <w:rsid w:val="00D33D63"/>
    <w:rsid w:val="00D5253A"/>
    <w:rsid w:val="00D873A8"/>
    <w:rsid w:val="00D90028"/>
    <w:rsid w:val="00D90138"/>
    <w:rsid w:val="00D9145B"/>
    <w:rsid w:val="00DC7A51"/>
    <w:rsid w:val="00DD78D1"/>
    <w:rsid w:val="00DE32CD"/>
    <w:rsid w:val="00DF5767"/>
    <w:rsid w:val="00DF71B9"/>
    <w:rsid w:val="00E12C5F"/>
    <w:rsid w:val="00E63516"/>
    <w:rsid w:val="00E73F76"/>
    <w:rsid w:val="00E90CEA"/>
    <w:rsid w:val="00EA2C9F"/>
    <w:rsid w:val="00EA420E"/>
    <w:rsid w:val="00ED0BDA"/>
    <w:rsid w:val="00EE142A"/>
    <w:rsid w:val="00EF1360"/>
    <w:rsid w:val="00EF3220"/>
    <w:rsid w:val="00F2523A"/>
    <w:rsid w:val="00F417A2"/>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322B1"/>
  <w15:docId w15:val="{89E9CE6C-EBFD-49F8-9F10-B23BC5B7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9"/>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uiPriority w:val="99"/>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E90CEA"/>
    <w:rPr>
      <w:b/>
      <w:sz w:val="28"/>
      <w:lang w:val="ru-RU" w:eastAsia="ru-RU"/>
    </w:rPr>
  </w:style>
  <w:style w:type="character" w:customStyle="1" w:styleId="SingleTxtGChar">
    <w:name w:val="_ Single Txt_G Char"/>
    <w:link w:val="SingleTxtG"/>
    <w:qFormat/>
    <w:rsid w:val="00E90CE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D246C-4C74-4812-B25F-60737BCDC03B}"/>
</file>

<file path=customXml/itemProps2.xml><?xml version="1.0" encoding="utf-8"?>
<ds:datastoreItem xmlns:ds="http://schemas.openxmlformats.org/officeDocument/2006/customXml" ds:itemID="{19AE73D3-851A-4D9D-B7A7-5D6066CE4EB1}"/>
</file>

<file path=customXml/itemProps3.xml><?xml version="1.0" encoding="utf-8"?>
<ds:datastoreItem xmlns:ds="http://schemas.openxmlformats.org/officeDocument/2006/customXml" ds:itemID="{4CC32BCC-750F-4724-B066-936F51769638}"/>
</file>

<file path=docProps/app.xml><?xml version="1.0" encoding="utf-8"?>
<Properties xmlns="http://schemas.openxmlformats.org/officeDocument/2006/extended-properties" xmlns:vt="http://schemas.openxmlformats.org/officeDocument/2006/docPropsVTypes">
  <Template>ECE.dotm</Template>
  <TotalTime>1</TotalTime>
  <Pages>5</Pages>
  <Words>1076</Words>
  <Characters>7334</Characters>
  <Application>Microsoft Office Word</Application>
  <DocSecurity>0</DocSecurity>
  <Lines>175</Lines>
  <Paragraphs>62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ECE/TRANS/WP.29/2021/26</vt:lpstr>
      <vt:lpstr>A/</vt:lpstr>
      <vt:lpstr>A/</vt:lpstr>
    </vt:vector>
  </TitlesOfParts>
  <Company>DCM</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ECE/TRANS/WP.29/2021/26</dc:title>
  <dc:subject/>
  <dc:creator>Olga OVTCHINNIKOVA</dc:creator>
  <cp:keywords/>
  <cp:lastModifiedBy>Ioulia Goussarova</cp:lastModifiedBy>
  <cp:revision>3</cp:revision>
  <cp:lastPrinted>2021-01-25T10:43:00Z</cp:lastPrinted>
  <dcterms:created xsi:type="dcterms:W3CDTF">2021-01-25T10:43:00Z</dcterms:created>
  <dcterms:modified xsi:type="dcterms:W3CDTF">2021-01-25T10:44:00Z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