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11B34932">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35571B7F" w:rsidR="009E6CB7" w:rsidRPr="00D47EEA" w:rsidRDefault="00772D17" w:rsidP="00772D17">
            <w:pPr>
              <w:jc w:val="right"/>
            </w:pPr>
            <w:r w:rsidRPr="00772D17">
              <w:rPr>
                <w:sz w:val="40"/>
              </w:rPr>
              <w:t>ECE</w:t>
            </w:r>
            <w:r>
              <w:t>/TRANS/WP.29/202</w:t>
            </w:r>
            <w:r w:rsidR="00AE5D86">
              <w:t>1</w:t>
            </w:r>
            <w:r>
              <w:t>/</w:t>
            </w:r>
            <w:r w:rsidR="00773C39">
              <w:t>2</w:t>
            </w:r>
            <w:r w:rsidR="00EA6924">
              <w:t>6</w:t>
            </w:r>
          </w:p>
        </w:tc>
      </w:tr>
      <w:tr w:rsidR="009E6CB7" w14:paraId="314DE0AD" w14:textId="77777777" w:rsidTr="11B34932">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7C78061" w:rsidR="00772D17" w:rsidRDefault="00C83345" w:rsidP="00772D17">
            <w:pPr>
              <w:spacing w:line="240" w:lineRule="exact"/>
            </w:pPr>
            <w:r>
              <w:t xml:space="preserve">21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242E0EBA" w:rsidR="00772D17" w:rsidRDefault="00772D17" w:rsidP="00772D17">
      <w:r>
        <w:t xml:space="preserve">Item </w:t>
      </w:r>
      <w:r w:rsidRPr="00B16647">
        <w:t>4.</w:t>
      </w:r>
      <w:r w:rsidR="00032C5C" w:rsidRPr="00B16647">
        <w:t>8</w:t>
      </w:r>
      <w:r w:rsidRPr="00B16647">
        <w:t>.</w:t>
      </w:r>
      <w:r w:rsidR="00FD0BFD">
        <w:t>8</w:t>
      </w:r>
      <w:r>
        <w:t xml:space="preserve"> of the provisional agenda</w:t>
      </w:r>
    </w:p>
    <w:p w14:paraId="20082425" w14:textId="3BEF4515"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16647">
        <w:rPr>
          <w:b/>
        </w:rPr>
        <w:t>GRSG</w:t>
      </w:r>
    </w:p>
    <w:p w14:paraId="735F57C9" w14:textId="60033D9D" w:rsidR="00772D17" w:rsidRDefault="00772D17" w:rsidP="00324D38">
      <w:pPr>
        <w:pStyle w:val="HChG"/>
        <w:ind w:firstLine="0"/>
      </w:pPr>
      <w:r>
        <w:tab/>
      </w:r>
      <w:r w:rsidR="00AC569A" w:rsidRPr="00DF0E34">
        <w:rPr>
          <w:rFonts w:asciiTheme="majorBidi" w:hAnsiTheme="majorBidi" w:cstheme="majorBidi"/>
        </w:rPr>
        <w:t>Proposal for the 09 series of amendment to UN Regulation No. 107 (</w:t>
      </w:r>
      <w:r w:rsidR="001564E9">
        <w:rPr>
          <w:color w:val="000000"/>
        </w:rPr>
        <w:t>M</w:t>
      </w:r>
      <w:r w:rsidR="001564E9" w:rsidRPr="00E554A9">
        <w:rPr>
          <w:color w:val="000000"/>
          <w:vertAlign w:val="subscript"/>
        </w:rPr>
        <w:t>2</w:t>
      </w:r>
      <w:r w:rsidR="001564E9">
        <w:rPr>
          <w:color w:val="000000"/>
        </w:rPr>
        <w:t xml:space="preserve"> and M</w:t>
      </w:r>
      <w:r w:rsidR="001564E9" w:rsidRPr="00E554A9">
        <w:rPr>
          <w:color w:val="000000"/>
          <w:vertAlign w:val="subscript"/>
        </w:rPr>
        <w:t>3</w:t>
      </w:r>
      <w:r w:rsidR="001564E9">
        <w:rPr>
          <w:color w:val="000000"/>
        </w:rPr>
        <w:t xml:space="preserve"> vehicles</w:t>
      </w:r>
      <w:r w:rsidR="00AC569A" w:rsidRPr="00DF0E34">
        <w:rPr>
          <w:rFonts w:asciiTheme="majorBidi" w:hAnsiTheme="majorBidi" w:cstheme="majorBidi"/>
        </w:rPr>
        <w:t>)</w:t>
      </w:r>
    </w:p>
    <w:p w14:paraId="2BB7AAA3" w14:textId="0B340256"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7B49E9">
        <w:rPr>
          <w:rStyle w:val="FootnoteReference"/>
          <w:sz w:val="20"/>
          <w:vertAlign w:val="baseline"/>
        </w:rPr>
        <w:footnoteReference w:customMarkFollows="1" w:id="2"/>
        <w:t>*</w:t>
      </w:r>
      <w:r w:rsidR="007B49E9">
        <w:rPr>
          <w:sz w:val="20"/>
        </w:rPr>
        <w:t xml:space="preserve">, </w:t>
      </w:r>
      <w:r w:rsidR="007B49E9" w:rsidRPr="007B49E9">
        <w:rPr>
          <w:rStyle w:val="FootnoteReference"/>
          <w:sz w:val="20"/>
          <w:vertAlign w:val="baseline"/>
        </w:rPr>
        <w:footnoteReference w:customMarkFollows="1" w:id="3"/>
        <w:t>**</w:t>
      </w:r>
    </w:p>
    <w:p w14:paraId="401A095B" w14:textId="03934875"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D00EC" w:rsidRPr="008D00EC">
        <w:rPr>
          <w:lang w:val="en-US"/>
        </w:rPr>
        <w:t>General Safety Provisions</w:t>
      </w:r>
      <w:r w:rsidR="008F3764">
        <w:rPr>
          <w:lang w:val="en-US"/>
        </w:rPr>
        <w:t xml:space="preserve"> at its 119</w:t>
      </w:r>
      <w:r w:rsidR="008F3764" w:rsidRPr="002C5E01">
        <w:rPr>
          <w:lang w:val="en-US"/>
        </w:rPr>
        <w:t>t</w:t>
      </w:r>
      <w:r w:rsidR="002C5E01" w:rsidRPr="002C5E01">
        <w:rPr>
          <w:lang w:val="en-US"/>
        </w:rPr>
        <w:t xml:space="preserve">h </w:t>
      </w:r>
      <w:r w:rsidR="002C5E01">
        <w:rPr>
          <w:lang w:val="en-US"/>
        </w:rPr>
        <w:t>session</w:t>
      </w:r>
      <w:r w:rsidR="00B72025">
        <w:rPr>
          <w:lang w:val="en-US"/>
        </w:rPr>
        <w:t>,</w:t>
      </w:r>
      <w:r w:rsidR="00C42BFD">
        <w:rPr>
          <w:lang w:val="en-US"/>
        </w:rPr>
        <w:t xml:space="preserve"> </w:t>
      </w:r>
      <w:r w:rsidR="00B72025">
        <w:rPr>
          <w:lang w:val="en-US"/>
        </w:rPr>
        <w:t>held in October 20</w:t>
      </w:r>
      <w:r w:rsidR="00C42BFD">
        <w:rPr>
          <w:lang w:val="en-US"/>
        </w:rPr>
        <w:t>20</w:t>
      </w:r>
      <w:r w:rsidR="00A32555">
        <w:rPr>
          <w:lang w:val="en-US"/>
        </w:rPr>
        <w:t xml:space="preserve"> </w:t>
      </w:r>
      <w:r w:rsidR="00454AF6">
        <w:rPr>
          <w:lang w:val="en-US"/>
        </w:rPr>
        <w:t>(</w:t>
      </w:r>
      <w:r w:rsidR="00454AF6" w:rsidRPr="00680A0B">
        <w:rPr>
          <w:bCs/>
        </w:rPr>
        <w:t>ECE/TRANS/WP.29/GRSG/98, para</w:t>
      </w:r>
      <w:r w:rsidR="00FA6DE1">
        <w:rPr>
          <w:bCs/>
        </w:rPr>
        <w:t>s</w:t>
      </w:r>
      <w:r w:rsidR="00454AF6" w:rsidRPr="00680A0B">
        <w:rPr>
          <w:bCs/>
        </w:rPr>
        <w:t xml:space="preserve">. </w:t>
      </w:r>
      <w:r w:rsidR="00030099">
        <w:rPr>
          <w:bCs/>
        </w:rPr>
        <w:t>13</w:t>
      </w:r>
      <w:r w:rsidR="003B437E">
        <w:rPr>
          <w:bCs/>
          <w:lang w:val="en-US"/>
        </w:rPr>
        <w:t>). It is</w:t>
      </w:r>
      <w:r w:rsidR="00454AF6" w:rsidRPr="0063718F">
        <w:rPr>
          <w:bCs/>
        </w:rPr>
        <w:t xml:space="preserve"> based on</w:t>
      </w:r>
      <w:r w:rsidR="00454AF6" w:rsidRPr="00DD1D4D">
        <w:t xml:space="preserve"> </w:t>
      </w:r>
      <w:r w:rsidR="00E03270" w:rsidRPr="00635EE6">
        <w:rPr>
          <w:color w:val="000000"/>
        </w:rPr>
        <w:t>ECE/TRANS/WP.29/GRSG/2020/19</w:t>
      </w:r>
      <w:r w:rsidR="00E03270">
        <w:rPr>
          <w:color w:val="000000"/>
        </w:rPr>
        <w:t>,</w:t>
      </w:r>
      <w:r w:rsidR="00E03270" w:rsidRPr="00635EE6">
        <w:rPr>
          <w:color w:val="000000"/>
        </w:rPr>
        <w:t xml:space="preserve"> as amended by GRSG-119-09 and GRSG-119-18</w:t>
      </w:r>
      <w:r w:rsidR="00E03270">
        <w:rPr>
          <w:color w:val="000000"/>
        </w:rPr>
        <w:t>,</w:t>
      </w:r>
      <w:r w:rsidR="00E03270" w:rsidRPr="00635EE6">
        <w:rPr>
          <w:color w:val="000000"/>
        </w:rPr>
        <w:t xml:space="preserve"> and ECE/TRANS/WP.29/GRSG/2020/20</w:t>
      </w:r>
      <w:r w:rsidR="00E03270">
        <w:rPr>
          <w:color w:val="000000"/>
        </w:rPr>
        <w:t>,</w:t>
      </w:r>
      <w:r w:rsidR="00E03270" w:rsidRPr="00635EE6">
        <w:rPr>
          <w:color w:val="000000"/>
        </w:rPr>
        <w:t xml:space="preserve"> as amended by GRSG-119-19</w:t>
      </w:r>
      <w:r w:rsidR="00074A85">
        <w:rPr>
          <w:color w:val="000000"/>
        </w:rPr>
        <w:t xml:space="preserve">. </w:t>
      </w:r>
      <w:r w:rsidR="00630B84">
        <w:rPr>
          <w:szCs w:val="24"/>
        </w:rPr>
        <w:t>It is submitted to World Forum for Harmonization of Vehicle Regulations (WP.29) and the Administrative Committee of the 1958 Agreement (AC.1) for consideration and vote at their March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05A64F3F" w14:textId="473AA361" w:rsidR="00CD653D" w:rsidRPr="00DF0E34" w:rsidRDefault="00CD653D" w:rsidP="005B5FCD">
      <w:pPr>
        <w:tabs>
          <w:tab w:val="left" w:pos="2268"/>
          <w:tab w:val="left" w:pos="8505"/>
        </w:tabs>
        <w:spacing w:after="120" w:line="240" w:lineRule="auto"/>
        <w:ind w:left="2126" w:right="1134" w:hanging="992"/>
        <w:jc w:val="both"/>
        <w:rPr>
          <w:rFonts w:asciiTheme="majorBidi" w:hAnsiTheme="majorBidi" w:cstheme="majorBidi"/>
          <w:i/>
          <w:iCs/>
        </w:rPr>
      </w:pPr>
      <w:r w:rsidRPr="00DF0E34">
        <w:rPr>
          <w:rFonts w:asciiTheme="majorBidi" w:hAnsiTheme="majorBidi" w:cstheme="majorBidi"/>
          <w:i/>
          <w:iCs/>
        </w:rPr>
        <w:lastRenderedPageBreak/>
        <w:t>Insert new paragraphs 10.25. to 10.</w:t>
      </w:r>
      <w:r w:rsidR="00F76B95" w:rsidRPr="00DF0E34">
        <w:rPr>
          <w:rFonts w:asciiTheme="majorBidi" w:hAnsiTheme="majorBidi" w:cstheme="majorBidi"/>
          <w:i/>
          <w:iCs/>
        </w:rPr>
        <w:t>2</w:t>
      </w:r>
      <w:r w:rsidR="00F76B95">
        <w:rPr>
          <w:rFonts w:asciiTheme="majorBidi" w:hAnsiTheme="majorBidi" w:cstheme="majorBidi"/>
          <w:i/>
          <w:iCs/>
        </w:rPr>
        <w:t>9</w:t>
      </w:r>
      <w:r w:rsidRPr="00DF0E34">
        <w:rPr>
          <w:rFonts w:asciiTheme="majorBidi" w:hAnsiTheme="majorBidi" w:cstheme="majorBidi"/>
          <w:i/>
          <w:iCs/>
        </w:rPr>
        <w:t xml:space="preserve">., </w:t>
      </w:r>
      <w:r w:rsidRPr="005B5FCD">
        <w:rPr>
          <w:rFonts w:asciiTheme="majorBidi" w:hAnsiTheme="majorBidi" w:cstheme="majorBidi"/>
        </w:rPr>
        <w:t>to read:</w:t>
      </w:r>
    </w:p>
    <w:p w14:paraId="656D508F" w14:textId="3F22694F" w:rsidR="00CD653D" w:rsidRPr="00E203F9" w:rsidRDefault="005B5FCD" w:rsidP="00CD653D">
      <w:pPr>
        <w:pStyle w:val="SingleTxtG"/>
        <w:ind w:left="2268" w:hanging="1134"/>
      </w:pPr>
      <w:r>
        <w:t>"</w:t>
      </w:r>
      <w:r w:rsidR="00CD653D" w:rsidRPr="00E203F9">
        <w:t>10.25.</w:t>
      </w:r>
      <w:r w:rsidR="00CD653D" w:rsidRPr="00E203F9">
        <w:tab/>
        <w:t>As from the official date of entry into force of the 09 series of amendments, no Contracting Party applying this Regulation shall refuse to grant or refuse to accept type-approvals under this Regulation as amended by the 09 series of amendments.</w:t>
      </w:r>
    </w:p>
    <w:p w14:paraId="2DB85BD6" w14:textId="262ECB20" w:rsidR="00CD653D" w:rsidRPr="00E203F9" w:rsidRDefault="00CD653D" w:rsidP="00CD653D">
      <w:pPr>
        <w:pStyle w:val="SingleTxtG"/>
        <w:ind w:left="2268" w:hanging="1134"/>
      </w:pPr>
      <w:r w:rsidRPr="00E203F9">
        <w:t>10.26.</w:t>
      </w:r>
      <w:r w:rsidRPr="00E203F9">
        <w:tab/>
        <w:t>As from 1 September 202</w:t>
      </w:r>
      <w:r w:rsidR="00A7426D" w:rsidRPr="00E203F9">
        <w:t>3</w:t>
      </w:r>
      <w:r w:rsidRPr="00E203F9">
        <w:t>, Contracting Parties applying this Regulation shall not be obliged to accept type-approvals to the preceding series of amendments, first issued after 1 September 202</w:t>
      </w:r>
      <w:r w:rsidR="00A7426D" w:rsidRPr="00E203F9">
        <w:t>3</w:t>
      </w:r>
      <w:r w:rsidRPr="00E203F9">
        <w:t>.</w:t>
      </w:r>
    </w:p>
    <w:p w14:paraId="14A7EB13" w14:textId="6C3352C7" w:rsidR="00CD653D" w:rsidRPr="00E203F9" w:rsidRDefault="00CD653D" w:rsidP="00CD653D">
      <w:pPr>
        <w:pStyle w:val="SingleTxtG"/>
        <w:ind w:left="2268" w:hanging="1134"/>
      </w:pPr>
      <w:r w:rsidRPr="00E203F9">
        <w:t>10.27.</w:t>
      </w:r>
      <w:r w:rsidRPr="00E203F9">
        <w:tab/>
        <w:t>Until 1 September 202</w:t>
      </w:r>
      <w:r w:rsidR="00B92A65" w:rsidRPr="00E203F9">
        <w:t>5</w:t>
      </w:r>
      <w:r w:rsidRPr="00E203F9">
        <w:t>, Contracting Parties applying this Regulation shall accept type-approvals to the preceding series of amendments, first issued before 1 September 202</w:t>
      </w:r>
      <w:r w:rsidR="00942F39" w:rsidRPr="00E203F9">
        <w:t>3</w:t>
      </w:r>
      <w:r w:rsidRPr="00E203F9">
        <w:t>.</w:t>
      </w:r>
    </w:p>
    <w:p w14:paraId="08F1F293" w14:textId="07FB996D" w:rsidR="00CD653D" w:rsidRPr="00E203F9" w:rsidRDefault="00CD653D" w:rsidP="00CD653D">
      <w:pPr>
        <w:pStyle w:val="SingleTxtG"/>
        <w:ind w:left="2268" w:hanging="1134"/>
      </w:pPr>
      <w:r w:rsidRPr="00E203F9">
        <w:t>10.28.</w:t>
      </w:r>
      <w:r w:rsidRPr="00E203F9">
        <w:tab/>
        <w:t>As from 1 September 202</w:t>
      </w:r>
      <w:r w:rsidR="00942F39" w:rsidRPr="00E203F9">
        <w:t>5</w:t>
      </w:r>
      <w:r w:rsidRPr="00E203F9">
        <w:t>, Contracting Parties applying this Regulation shall not be obliged to accept type-approvals issued to the preceding series of amendments to this Regulation.</w:t>
      </w:r>
    </w:p>
    <w:p w14:paraId="44F3AD7F" w14:textId="2E9AB8D8" w:rsidR="00CD653D" w:rsidRPr="00E203F9" w:rsidRDefault="00CD653D" w:rsidP="00CD653D">
      <w:pPr>
        <w:pStyle w:val="SingleTxtG"/>
        <w:ind w:left="2268" w:hanging="1134"/>
      </w:pPr>
      <w:r w:rsidRPr="00E203F9">
        <w:t>10.29</w:t>
      </w:r>
      <w:r w:rsidR="005B5FCD">
        <w:t>.</w:t>
      </w:r>
      <w:r w:rsidRPr="00E203F9">
        <w:tab/>
      </w:r>
      <w:r w:rsidRPr="00E203F9">
        <w:tab/>
        <w:t>Notwithstanding paragraphs 10.26. and 10.28., Contracting Parties applying this Regulation shall continue to accept type approvals granted to the 06, 07 or 08 series of amendments to vehicles which are not affected by the 09 series of amendments.</w:t>
      </w:r>
      <w:r w:rsidR="002C0E72">
        <w:t>"</w:t>
      </w:r>
    </w:p>
    <w:p w14:paraId="4C5BAFF6" w14:textId="77777777" w:rsidR="00CD653D" w:rsidRPr="00DF0E34" w:rsidRDefault="00CD653D" w:rsidP="00CD653D">
      <w:pPr>
        <w:pStyle w:val="SingleTxtG"/>
        <w:spacing w:before="240"/>
        <w:rPr>
          <w:rFonts w:asciiTheme="majorBidi" w:hAnsiTheme="majorBidi" w:cstheme="majorBidi"/>
          <w:i/>
        </w:rPr>
      </w:pPr>
      <w:r w:rsidRPr="00DF0E34">
        <w:rPr>
          <w:rFonts w:asciiTheme="majorBidi" w:hAnsiTheme="majorBidi" w:cstheme="majorBidi"/>
          <w:i/>
        </w:rPr>
        <w:t xml:space="preserve">Annex 1, part 1, Appendix 1, </w:t>
      </w:r>
      <w:r w:rsidRPr="00DF0E34">
        <w:rPr>
          <w:rFonts w:asciiTheme="majorBidi" w:hAnsiTheme="majorBidi" w:cstheme="majorBidi"/>
        </w:rPr>
        <w:t>insert a new paragraph 4.4. to read:</w:t>
      </w:r>
    </w:p>
    <w:p w14:paraId="747A434F" w14:textId="7ECA2803" w:rsidR="00CD653D" w:rsidRPr="008002FC" w:rsidRDefault="002C0E72" w:rsidP="00CD653D">
      <w:pPr>
        <w:pStyle w:val="SingleTxtG"/>
        <w:ind w:left="2268" w:hanging="1134"/>
        <w:rPr>
          <w:rFonts w:asciiTheme="majorBidi" w:hAnsiTheme="majorBidi" w:cstheme="majorBidi"/>
          <w:bCs/>
          <w:iCs/>
        </w:rPr>
      </w:pPr>
      <w:bookmarkStart w:id="1" w:name="_Hlk33794674"/>
      <w:r>
        <w:rPr>
          <w:rFonts w:asciiTheme="majorBidi" w:hAnsiTheme="majorBidi" w:cstheme="majorBidi"/>
          <w:bCs/>
          <w:iCs/>
        </w:rPr>
        <w:t>"</w:t>
      </w:r>
      <w:r w:rsidR="00CD653D" w:rsidRPr="008002FC">
        <w:rPr>
          <w:rFonts w:asciiTheme="majorBidi" w:hAnsiTheme="majorBidi" w:cstheme="majorBidi"/>
          <w:bCs/>
          <w:iCs/>
        </w:rPr>
        <w:t xml:space="preserve">4.4. </w:t>
      </w:r>
      <w:r w:rsidR="00CD653D" w:rsidRPr="008002FC">
        <w:rPr>
          <w:rFonts w:asciiTheme="majorBidi" w:hAnsiTheme="majorBidi" w:cstheme="majorBidi"/>
          <w:bCs/>
          <w:iCs/>
        </w:rPr>
        <w:tab/>
        <w:t>Reference temperature for the detection system (per paragraph 7.5.1.5.1.)</w:t>
      </w:r>
      <w:bookmarkEnd w:id="1"/>
      <w:r w:rsidR="00CD653D" w:rsidRPr="008002FC">
        <w:rPr>
          <w:rFonts w:asciiTheme="majorBidi" w:hAnsiTheme="majorBidi" w:cstheme="majorBidi"/>
          <w:bCs/>
          <w:iCs/>
        </w:rPr>
        <w:t xml:space="preserve"> : …</w:t>
      </w:r>
      <w:r>
        <w:rPr>
          <w:rFonts w:asciiTheme="majorBidi" w:hAnsiTheme="majorBidi" w:cstheme="majorBidi"/>
          <w:bCs/>
          <w:iCs/>
        </w:rPr>
        <w:t>"</w:t>
      </w:r>
    </w:p>
    <w:p w14:paraId="117530D4" w14:textId="77777777" w:rsidR="00CD653D" w:rsidRPr="00DF0E34" w:rsidRDefault="00CD653D" w:rsidP="00CD653D">
      <w:pPr>
        <w:pStyle w:val="SingleTxtG"/>
        <w:tabs>
          <w:tab w:val="left" w:pos="8505"/>
        </w:tabs>
        <w:spacing w:before="240"/>
        <w:ind w:right="1133"/>
        <w:rPr>
          <w:rFonts w:asciiTheme="majorBidi" w:hAnsiTheme="majorBidi" w:cstheme="majorBidi"/>
        </w:rPr>
      </w:pPr>
      <w:r w:rsidRPr="00DF0E34">
        <w:rPr>
          <w:rFonts w:asciiTheme="majorBidi" w:hAnsiTheme="majorBidi" w:cstheme="majorBidi"/>
          <w:i/>
        </w:rPr>
        <w:t xml:space="preserve">Annex 1, part 1, Appendix 3, </w:t>
      </w:r>
      <w:r w:rsidRPr="00DF0E34">
        <w:rPr>
          <w:rFonts w:asciiTheme="majorBidi" w:hAnsiTheme="majorBidi" w:cstheme="majorBidi"/>
        </w:rPr>
        <w:t>insert a new paragraph 5. to read:</w:t>
      </w:r>
    </w:p>
    <w:p w14:paraId="57DEE3B2" w14:textId="6E6B5F16" w:rsidR="00CD653D" w:rsidRPr="008002FC" w:rsidRDefault="002C0E72" w:rsidP="00CD653D">
      <w:pPr>
        <w:tabs>
          <w:tab w:val="left" w:pos="1418"/>
          <w:tab w:val="left" w:pos="2268"/>
          <w:tab w:val="left" w:pos="8505"/>
        </w:tabs>
        <w:spacing w:line="240" w:lineRule="auto"/>
        <w:ind w:left="2268" w:right="1133" w:hanging="1134"/>
        <w:jc w:val="both"/>
        <w:rPr>
          <w:rFonts w:asciiTheme="majorBidi" w:hAnsiTheme="majorBidi" w:cstheme="majorBidi"/>
          <w:bCs/>
          <w:i/>
          <w:color w:val="0070C0"/>
        </w:rPr>
      </w:pPr>
      <w:r>
        <w:rPr>
          <w:rFonts w:asciiTheme="majorBidi" w:hAnsiTheme="majorBidi" w:cstheme="majorBidi"/>
          <w:bCs/>
          <w:iCs/>
        </w:rPr>
        <w:t>"</w:t>
      </w:r>
      <w:r w:rsidR="00CD653D" w:rsidRPr="008002FC">
        <w:rPr>
          <w:rFonts w:asciiTheme="majorBidi" w:hAnsiTheme="majorBidi" w:cstheme="majorBidi"/>
          <w:bCs/>
          <w:iCs/>
        </w:rPr>
        <w:t xml:space="preserve">5. </w:t>
      </w:r>
      <w:r w:rsidR="00CD653D" w:rsidRPr="008002FC">
        <w:rPr>
          <w:rFonts w:asciiTheme="majorBidi" w:hAnsiTheme="majorBidi" w:cstheme="majorBidi"/>
          <w:bCs/>
          <w:iCs/>
        </w:rPr>
        <w:tab/>
      </w:r>
      <w:r>
        <w:rPr>
          <w:rFonts w:asciiTheme="majorBidi" w:hAnsiTheme="majorBidi" w:cstheme="majorBidi"/>
          <w:bCs/>
          <w:iCs/>
        </w:rPr>
        <w:tab/>
      </w:r>
      <w:r w:rsidR="00CD653D" w:rsidRPr="008002FC">
        <w:rPr>
          <w:rFonts w:asciiTheme="majorBidi" w:hAnsiTheme="majorBidi" w:cstheme="majorBidi"/>
          <w:bCs/>
          <w:iCs/>
        </w:rPr>
        <w:t xml:space="preserve">Reference temperature for the detection system (per paragraph 7.5.1.5.1.) : </w:t>
      </w:r>
      <w:r w:rsidR="00CD653D" w:rsidRPr="00A139AA">
        <w:rPr>
          <w:rFonts w:asciiTheme="majorBidi" w:hAnsiTheme="majorBidi" w:cstheme="majorBidi"/>
          <w:bCs/>
          <w:iCs/>
        </w:rPr>
        <w:t>…</w:t>
      </w:r>
      <w:r w:rsidRPr="002C0E72">
        <w:rPr>
          <w:rFonts w:asciiTheme="majorBidi" w:hAnsiTheme="majorBidi" w:cstheme="majorBidi"/>
          <w:bCs/>
          <w:iCs/>
        </w:rPr>
        <w:t>"</w:t>
      </w:r>
    </w:p>
    <w:p w14:paraId="60C04F58" w14:textId="77777777" w:rsidR="00DC0632" w:rsidRDefault="00DC0632" w:rsidP="00DC0632">
      <w:pPr>
        <w:pStyle w:val="SingleTxtG"/>
        <w:spacing w:before="240"/>
      </w:pPr>
      <w:r>
        <w:rPr>
          <w:i/>
          <w:iCs/>
        </w:rPr>
        <w:t xml:space="preserve">Annex 2, </w:t>
      </w:r>
      <w:r>
        <w:t>amend to read:</w:t>
      </w:r>
    </w:p>
    <w:p w14:paraId="4CB0D648" w14:textId="3BACC76C" w:rsidR="00DC0632" w:rsidRPr="00775EBE" w:rsidRDefault="002C0E72" w:rsidP="00DC0632">
      <w:pPr>
        <w:pStyle w:val="HChG"/>
        <w:ind w:left="0" w:firstLine="0"/>
      </w:pPr>
      <w:bookmarkStart w:id="2" w:name="_Toc381693798"/>
      <w:r w:rsidRPr="002C0E72">
        <w:rPr>
          <w:b w:val="0"/>
          <w:bCs/>
        </w:rPr>
        <w:t>"</w:t>
      </w:r>
      <w:r w:rsidR="00DC0632" w:rsidRPr="00775EBE">
        <w:t>Annex 2</w:t>
      </w:r>
      <w:bookmarkEnd w:id="2"/>
    </w:p>
    <w:p w14:paraId="371976E7" w14:textId="77777777" w:rsidR="00DC0632" w:rsidRPr="00775EBE" w:rsidRDefault="00DC0632" w:rsidP="00DC0632">
      <w:pPr>
        <w:pStyle w:val="HChG"/>
        <w:ind w:firstLine="0"/>
      </w:pPr>
      <w:r w:rsidRPr="00775EBE">
        <w:tab/>
      </w:r>
      <w:bookmarkStart w:id="3" w:name="_Toc381693799"/>
      <w:r w:rsidRPr="00775EBE">
        <w:t>Arrangements of approval marks</w:t>
      </w:r>
      <w:bookmarkEnd w:id="3"/>
    </w:p>
    <w:p w14:paraId="66F34139" w14:textId="77777777" w:rsidR="00DC0632" w:rsidRPr="006F2B2E" w:rsidRDefault="00DC0632" w:rsidP="00DC0632">
      <w:pPr>
        <w:pStyle w:val="Heading1"/>
        <w:keepNext/>
        <w:keepLines/>
      </w:pPr>
      <w:bookmarkStart w:id="4" w:name="_Toc381693800"/>
      <w:r w:rsidRPr="006F2B2E">
        <w:t>Model A</w:t>
      </w:r>
      <w:bookmarkEnd w:id="4"/>
    </w:p>
    <w:p w14:paraId="1D1A2896" w14:textId="77777777" w:rsidR="00DC0632" w:rsidRPr="00775EBE" w:rsidRDefault="00DC0632" w:rsidP="00DC0632">
      <w:pPr>
        <w:pStyle w:val="SingleTxtG"/>
        <w:keepNext/>
        <w:keepLines/>
      </w:pPr>
      <w:r w:rsidRPr="00775EBE">
        <w:t>(See paragraph 4.4. of this Regulation)</w:t>
      </w:r>
    </w:p>
    <w:p w14:paraId="0F93C628" w14:textId="77777777" w:rsidR="00DC0632" w:rsidRDefault="00DC0632" w:rsidP="00DC0632">
      <w:pPr>
        <w:pStyle w:val="SingleTxtG"/>
        <w:tabs>
          <w:tab w:val="left" w:pos="6800"/>
        </w:tabs>
        <w:rPr>
          <w:caps/>
        </w:rPr>
      </w:pPr>
      <w:r w:rsidRPr="006F2B2E">
        <w:rPr>
          <w:caps/>
          <w:noProof/>
        </w:rPr>
        <mc:AlternateContent>
          <mc:Choice Requires="wps">
            <w:drawing>
              <wp:anchor distT="45720" distB="45720" distL="114300" distR="114300" simplePos="0" relativeHeight="251659264" behindDoc="0" locked="0" layoutInCell="1" allowOverlap="1" wp14:anchorId="4852F0DD" wp14:editId="7E553A5C">
                <wp:simplePos x="0" y="0"/>
                <wp:positionH relativeFrom="column">
                  <wp:posOffset>3776847</wp:posOffset>
                </wp:positionH>
                <wp:positionV relativeFrom="paragraph">
                  <wp:posOffset>312325</wp:posOffset>
                </wp:positionV>
                <wp:extent cx="1235123" cy="1404620"/>
                <wp:effectExtent l="0" t="0" r="317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123" cy="1404620"/>
                        </a:xfrm>
                        <a:prstGeom prst="rect">
                          <a:avLst/>
                        </a:prstGeom>
                        <a:solidFill>
                          <a:srgbClr val="FFFFFF"/>
                        </a:solidFill>
                        <a:ln w="9525">
                          <a:noFill/>
                          <a:miter lim="800000"/>
                          <a:headEnd/>
                          <a:tailEnd/>
                        </a:ln>
                      </wps:spPr>
                      <wps:txbx>
                        <w:txbxContent>
                          <w:p w14:paraId="31641257" w14:textId="08ACA7CD" w:rsidR="00DC0632" w:rsidRPr="006B40F3" w:rsidRDefault="00DC0632" w:rsidP="00C579AA">
                            <w:pPr>
                              <w:bidi/>
                              <w:spacing w:line="0" w:lineRule="atLeast"/>
                              <w:jc w:val="center"/>
                              <w:rPr>
                                <w:rFonts w:asciiTheme="minorBidi" w:hAnsiTheme="minorBidi" w:cstheme="minorBidi"/>
                                <w:sz w:val="48"/>
                                <w:szCs w:val="48"/>
                                <w:lang w:val="fr-CH"/>
                              </w:rPr>
                            </w:pPr>
                            <w:r w:rsidRPr="006B40F3">
                              <w:rPr>
                                <w:rFonts w:asciiTheme="minorBidi" w:hAnsiTheme="minorBidi" w:cstheme="minorBidi"/>
                                <w:sz w:val="48"/>
                                <w:szCs w:val="48"/>
                                <w:lang w:val="fr-CH"/>
                              </w:rPr>
                              <w:t>09243</w:t>
                            </w:r>
                            <w:r w:rsidR="009949C0">
                              <w:rPr>
                                <w:rFonts w:asciiTheme="minorBidi" w:hAnsiTheme="minorBidi" w:cstheme="minorBidi"/>
                                <w:sz w:val="48"/>
                                <w:szCs w:val="48"/>
                                <w:lang w:val="fr-CH"/>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2F0DD" id="_x0000_t202" coordsize="21600,21600" o:spt="202" path="m,l,21600r21600,l21600,xe">
                <v:stroke joinstyle="miter"/>
                <v:path gradientshapeok="t" o:connecttype="rect"/>
              </v:shapetype>
              <v:shape id="Text Box 2" o:spid="_x0000_s1026" type="#_x0000_t202" style="position:absolute;left:0;text-align:left;margin-left:297.4pt;margin-top:24.6pt;width: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" stroked="f">
                <v:textbox style="mso-fit-shape-to-text:t">
                  <w:txbxContent>
                    <w:p w14:paraId="31641257" w14:textId="08ACA7CD" w:rsidR="00DC0632" w:rsidRPr="006B40F3" w:rsidRDefault="00DC0632" w:rsidP="00C579AA">
                      <w:pPr>
                        <w:bidi/>
                        <w:spacing w:line="0" w:lineRule="atLeast"/>
                        <w:jc w:val="center"/>
                        <w:rPr>
                          <w:rFonts w:asciiTheme="minorBidi" w:hAnsiTheme="minorBidi" w:cstheme="minorBidi"/>
                          <w:sz w:val="48"/>
                          <w:szCs w:val="48"/>
                          <w:lang w:val="fr-CH"/>
                        </w:rPr>
                      </w:pPr>
                      <w:r w:rsidRPr="006B40F3">
                        <w:rPr>
                          <w:rFonts w:asciiTheme="minorBidi" w:hAnsiTheme="minorBidi" w:cstheme="minorBidi"/>
                          <w:sz w:val="48"/>
                          <w:szCs w:val="48"/>
                          <w:lang w:val="fr-CH"/>
                        </w:rPr>
                        <w:t>09243</w:t>
                      </w:r>
                      <w:r w:rsidR="009949C0">
                        <w:rPr>
                          <w:rFonts w:asciiTheme="minorBidi" w:hAnsiTheme="minorBidi" w:cstheme="minorBidi"/>
                          <w:sz w:val="48"/>
                          <w:szCs w:val="48"/>
                          <w:lang w:val="fr-CH"/>
                        </w:rPr>
                        <w:t>9</w:t>
                      </w:r>
                    </w:p>
                  </w:txbxContent>
                </v:textbox>
              </v:shape>
            </w:pict>
          </mc:Fallback>
        </mc:AlternateContent>
      </w:r>
      <w:r w:rsidRPr="004F1386">
        <w:rPr>
          <w:caps/>
          <w:noProof/>
        </w:rPr>
        <w:drawing>
          <wp:inline distT="0" distB="0" distL="0" distR="0" wp14:anchorId="62EB9966" wp14:editId="0368BBF2">
            <wp:extent cx="4676775" cy="914400"/>
            <wp:effectExtent l="0" t="0" r="9525" b="0"/>
            <wp:docPr id="4" name="Picture 4" descr="Reg107 Annex2 Model A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07 Annex2 Model A fr"/>
                    <pic:cNvPicPr>
                      <a:picLocks noChangeAspect="1" noChangeArrowheads="1"/>
                    </pic:cNvPicPr>
                  </pic:nvPicPr>
                  <pic:blipFill>
                    <a:blip r:embed="rId12" cstate="print">
                      <a:extLst>
                        <a:ext uri="{28A0092B-C50C-407E-A947-70E740481C1C}">
                          <a14:useLocalDpi xmlns:a14="http://schemas.microsoft.com/office/drawing/2010/main" val="0"/>
                        </a:ext>
                      </a:extLst>
                    </a:blip>
                    <a:srcRect t="17282"/>
                    <a:stretch>
                      <a:fillRect/>
                    </a:stretch>
                  </pic:blipFill>
                  <pic:spPr bwMode="auto">
                    <a:xfrm>
                      <a:off x="0" y="0"/>
                      <a:ext cx="4676775" cy="914400"/>
                    </a:xfrm>
                    <a:prstGeom prst="rect">
                      <a:avLst/>
                    </a:prstGeom>
                    <a:noFill/>
                    <a:ln>
                      <a:noFill/>
                    </a:ln>
                  </pic:spPr>
                </pic:pic>
              </a:graphicData>
            </a:graphic>
          </wp:inline>
        </w:drawing>
      </w:r>
    </w:p>
    <w:p w14:paraId="3325A0D5" w14:textId="77777777" w:rsidR="00DC0632" w:rsidRDefault="00DC0632" w:rsidP="00DC0632">
      <w:pPr>
        <w:pStyle w:val="SingleTxtG"/>
        <w:tabs>
          <w:tab w:val="left" w:pos="6800"/>
        </w:tabs>
        <w:jc w:val="right"/>
        <w:rPr>
          <w:caps/>
        </w:rPr>
      </w:pPr>
      <w:r>
        <w:t>a = 8 mm min</w:t>
      </w:r>
    </w:p>
    <w:p w14:paraId="4597DCFA" w14:textId="77777777" w:rsidR="00DC0632" w:rsidRPr="00775EBE" w:rsidRDefault="00DC0632" w:rsidP="00DC0632">
      <w:pPr>
        <w:pStyle w:val="SingleTxtG"/>
        <w:tabs>
          <w:tab w:val="left" w:pos="6800"/>
        </w:tabs>
        <w:rPr>
          <w:sz w:val="2"/>
          <w:szCs w:val="2"/>
        </w:rPr>
      </w:pPr>
    </w:p>
    <w:p w14:paraId="6E05353D" w14:textId="20E3A538" w:rsidR="00DC0632" w:rsidRPr="00775EBE" w:rsidRDefault="00A139AA" w:rsidP="00DC0632">
      <w:pPr>
        <w:pStyle w:val="SingleTxtG"/>
        <w:spacing w:before="120"/>
      </w:pPr>
      <w:r>
        <w:tab/>
      </w:r>
      <w:r w:rsidR="00DC0632" w:rsidRPr="00775EBE">
        <w:tab/>
        <w:t xml:space="preserve">The above approval mark affixed to a vehicle shows that the vehicle type concerned has, with regard to its constructional features, been approved in the Netherlands (E 4) for Class III, pursuant to </w:t>
      </w:r>
      <w:r>
        <w:t xml:space="preserve">UN </w:t>
      </w:r>
      <w:r w:rsidR="00DC0632" w:rsidRPr="00775EBE">
        <w:t>Regulation No. 107 under approval number 0</w:t>
      </w:r>
      <w:r w:rsidR="00DC0632">
        <w:t>9</w:t>
      </w:r>
      <w:r w:rsidR="00DC0632" w:rsidRPr="00775EBE">
        <w:t xml:space="preserve">2439. The approval number indicates that the approval was granted according to the requirements of </w:t>
      </w:r>
      <w:r>
        <w:t xml:space="preserve">UN </w:t>
      </w:r>
      <w:r w:rsidR="00DC0632" w:rsidRPr="00775EBE">
        <w:t>Regulation No. 107 as amended by the 0</w:t>
      </w:r>
      <w:r w:rsidR="00DC0632">
        <w:t>9</w:t>
      </w:r>
      <w:r w:rsidR="00DC0632" w:rsidRPr="00775EBE">
        <w:t xml:space="preserve"> series of amendments.</w:t>
      </w:r>
    </w:p>
    <w:p w14:paraId="58D85DDE" w14:textId="77777777" w:rsidR="00DC0632" w:rsidRPr="006F2B2E" w:rsidRDefault="00DC0632" w:rsidP="00DC0632">
      <w:pPr>
        <w:pStyle w:val="Heading1"/>
        <w:keepNext/>
        <w:keepLines/>
        <w:spacing w:before="200"/>
      </w:pPr>
      <w:bookmarkStart w:id="5" w:name="_Toc381693801"/>
      <w:r w:rsidRPr="006F2B2E">
        <w:t>Model B</w:t>
      </w:r>
      <w:bookmarkEnd w:id="5"/>
    </w:p>
    <w:p w14:paraId="7F95FF76" w14:textId="77777777" w:rsidR="00DC0632" w:rsidRPr="00775EBE" w:rsidRDefault="00DC0632" w:rsidP="00DC0632">
      <w:pPr>
        <w:pStyle w:val="SingleTxtG"/>
        <w:keepNext/>
        <w:keepLines/>
      </w:pPr>
      <w:r w:rsidRPr="00775EBE">
        <w:t>(See paragraph 4.5. of this Regulation)</w:t>
      </w:r>
    </w:p>
    <w:p w14:paraId="38764EB3" w14:textId="77777777" w:rsidR="00DC0632" w:rsidRPr="00775EBE" w:rsidRDefault="00DC0632" w:rsidP="00DC0632">
      <w:pPr>
        <w:rPr>
          <w:sz w:val="2"/>
          <w:szCs w:val="2"/>
        </w:rPr>
      </w:pPr>
    </w:p>
    <w:p w14:paraId="2DB5F42F" w14:textId="77777777" w:rsidR="00DC0632" w:rsidRPr="00775EBE" w:rsidRDefault="00DC0632" w:rsidP="00DC0632">
      <w:pPr>
        <w:ind w:left="1134"/>
        <w:rPr>
          <w:sz w:val="2"/>
          <w:szCs w:val="2"/>
        </w:rPr>
      </w:pPr>
      <w:r>
        <w:rPr>
          <w:noProof/>
        </w:rPr>
        <w:lastRenderedPageBreak/>
        <w:drawing>
          <wp:anchor distT="0" distB="0" distL="114300" distR="114300" simplePos="0" relativeHeight="251660288" behindDoc="0" locked="0" layoutInCell="1" allowOverlap="1" wp14:anchorId="63FED6E1" wp14:editId="428656C5">
            <wp:simplePos x="0" y="0"/>
            <wp:positionH relativeFrom="column">
              <wp:posOffset>3829050</wp:posOffset>
            </wp:positionH>
            <wp:positionV relativeFrom="paragraph">
              <wp:posOffset>304800</wp:posOffset>
            </wp:positionV>
            <wp:extent cx="1047750" cy="285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7750" cy="285750"/>
                    </a:xfrm>
                    <a:prstGeom prst="rect">
                      <a:avLst/>
                    </a:prstGeom>
                  </pic:spPr>
                </pic:pic>
              </a:graphicData>
            </a:graphic>
          </wp:anchor>
        </w:drawing>
      </w:r>
      <w:r w:rsidRPr="004F1386">
        <w:rPr>
          <w:noProof/>
        </w:rPr>
        <w:drawing>
          <wp:inline distT="0" distB="0" distL="0" distR="0" wp14:anchorId="36BBA606" wp14:editId="57DD0194">
            <wp:extent cx="5029200" cy="1009650"/>
            <wp:effectExtent l="0" t="0" r="0" b="0"/>
            <wp:docPr id="3" name="Picture 3" descr="Reg107 Annex2 Model 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107 Annex2 Model B fr"/>
                    <pic:cNvPicPr>
                      <a:picLocks noChangeAspect="1" noChangeArrowheads="1"/>
                    </pic:cNvPicPr>
                  </pic:nvPicPr>
                  <pic:blipFill>
                    <a:blip r:embed="rId14" cstate="print">
                      <a:extLst>
                        <a:ext uri="{28A0092B-C50C-407E-A947-70E740481C1C}">
                          <a14:useLocalDpi xmlns:a14="http://schemas.microsoft.com/office/drawing/2010/main" val="0"/>
                        </a:ext>
                      </a:extLst>
                    </a:blip>
                    <a:srcRect t="12053"/>
                    <a:stretch>
                      <a:fillRect/>
                    </a:stretch>
                  </pic:blipFill>
                  <pic:spPr bwMode="auto">
                    <a:xfrm>
                      <a:off x="0" y="0"/>
                      <a:ext cx="5029200" cy="1009650"/>
                    </a:xfrm>
                    <a:prstGeom prst="rect">
                      <a:avLst/>
                    </a:prstGeom>
                    <a:noFill/>
                    <a:ln>
                      <a:noFill/>
                    </a:ln>
                  </pic:spPr>
                </pic:pic>
              </a:graphicData>
            </a:graphic>
          </wp:inline>
        </w:drawing>
      </w:r>
    </w:p>
    <w:p w14:paraId="2593A09C" w14:textId="4C321B89" w:rsidR="00DC0632" w:rsidRDefault="00DC0632" w:rsidP="009520E5">
      <w:pPr>
        <w:pStyle w:val="SingleTxtG"/>
        <w:jc w:val="right"/>
      </w:pPr>
      <w:r>
        <w:t xml:space="preserve">a = 8 mm min </w:t>
      </w:r>
    </w:p>
    <w:p w14:paraId="39572332" w14:textId="77777777" w:rsidR="009520E5" w:rsidRPr="00775EBE" w:rsidRDefault="009520E5" w:rsidP="009520E5">
      <w:pPr>
        <w:pStyle w:val="SingleTxtG"/>
        <w:jc w:val="right"/>
        <w:rPr>
          <w:sz w:val="2"/>
          <w:szCs w:val="2"/>
        </w:rPr>
      </w:pPr>
    </w:p>
    <w:p w14:paraId="2B855232" w14:textId="288FA8CC" w:rsidR="00DC0632" w:rsidRPr="00775EBE" w:rsidRDefault="006804EF" w:rsidP="00DC0632">
      <w:pPr>
        <w:pStyle w:val="SingleTxtG"/>
      </w:pPr>
      <w:r>
        <w:tab/>
      </w:r>
      <w:r w:rsidR="00DC0632" w:rsidRPr="00775EBE">
        <w:tab/>
        <w:t xml:space="preserve">The above approval mark affixed to a vehicle shows that the vehicle type concerned has been approved in the Netherlands (E 4) pursuant to </w:t>
      </w:r>
      <w:r>
        <w:t xml:space="preserve">UN </w:t>
      </w:r>
      <w:r w:rsidR="00DC0632" w:rsidRPr="00775EBE">
        <w:t>Regulations Nos. 107 and 43</w:t>
      </w:r>
      <w:r w:rsidR="00DC0632" w:rsidRPr="00775EBE">
        <w:rPr>
          <w:rStyle w:val="FootnoteReference"/>
        </w:rPr>
        <w:footnoteReference w:customMarkFollows="1" w:id="4"/>
        <w:t>*</w:t>
      </w:r>
      <w:r w:rsidR="00DC0632" w:rsidRPr="00775EBE">
        <w:t xml:space="preserve">. The first two digits of the approval numbers indicate that, on the dates on which these approvals were granted </w:t>
      </w:r>
      <w:r>
        <w:t xml:space="preserve">UN </w:t>
      </w:r>
      <w:r w:rsidR="00DC0632" w:rsidRPr="00775EBE">
        <w:t>Regulation No. 107 included the 0</w:t>
      </w:r>
      <w:r w:rsidR="00DC0632">
        <w:t>9</w:t>
      </w:r>
      <w:r w:rsidR="00DC0632" w:rsidRPr="00775EBE">
        <w:t xml:space="preserve"> series of amendments and </w:t>
      </w:r>
      <w:r>
        <w:t xml:space="preserve">UN </w:t>
      </w:r>
      <w:r w:rsidR="00DC0632" w:rsidRPr="00775EBE">
        <w:t>Regulation No. 43 was in its original form.</w:t>
      </w:r>
    </w:p>
    <w:p w14:paraId="34AF139E" w14:textId="77777777" w:rsidR="00DC0632" w:rsidRPr="006F2B2E" w:rsidRDefault="00DC0632" w:rsidP="00DC0632">
      <w:pPr>
        <w:pStyle w:val="Heading1"/>
        <w:keepNext/>
        <w:keepLines/>
        <w:spacing w:before="200"/>
      </w:pPr>
      <w:bookmarkStart w:id="6" w:name="_Toc381693802"/>
      <w:r w:rsidRPr="006F2B2E">
        <w:t>Model C</w:t>
      </w:r>
      <w:bookmarkEnd w:id="6"/>
    </w:p>
    <w:p w14:paraId="3B906ADE" w14:textId="77777777" w:rsidR="00DC0632" w:rsidRPr="00775EBE" w:rsidRDefault="00DC0632" w:rsidP="00DC0632">
      <w:pPr>
        <w:pStyle w:val="SingleTxtG"/>
        <w:keepNext/>
        <w:keepLines/>
      </w:pPr>
      <w:r w:rsidRPr="00775EBE">
        <w:t>(See paragraph 4.4.3. of this Regulation)</w:t>
      </w:r>
    </w:p>
    <w:p w14:paraId="2E6091A7" w14:textId="77777777" w:rsidR="00DC0632" w:rsidRPr="00775EBE" w:rsidRDefault="00DC0632" w:rsidP="00DC0632">
      <w:pPr>
        <w:pStyle w:val="SingleTxtG"/>
        <w:keepNext/>
        <w:keepLines/>
        <w:spacing w:after="0"/>
        <w:rPr>
          <w:sz w:val="2"/>
          <w:szCs w:val="2"/>
        </w:rPr>
      </w:pPr>
    </w:p>
    <w:p w14:paraId="49C086B0" w14:textId="77777777" w:rsidR="00DC0632" w:rsidRDefault="00DC0632" w:rsidP="00DC0632">
      <w:pPr>
        <w:pStyle w:val="SingleTxtG"/>
      </w:pPr>
      <w:r>
        <w:rPr>
          <w:noProof/>
        </w:rPr>
        <w:drawing>
          <wp:anchor distT="0" distB="0" distL="114300" distR="114300" simplePos="0" relativeHeight="251661312" behindDoc="0" locked="0" layoutInCell="1" allowOverlap="1" wp14:anchorId="54927CF5" wp14:editId="12D095F4">
            <wp:simplePos x="0" y="0"/>
            <wp:positionH relativeFrom="column">
              <wp:posOffset>3966210</wp:posOffset>
            </wp:positionH>
            <wp:positionV relativeFrom="paragraph">
              <wp:posOffset>302895</wp:posOffset>
            </wp:positionV>
            <wp:extent cx="104775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7750" cy="285750"/>
                    </a:xfrm>
                    <a:prstGeom prst="rect">
                      <a:avLst/>
                    </a:prstGeom>
                  </pic:spPr>
                </pic:pic>
              </a:graphicData>
            </a:graphic>
          </wp:anchor>
        </w:drawing>
      </w:r>
      <w:r w:rsidRPr="00BB0F2D">
        <w:rPr>
          <w:noProof/>
          <w:spacing w:val="-2"/>
        </w:rPr>
        <w:drawing>
          <wp:inline distT="0" distB="0" distL="0" distR="0" wp14:anchorId="67156809" wp14:editId="3B451C87">
            <wp:extent cx="4724400" cy="800100"/>
            <wp:effectExtent l="0" t="0" r="0" b="0"/>
            <wp:docPr id="2" name="Picture 2" descr="Reg107 Annex2 Model 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107 Annex2 Model C fr"/>
                    <pic:cNvPicPr>
                      <a:picLocks noChangeAspect="1" noChangeArrowheads="1"/>
                    </pic:cNvPicPr>
                  </pic:nvPicPr>
                  <pic:blipFill>
                    <a:blip r:embed="rId15" cstate="print">
                      <a:extLst>
                        <a:ext uri="{28A0092B-C50C-407E-A947-70E740481C1C}">
                          <a14:useLocalDpi xmlns:a14="http://schemas.microsoft.com/office/drawing/2010/main" val="0"/>
                        </a:ext>
                      </a:extLst>
                    </a:blip>
                    <a:srcRect t="23636"/>
                    <a:stretch>
                      <a:fillRect/>
                    </a:stretch>
                  </pic:blipFill>
                  <pic:spPr bwMode="auto">
                    <a:xfrm>
                      <a:off x="0" y="0"/>
                      <a:ext cx="4724400" cy="800100"/>
                    </a:xfrm>
                    <a:prstGeom prst="rect">
                      <a:avLst/>
                    </a:prstGeom>
                    <a:noFill/>
                    <a:ln>
                      <a:noFill/>
                    </a:ln>
                  </pic:spPr>
                </pic:pic>
              </a:graphicData>
            </a:graphic>
          </wp:inline>
        </w:drawing>
      </w:r>
    </w:p>
    <w:p w14:paraId="79FBF1AA" w14:textId="77777777" w:rsidR="00DC0632" w:rsidRDefault="00DC0632" w:rsidP="00DC0632">
      <w:pPr>
        <w:pStyle w:val="SingleTxtG"/>
        <w:tabs>
          <w:tab w:val="left" w:pos="6800"/>
        </w:tabs>
        <w:jc w:val="right"/>
        <w:rPr>
          <w:caps/>
        </w:rPr>
      </w:pPr>
      <w:r>
        <w:t>a = 8 mm min</w:t>
      </w:r>
    </w:p>
    <w:p w14:paraId="43830CD6" w14:textId="77777777" w:rsidR="00DC0632" w:rsidRPr="00775EBE" w:rsidRDefault="00DC0632" w:rsidP="00DC0632">
      <w:pPr>
        <w:pStyle w:val="SingleTxtG"/>
        <w:spacing w:after="0"/>
        <w:rPr>
          <w:sz w:val="2"/>
          <w:szCs w:val="2"/>
        </w:rPr>
      </w:pPr>
    </w:p>
    <w:p w14:paraId="5B7804E6" w14:textId="77777777" w:rsidR="00B15A74" w:rsidRDefault="006804EF" w:rsidP="00372535">
      <w:pPr>
        <w:pStyle w:val="SingleTxtG"/>
      </w:pPr>
      <w:r>
        <w:tab/>
      </w:r>
      <w:r w:rsidR="00DC0632" w:rsidRPr="00775EBE">
        <w:tab/>
        <w:t xml:space="preserve">The above approval mark affixed to a vehicle bodywork shows that the bodywork type concerned has, with regard to its constructional features, been approved separately in the Netherlands (E 4) for Class III as a separate bodywork (letter S), pursuant to </w:t>
      </w:r>
      <w:r>
        <w:t xml:space="preserve">UN </w:t>
      </w:r>
      <w:r w:rsidR="00DC0632" w:rsidRPr="00775EBE">
        <w:t>Regulation No. 107 under approval numb</w:t>
      </w:r>
      <w:r w:rsidR="00DC0632" w:rsidRPr="00775EBE">
        <w:rPr>
          <w:szCs w:val="24"/>
        </w:rPr>
        <w:t>er 0</w:t>
      </w:r>
      <w:r w:rsidR="00DC0632">
        <w:rPr>
          <w:szCs w:val="24"/>
        </w:rPr>
        <w:t>9</w:t>
      </w:r>
      <w:r w:rsidR="00DC0632" w:rsidRPr="00775EBE">
        <w:rPr>
          <w:szCs w:val="24"/>
        </w:rPr>
        <w:t xml:space="preserve">2439. The approval number indicates that the approval was granted according to the requirements of </w:t>
      </w:r>
      <w:r>
        <w:rPr>
          <w:szCs w:val="24"/>
        </w:rPr>
        <w:t xml:space="preserve">UN </w:t>
      </w:r>
      <w:r w:rsidR="00DC0632" w:rsidRPr="00775EBE">
        <w:rPr>
          <w:szCs w:val="24"/>
        </w:rPr>
        <w:t>Regulation No. 107 as amended by the 0</w:t>
      </w:r>
      <w:r w:rsidR="00DC0632">
        <w:rPr>
          <w:szCs w:val="24"/>
        </w:rPr>
        <w:t>9</w:t>
      </w:r>
      <w:r w:rsidR="00DC0632" w:rsidRPr="00775EBE">
        <w:rPr>
          <w:szCs w:val="24"/>
        </w:rPr>
        <w:t> se</w:t>
      </w:r>
      <w:r w:rsidR="00DC0632" w:rsidRPr="00775EBE">
        <w:t>ries of amendments.</w:t>
      </w:r>
      <w:r w:rsidR="00DC0632">
        <w:t>"</w:t>
      </w:r>
    </w:p>
    <w:p w14:paraId="2BCD722E" w14:textId="639EBAFA" w:rsidR="006804EF" w:rsidRDefault="00CD653D" w:rsidP="00372535">
      <w:pPr>
        <w:pStyle w:val="SingleTxtG"/>
        <w:rPr>
          <w:rFonts w:asciiTheme="majorBidi" w:hAnsiTheme="majorBidi" w:cstheme="majorBidi"/>
          <w:i/>
        </w:rPr>
      </w:pPr>
      <w:r w:rsidRPr="00DF0E34">
        <w:rPr>
          <w:rFonts w:asciiTheme="majorBidi" w:hAnsiTheme="majorBidi" w:cstheme="majorBidi"/>
          <w:i/>
        </w:rPr>
        <w:t xml:space="preserve">Annex 3 </w:t>
      </w:r>
    </w:p>
    <w:p w14:paraId="1CD203B9" w14:textId="4205695C" w:rsidR="00CD653D" w:rsidRPr="00DF0E34" w:rsidRDefault="006804EF" w:rsidP="00B15A74">
      <w:pPr>
        <w:pStyle w:val="SingleTxtG"/>
        <w:tabs>
          <w:tab w:val="left" w:pos="8505"/>
        </w:tabs>
        <w:rPr>
          <w:rFonts w:asciiTheme="majorBidi" w:hAnsiTheme="majorBidi" w:cstheme="majorBidi"/>
          <w:i/>
        </w:rPr>
      </w:pPr>
      <w:r>
        <w:rPr>
          <w:rFonts w:asciiTheme="majorBidi" w:hAnsiTheme="majorBidi" w:cstheme="majorBidi"/>
          <w:i/>
        </w:rPr>
        <w:t>P</w:t>
      </w:r>
      <w:r w:rsidRPr="00DF0E34">
        <w:rPr>
          <w:rFonts w:asciiTheme="majorBidi" w:hAnsiTheme="majorBidi" w:cstheme="majorBidi"/>
          <w:i/>
        </w:rPr>
        <w:t xml:space="preserve">aragraph </w:t>
      </w:r>
      <w:r w:rsidR="00CD653D" w:rsidRPr="00DF0E34">
        <w:rPr>
          <w:rFonts w:asciiTheme="majorBidi" w:hAnsiTheme="majorBidi" w:cstheme="majorBidi"/>
          <w:i/>
        </w:rPr>
        <w:t xml:space="preserve">7.5.1.5.1. </w:t>
      </w:r>
      <w:r w:rsidR="00CD653D" w:rsidRPr="00DF0E34">
        <w:rPr>
          <w:rFonts w:asciiTheme="majorBidi" w:hAnsiTheme="majorBidi" w:cstheme="majorBidi"/>
        </w:rPr>
        <w:t>amend</w:t>
      </w:r>
      <w:r w:rsidR="00CD653D" w:rsidRPr="00DF0E34">
        <w:rPr>
          <w:rFonts w:asciiTheme="majorBidi" w:hAnsiTheme="majorBidi" w:cstheme="majorBidi"/>
          <w:i/>
        </w:rPr>
        <w:t xml:space="preserve"> </w:t>
      </w:r>
      <w:r w:rsidR="00CD653D" w:rsidRPr="00DF0E34">
        <w:rPr>
          <w:rFonts w:asciiTheme="majorBidi" w:hAnsiTheme="majorBidi" w:cstheme="majorBidi"/>
        </w:rPr>
        <w:t>to read</w:t>
      </w:r>
      <w:r w:rsidR="00CD653D" w:rsidRPr="00DF0E34">
        <w:rPr>
          <w:rFonts w:asciiTheme="majorBidi" w:hAnsiTheme="majorBidi" w:cstheme="majorBidi"/>
          <w:iCs/>
        </w:rPr>
        <w:t>:</w:t>
      </w:r>
    </w:p>
    <w:p w14:paraId="3FE5A4CD" w14:textId="77777777" w:rsidR="00CD653D" w:rsidRPr="003A70AB" w:rsidRDefault="00CD653D" w:rsidP="00CD653D">
      <w:pPr>
        <w:pStyle w:val="SingleTxtG"/>
        <w:ind w:left="2268" w:hanging="1134"/>
        <w:rPr>
          <w:rFonts w:asciiTheme="majorBidi" w:hAnsiTheme="majorBidi" w:cstheme="majorBidi"/>
        </w:rPr>
      </w:pPr>
      <w:r w:rsidRPr="00DF0E34">
        <w:rPr>
          <w:rFonts w:asciiTheme="majorBidi" w:hAnsiTheme="majorBidi" w:cstheme="majorBidi"/>
        </w:rPr>
        <w:t>"7.5.1.5.1.</w:t>
      </w:r>
      <w:r w:rsidRPr="00DF0E34">
        <w:rPr>
          <w:rFonts w:asciiTheme="majorBidi" w:hAnsiTheme="majorBidi" w:cstheme="majorBidi"/>
        </w:rPr>
        <w:tab/>
        <w:t>The alarm system and the fire suppression system, if fitted, shall be automatically activated through a fire detection system. The detection system shall be designed so as to detect a temperature, in the engine compartment</w:t>
      </w:r>
      <w:r w:rsidRPr="00DF0E34">
        <w:rPr>
          <w:rFonts w:asciiTheme="majorBidi" w:hAnsiTheme="majorBidi" w:cstheme="majorBidi"/>
          <w:b/>
          <w:bCs/>
          <w:color w:val="0070C0"/>
        </w:rPr>
        <w:t>,</w:t>
      </w:r>
      <w:r w:rsidRPr="00DF0E34">
        <w:rPr>
          <w:rFonts w:asciiTheme="majorBidi" w:hAnsiTheme="majorBidi" w:cstheme="majorBidi"/>
        </w:rPr>
        <w:t xml:space="preserve"> and </w:t>
      </w:r>
      <w:r w:rsidRPr="003A70AB">
        <w:rPr>
          <w:rFonts w:asciiTheme="majorBidi" w:hAnsiTheme="majorBidi" w:cstheme="majorBidi"/>
        </w:rPr>
        <w:t>in each compartment where a combustion heater is located, in excess of the reference temperature occurring during normal operation</w:t>
      </w:r>
      <w:r w:rsidRPr="003A70AB">
        <w:rPr>
          <w:rFonts w:asciiTheme="majorBidi" w:hAnsiTheme="majorBidi" w:cstheme="majorBidi"/>
          <w:color w:val="0070C0"/>
        </w:rPr>
        <w:t xml:space="preserve"> </w:t>
      </w:r>
      <w:r w:rsidRPr="003A70AB">
        <w:rPr>
          <w:rFonts w:asciiTheme="majorBidi" w:hAnsiTheme="majorBidi" w:cstheme="majorBidi"/>
        </w:rPr>
        <w:t>as declared by the manufacturer.</w:t>
      </w:r>
    </w:p>
    <w:p w14:paraId="67F02915" w14:textId="77777777" w:rsidR="00CD653D" w:rsidRPr="003A70AB" w:rsidRDefault="00CD653D" w:rsidP="00CD653D">
      <w:pPr>
        <w:pStyle w:val="SingleTxtG"/>
        <w:ind w:left="2268"/>
        <w:rPr>
          <w:rFonts w:asciiTheme="majorBidi" w:hAnsiTheme="majorBidi" w:cstheme="majorBidi"/>
        </w:rPr>
      </w:pPr>
      <w:r w:rsidRPr="003A70AB">
        <w:rPr>
          <w:rFonts w:asciiTheme="majorBidi" w:hAnsiTheme="majorBidi" w:cstheme="majorBidi"/>
        </w:rPr>
        <w:tab/>
        <w:t>At the time of Type Approval, this temperature detection shall be verified by the Technical Service, in accordance with the manufacturer’s recommendations.</w:t>
      </w:r>
    </w:p>
    <w:p w14:paraId="0364F7F4" w14:textId="64A7BA06" w:rsidR="00CD653D" w:rsidRPr="003A70AB" w:rsidRDefault="00CD653D" w:rsidP="00CD653D">
      <w:pPr>
        <w:pStyle w:val="SingleTxtG"/>
        <w:ind w:left="2268"/>
        <w:rPr>
          <w:rFonts w:asciiTheme="majorBidi" w:hAnsiTheme="majorBidi" w:cstheme="majorBidi"/>
        </w:rPr>
      </w:pPr>
      <w:r w:rsidRPr="003A70AB">
        <w:rPr>
          <w:rFonts w:asciiTheme="majorBidi" w:hAnsiTheme="majorBidi" w:cstheme="majorBidi"/>
        </w:rPr>
        <w:tab/>
        <w:t>The fire suppression system may alternatively be activated automatically by other means, as long as it activates the alarm system</w:t>
      </w:r>
      <w:r w:rsidR="006804EF" w:rsidRPr="003A70AB">
        <w:rPr>
          <w:rFonts w:asciiTheme="majorBidi" w:hAnsiTheme="majorBidi" w:cstheme="majorBidi"/>
        </w:rPr>
        <w:t>.</w:t>
      </w:r>
      <w:r w:rsidR="006804EF">
        <w:rPr>
          <w:rFonts w:asciiTheme="majorBidi" w:hAnsiTheme="majorBidi" w:cstheme="majorBidi"/>
        </w:rPr>
        <w:t>"</w:t>
      </w:r>
    </w:p>
    <w:p w14:paraId="5388FFA4" w14:textId="2097218D" w:rsidR="00CD653D" w:rsidRPr="00DF0E34" w:rsidRDefault="006804EF" w:rsidP="00CD653D">
      <w:pPr>
        <w:pStyle w:val="SingleTxtG"/>
        <w:tabs>
          <w:tab w:val="left" w:pos="8505"/>
        </w:tabs>
        <w:spacing w:before="240"/>
        <w:ind w:right="1133"/>
        <w:rPr>
          <w:rFonts w:asciiTheme="majorBidi" w:hAnsiTheme="majorBidi" w:cstheme="majorBidi"/>
          <w:i/>
        </w:rPr>
      </w:pPr>
      <w:r w:rsidRPr="00014A38">
        <w:rPr>
          <w:rFonts w:asciiTheme="majorBidi" w:hAnsiTheme="majorBidi" w:cstheme="majorBidi"/>
          <w:i/>
        </w:rPr>
        <w:t>I</w:t>
      </w:r>
      <w:r w:rsidR="00CD653D" w:rsidRPr="00014A38">
        <w:rPr>
          <w:rFonts w:asciiTheme="majorBidi" w:hAnsiTheme="majorBidi" w:cstheme="majorBidi"/>
          <w:i/>
        </w:rPr>
        <w:t>nsert a new paragraph 7.5.7. and 7.5.7.1</w:t>
      </w:r>
      <w:r w:rsidR="00CD653D" w:rsidRPr="00DF0E34">
        <w:rPr>
          <w:rFonts w:asciiTheme="majorBidi" w:hAnsiTheme="majorBidi" w:cstheme="majorBidi"/>
        </w:rPr>
        <w:t>., to read:</w:t>
      </w:r>
    </w:p>
    <w:p w14:paraId="49C412AA" w14:textId="60EEF2D1" w:rsidR="00CD653D" w:rsidRPr="00B93DFB" w:rsidRDefault="006804EF" w:rsidP="00CD653D">
      <w:pPr>
        <w:pStyle w:val="SingleTxtG"/>
        <w:ind w:left="2268" w:hanging="1134"/>
        <w:rPr>
          <w:rFonts w:asciiTheme="majorBidi" w:hAnsiTheme="majorBidi" w:cstheme="majorBidi"/>
        </w:rPr>
      </w:pPr>
      <w:r>
        <w:rPr>
          <w:rFonts w:asciiTheme="majorBidi" w:hAnsiTheme="majorBidi" w:cstheme="majorBidi"/>
        </w:rPr>
        <w:t>"</w:t>
      </w:r>
      <w:r w:rsidR="00CD653D" w:rsidRPr="00B93DFB">
        <w:rPr>
          <w:rFonts w:asciiTheme="majorBidi" w:hAnsiTheme="majorBidi" w:cstheme="majorBidi"/>
        </w:rPr>
        <w:t>7.5.7.</w:t>
      </w:r>
      <w:r w:rsidR="00CD653D" w:rsidRPr="00B93DFB">
        <w:rPr>
          <w:rFonts w:asciiTheme="majorBidi" w:hAnsiTheme="majorBidi" w:cstheme="majorBidi"/>
        </w:rPr>
        <w:tab/>
      </w:r>
      <w:r w:rsidR="00CD653D" w:rsidRPr="00B93DFB">
        <w:rPr>
          <w:rFonts w:asciiTheme="majorBidi" w:hAnsiTheme="majorBidi" w:cstheme="majorBidi"/>
        </w:rPr>
        <w:tab/>
        <w:t>Fire event</w:t>
      </w:r>
    </w:p>
    <w:p w14:paraId="020CE6AB" w14:textId="02DB059C" w:rsidR="00CD653D" w:rsidRPr="00B93DFB" w:rsidRDefault="00CD653D" w:rsidP="00CD653D">
      <w:pPr>
        <w:pStyle w:val="SingleTxtG"/>
        <w:ind w:left="2268" w:hanging="1134"/>
        <w:rPr>
          <w:rFonts w:asciiTheme="majorBidi" w:hAnsiTheme="majorBidi" w:cstheme="majorBidi"/>
        </w:rPr>
      </w:pPr>
      <w:r w:rsidRPr="00B93DFB">
        <w:rPr>
          <w:rFonts w:asciiTheme="majorBidi" w:hAnsiTheme="majorBidi" w:cstheme="majorBidi"/>
        </w:rPr>
        <w:t>7.5.7.1</w:t>
      </w:r>
      <w:r w:rsidRPr="00B93DFB">
        <w:rPr>
          <w:rFonts w:asciiTheme="majorBidi" w:hAnsiTheme="majorBidi" w:cstheme="majorBidi"/>
        </w:rPr>
        <w:tab/>
        <w:t>In the case of vehicles of Classes</w:t>
      </w:r>
      <w:r w:rsidR="00B93DFB" w:rsidRPr="00B93DFB">
        <w:rPr>
          <w:rFonts w:asciiTheme="majorBidi" w:hAnsiTheme="majorBidi" w:cstheme="majorBidi"/>
        </w:rPr>
        <w:t xml:space="preserve"> </w:t>
      </w:r>
      <w:r w:rsidRPr="00B93DFB">
        <w:rPr>
          <w:rFonts w:asciiTheme="majorBidi" w:hAnsiTheme="majorBidi" w:cstheme="majorBidi"/>
        </w:rPr>
        <w:t>I, II, III and B, having the engine located to the rear of the driver’s compartment, in the event of activation of an alarm system:</w:t>
      </w:r>
    </w:p>
    <w:p w14:paraId="43F9D89B" w14:textId="49E61889" w:rsidR="00CD653D" w:rsidRPr="00B93DFB" w:rsidRDefault="005F109E" w:rsidP="005F109E">
      <w:pPr>
        <w:pStyle w:val="ListParagraph"/>
        <w:tabs>
          <w:tab w:val="left" w:pos="1418"/>
          <w:tab w:val="left" w:pos="8505"/>
        </w:tabs>
        <w:spacing w:after="120"/>
        <w:ind w:left="2835" w:right="1134" w:hanging="567"/>
        <w:jc w:val="both"/>
        <w:rPr>
          <w:rFonts w:asciiTheme="majorBidi" w:hAnsiTheme="majorBidi" w:cstheme="majorBidi"/>
          <w:sz w:val="20"/>
          <w:szCs w:val="20"/>
          <w:lang w:val="en-GB"/>
        </w:rPr>
      </w:pPr>
      <w:r>
        <w:rPr>
          <w:rFonts w:asciiTheme="majorBidi" w:hAnsiTheme="majorBidi" w:cstheme="majorBidi"/>
          <w:sz w:val="20"/>
          <w:szCs w:val="20"/>
          <w:lang w:val="en-GB"/>
        </w:rPr>
        <w:lastRenderedPageBreak/>
        <w:t>(a)</w:t>
      </w:r>
      <w:r>
        <w:rPr>
          <w:rFonts w:asciiTheme="majorBidi" w:hAnsiTheme="majorBidi" w:cstheme="majorBidi"/>
          <w:sz w:val="20"/>
          <w:szCs w:val="20"/>
          <w:lang w:val="en-GB"/>
        </w:rPr>
        <w:tab/>
        <w:t>T</w:t>
      </w:r>
      <w:r w:rsidRPr="00B93DFB">
        <w:rPr>
          <w:rFonts w:asciiTheme="majorBidi" w:hAnsiTheme="majorBidi" w:cstheme="majorBidi"/>
          <w:sz w:val="20"/>
          <w:szCs w:val="20"/>
          <w:lang w:val="en-GB"/>
        </w:rPr>
        <w:t xml:space="preserve">he </w:t>
      </w:r>
      <w:r w:rsidR="00CD653D" w:rsidRPr="00B93DFB">
        <w:rPr>
          <w:rFonts w:asciiTheme="majorBidi" w:hAnsiTheme="majorBidi" w:cstheme="majorBidi"/>
          <w:sz w:val="20"/>
          <w:szCs w:val="20"/>
          <w:lang w:val="en-GB"/>
        </w:rPr>
        <w:t>emergency lighting system according to paragraph 7.8.3.</w:t>
      </w:r>
      <w:r w:rsidR="00B93DFB" w:rsidRPr="00B93DFB">
        <w:rPr>
          <w:rFonts w:asciiTheme="majorBidi" w:hAnsiTheme="majorBidi" w:cstheme="majorBidi"/>
          <w:sz w:val="20"/>
          <w:szCs w:val="20"/>
          <w:lang w:val="en-GB"/>
        </w:rPr>
        <w:t>,</w:t>
      </w:r>
      <w:r w:rsidR="00CD653D" w:rsidRPr="00B93DFB">
        <w:rPr>
          <w:rFonts w:asciiTheme="majorBidi" w:hAnsiTheme="majorBidi" w:cstheme="majorBidi"/>
          <w:sz w:val="20"/>
          <w:szCs w:val="20"/>
          <w:lang w:val="en-GB"/>
        </w:rPr>
        <w:t xml:space="preserve"> if fitted</w:t>
      </w:r>
      <w:r w:rsidR="00B93DFB" w:rsidRPr="00B93DFB">
        <w:rPr>
          <w:rFonts w:asciiTheme="majorBidi" w:hAnsiTheme="majorBidi" w:cstheme="majorBidi"/>
          <w:sz w:val="20"/>
          <w:szCs w:val="20"/>
          <w:lang w:val="en-GB"/>
        </w:rPr>
        <w:t>,</w:t>
      </w:r>
      <w:r w:rsidR="00CD653D" w:rsidRPr="00B93DFB">
        <w:rPr>
          <w:rFonts w:asciiTheme="majorBidi" w:hAnsiTheme="majorBidi" w:cstheme="majorBidi"/>
          <w:sz w:val="20"/>
          <w:szCs w:val="20"/>
          <w:lang w:val="en-GB"/>
        </w:rPr>
        <w:t xml:space="preserve"> shall automatically activate and,</w:t>
      </w:r>
    </w:p>
    <w:p w14:paraId="62F78BC6" w14:textId="1B482D18" w:rsidR="00CD653D" w:rsidRPr="00B93DFB" w:rsidRDefault="005F109E" w:rsidP="005F109E">
      <w:pPr>
        <w:pStyle w:val="ListParagraph"/>
        <w:tabs>
          <w:tab w:val="left" w:pos="1418"/>
          <w:tab w:val="left" w:pos="8505"/>
        </w:tabs>
        <w:ind w:left="2835" w:right="1133" w:hanging="567"/>
        <w:contextualSpacing/>
        <w:jc w:val="both"/>
        <w:rPr>
          <w:rFonts w:asciiTheme="majorBidi" w:hAnsiTheme="majorBidi" w:cstheme="majorBidi"/>
          <w:sz w:val="20"/>
          <w:szCs w:val="20"/>
          <w:lang w:val="en-GB"/>
        </w:rPr>
      </w:pPr>
      <w:r>
        <w:rPr>
          <w:rFonts w:asciiTheme="majorBidi" w:hAnsiTheme="majorBidi" w:cstheme="majorBidi"/>
          <w:sz w:val="20"/>
          <w:szCs w:val="20"/>
          <w:lang w:val="en-GB"/>
        </w:rPr>
        <w:t>(b)</w:t>
      </w:r>
      <w:r>
        <w:rPr>
          <w:rFonts w:asciiTheme="majorBidi" w:hAnsiTheme="majorBidi" w:cstheme="majorBidi"/>
          <w:sz w:val="20"/>
          <w:szCs w:val="20"/>
          <w:lang w:val="en-GB"/>
        </w:rPr>
        <w:tab/>
        <w:t>A</w:t>
      </w:r>
      <w:r w:rsidRPr="00B93DFB">
        <w:rPr>
          <w:rFonts w:asciiTheme="majorBidi" w:hAnsiTheme="majorBidi" w:cstheme="majorBidi"/>
          <w:sz w:val="20"/>
          <w:szCs w:val="20"/>
          <w:lang w:val="en-GB"/>
        </w:rPr>
        <w:t xml:space="preserve">fter </w:t>
      </w:r>
      <w:r w:rsidR="00CD653D" w:rsidRPr="00B93DFB">
        <w:rPr>
          <w:rFonts w:asciiTheme="majorBidi" w:hAnsiTheme="majorBidi" w:cstheme="majorBidi"/>
          <w:sz w:val="20"/>
          <w:szCs w:val="20"/>
          <w:lang w:val="en-GB"/>
        </w:rPr>
        <w:t>a single positive action of the driver on any of the door controls in the driver’s compartment, all power-operated doors situated on the side of the vehicle that is nearer of the side of the road corresponding to the direction of traffic for which the vehicle is designed shall open and shall remain in the opened position.</w:t>
      </w:r>
    </w:p>
    <w:p w14:paraId="4DBA1720" w14:textId="77777777" w:rsidR="00CD653D" w:rsidRPr="00B93DFB" w:rsidRDefault="00CD653D" w:rsidP="00CD653D">
      <w:pPr>
        <w:tabs>
          <w:tab w:val="left" w:pos="1418"/>
          <w:tab w:val="left" w:pos="2268"/>
          <w:tab w:val="left" w:pos="8505"/>
        </w:tabs>
        <w:spacing w:line="240" w:lineRule="auto"/>
        <w:ind w:right="1133" w:hanging="993"/>
        <w:jc w:val="both"/>
        <w:rPr>
          <w:rFonts w:asciiTheme="majorBidi" w:hAnsiTheme="majorBidi" w:cstheme="majorBidi"/>
        </w:rPr>
      </w:pPr>
      <w:r w:rsidRPr="00B93DFB">
        <w:rPr>
          <w:rFonts w:asciiTheme="majorBidi" w:hAnsiTheme="majorBidi" w:cstheme="majorBidi"/>
        </w:rPr>
        <w:t xml:space="preserve"> </w:t>
      </w:r>
    </w:p>
    <w:p w14:paraId="77160B8D" w14:textId="77777777" w:rsidR="00CD653D" w:rsidRPr="00B93DFB" w:rsidRDefault="00CD653D" w:rsidP="00CD653D">
      <w:pPr>
        <w:pStyle w:val="SingleTxtG"/>
        <w:ind w:left="2268"/>
        <w:rPr>
          <w:rFonts w:asciiTheme="majorBidi" w:hAnsiTheme="majorBidi" w:cstheme="majorBidi"/>
        </w:rPr>
      </w:pPr>
      <w:r w:rsidRPr="00B93DFB">
        <w:rPr>
          <w:rFonts w:asciiTheme="majorBidi" w:hAnsiTheme="majorBidi" w:cstheme="majorBidi"/>
        </w:rPr>
        <w:tab/>
        <w:t>This is applicable when the vehicle is stationary or driving at a speed less than or equal to 3 km/h.</w:t>
      </w:r>
    </w:p>
    <w:p w14:paraId="23C613C4" w14:textId="3AF6A5B8" w:rsidR="00CD653D" w:rsidRPr="00B93DFB" w:rsidRDefault="00CD653D" w:rsidP="00014A38">
      <w:pPr>
        <w:pStyle w:val="SingleTxtG"/>
        <w:ind w:left="2268"/>
        <w:rPr>
          <w:rFonts w:asciiTheme="majorBidi" w:hAnsiTheme="majorBidi" w:cstheme="majorBidi"/>
        </w:rPr>
      </w:pPr>
      <w:r w:rsidRPr="00B93DFB">
        <w:rPr>
          <w:rFonts w:asciiTheme="majorBidi" w:hAnsiTheme="majorBidi" w:cstheme="majorBidi"/>
        </w:rPr>
        <w:tab/>
        <w:t>A repeated use of the opening control shall not reverse the opening movement of the door, in order to avoid unintended re-closing in an emergency situation</w:t>
      </w:r>
      <w:r w:rsidR="00014A38" w:rsidRPr="00B93DFB">
        <w:rPr>
          <w:rFonts w:asciiTheme="majorBidi" w:hAnsiTheme="majorBidi" w:cstheme="majorBidi"/>
        </w:rPr>
        <w:t>.</w:t>
      </w:r>
      <w:r w:rsidR="00014A38">
        <w:rPr>
          <w:rFonts w:asciiTheme="majorBidi" w:hAnsiTheme="majorBidi" w:cstheme="majorBidi"/>
        </w:rPr>
        <w:t>"</w:t>
      </w:r>
    </w:p>
    <w:p w14:paraId="00F0FD48" w14:textId="77AD105D" w:rsidR="00CD653D" w:rsidRPr="00DF0E34" w:rsidRDefault="00014A38" w:rsidP="00014A38">
      <w:pPr>
        <w:pStyle w:val="SingleTxtG"/>
        <w:tabs>
          <w:tab w:val="left" w:pos="8505"/>
        </w:tabs>
        <w:rPr>
          <w:rFonts w:asciiTheme="majorBidi" w:hAnsiTheme="majorBidi" w:cstheme="majorBidi"/>
          <w:i/>
        </w:rPr>
      </w:pPr>
      <w:r w:rsidRPr="00014A38">
        <w:rPr>
          <w:rFonts w:asciiTheme="majorBidi" w:hAnsiTheme="majorBidi" w:cstheme="majorBidi"/>
          <w:i/>
        </w:rPr>
        <w:t>I</w:t>
      </w:r>
      <w:r w:rsidR="00CD653D" w:rsidRPr="00014A38">
        <w:rPr>
          <w:rFonts w:asciiTheme="majorBidi" w:hAnsiTheme="majorBidi" w:cstheme="majorBidi"/>
          <w:i/>
        </w:rPr>
        <w:t>nsert a new paragraph 7.19.</w:t>
      </w:r>
      <w:r>
        <w:rPr>
          <w:rFonts w:asciiTheme="majorBidi" w:hAnsiTheme="majorBidi" w:cstheme="majorBidi"/>
        </w:rPr>
        <w:t>,</w:t>
      </w:r>
      <w:r w:rsidR="00CD653D" w:rsidRPr="00DF0E34">
        <w:rPr>
          <w:rFonts w:asciiTheme="majorBidi" w:hAnsiTheme="majorBidi" w:cstheme="majorBidi"/>
        </w:rPr>
        <w:t xml:space="preserve"> to read:</w:t>
      </w:r>
    </w:p>
    <w:p w14:paraId="5763E73E" w14:textId="09CE5083" w:rsidR="00CD653D" w:rsidRPr="00090CD3" w:rsidRDefault="00014A38" w:rsidP="00CD653D">
      <w:pPr>
        <w:pStyle w:val="SingleTxtG"/>
        <w:ind w:left="2268" w:hanging="1134"/>
        <w:rPr>
          <w:rFonts w:asciiTheme="majorBidi" w:hAnsiTheme="majorBidi" w:cstheme="majorBidi"/>
        </w:rPr>
      </w:pPr>
      <w:r>
        <w:rPr>
          <w:rFonts w:asciiTheme="majorBidi" w:hAnsiTheme="majorBidi" w:cstheme="majorBidi"/>
        </w:rPr>
        <w:t>"</w:t>
      </w:r>
      <w:r w:rsidR="00CD653D" w:rsidRPr="00090CD3">
        <w:rPr>
          <w:rFonts w:asciiTheme="majorBidi" w:hAnsiTheme="majorBidi" w:cstheme="majorBidi"/>
        </w:rPr>
        <w:t>7.19.</w:t>
      </w:r>
      <w:r w:rsidR="00CD653D" w:rsidRPr="00090CD3">
        <w:rPr>
          <w:rFonts w:asciiTheme="majorBidi" w:hAnsiTheme="majorBidi" w:cstheme="majorBidi"/>
        </w:rPr>
        <w:tab/>
        <w:t>Safety information:</w:t>
      </w:r>
    </w:p>
    <w:p w14:paraId="2EAB2132" w14:textId="6A588152" w:rsidR="00CD653D" w:rsidRPr="00090CD3" w:rsidRDefault="00CD653D" w:rsidP="00CD653D">
      <w:pPr>
        <w:pStyle w:val="SingleTxtG"/>
        <w:ind w:left="2268"/>
        <w:rPr>
          <w:rFonts w:asciiTheme="majorBidi" w:hAnsiTheme="majorBidi" w:cstheme="majorBidi"/>
        </w:rPr>
      </w:pPr>
      <w:r w:rsidRPr="00090CD3">
        <w:rPr>
          <w:rFonts w:asciiTheme="majorBidi" w:hAnsiTheme="majorBidi" w:cstheme="majorBidi"/>
        </w:rPr>
        <w:tab/>
        <w:t>In the case of vehicles of Classes II non low floor, III and B, means to transmit safety information, which permit the operator, driver and/or crew</w:t>
      </w:r>
      <w:r w:rsidRPr="00090CD3" w:rsidDel="00A859F8">
        <w:rPr>
          <w:rFonts w:asciiTheme="majorBidi" w:hAnsiTheme="majorBidi" w:cstheme="majorBidi"/>
        </w:rPr>
        <w:t xml:space="preserve"> </w:t>
      </w:r>
      <w:r w:rsidRPr="00090CD3">
        <w:rPr>
          <w:rFonts w:asciiTheme="majorBidi" w:hAnsiTheme="majorBidi" w:cstheme="majorBidi"/>
        </w:rPr>
        <w:t>to easily inform the passengers of the safety instructions as e.g. the location of the emergency exits, the location of the fire extinguishers, safety sign, shall be specified by the manufacturer in the application for approval.</w:t>
      </w:r>
    </w:p>
    <w:p w14:paraId="762555AD" w14:textId="4AF3751A" w:rsidR="00CD653D" w:rsidRPr="00090CD3" w:rsidRDefault="00CD653D" w:rsidP="00CD653D">
      <w:pPr>
        <w:pStyle w:val="SingleTxtG"/>
        <w:ind w:left="2268"/>
        <w:rPr>
          <w:rFonts w:asciiTheme="majorBidi" w:hAnsiTheme="majorBidi" w:cstheme="majorBidi"/>
        </w:rPr>
      </w:pPr>
      <w:r w:rsidRPr="00090CD3">
        <w:rPr>
          <w:rFonts w:asciiTheme="majorBidi" w:hAnsiTheme="majorBidi" w:cstheme="majorBidi"/>
        </w:rPr>
        <w:t>These means shall be adapted to the design and architecture of the vehicle with the aim of making the safety instructions easily accessible and intelligible by any passenger</w:t>
      </w:r>
      <w:r w:rsidR="00303A8E" w:rsidRPr="00090CD3">
        <w:rPr>
          <w:rFonts w:asciiTheme="majorBidi" w:hAnsiTheme="majorBidi" w:cstheme="majorBidi"/>
        </w:rPr>
        <w:t>.</w:t>
      </w:r>
      <w:r w:rsidR="00303A8E">
        <w:rPr>
          <w:rFonts w:asciiTheme="majorBidi" w:hAnsiTheme="majorBidi" w:cstheme="majorBidi"/>
        </w:rPr>
        <w:t>"</w:t>
      </w:r>
    </w:p>
    <w:p w14:paraId="16FE26B5" w14:textId="77777777" w:rsidR="00C642B3" w:rsidRPr="00090CD3" w:rsidRDefault="00C642B3" w:rsidP="00C642B3">
      <w:pPr>
        <w:pStyle w:val="SingleTxtG"/>
      </w:pPr>
      <w:r w:rsidRPr="00090CD3">
        <w:rPr>
          <w:i/>
          <w:iCs/>
        </w:rPr>
        <w:t>Annex 8</w:t>
      </w:r>
    </w:p>
    <w:p w14:paraId="2F1FA5F4" w14:textId="77777777" w:rsidR="00C642B3" w:rsidRPr="00090CD3" w:rsidRDefault="00C642B3" w:rsidP="00C642B3">
      <w:pPr>
        <w:pStyle w:val="SingleTxtG"/>
        <w:rPr>
          <w:iCs/>
        </w:rPr>
      </w:pPr>
      <w:r w:rsidRPr="00090CD3">
        <w:rPr>
          <w:i/>
          <w:iCs/>
        </w:rPr>
        <w:t>Paragraph 3.11.3.1.1.,</w:t>
      </w:r>
      <w:r w:rsidRPr="00090CD3">
        <w:t xml:space="preserve"> </w:t>
      </w:r>
      <w:r w:rsidRPr="00090CD3">
        <w:rPr>
          <w:iCs/>
        </w:rPr>
        <w:t>amend to read:</w:t>
      </w:r>
    </w:p>
    <w:p w14:paraId="6C2E3DF5" w14:textId="60660F2A" w:rsidR="00C642B3" w:rsidRPr="00090CD3" w:rsidRDefault="00C642B3" w:rsidP="00C642B3">
      <w:pPr>
        <w:pStyle w:val="SingleTxtG"/>
        <w:ind w:left="2268" w:hanging="1134"/>
        <w:rPr>
          <w:rStyle w:val="SingleTxtGChar"/>
        </w:rPr>
      </w:pPr>
      <w:r w:rsidRPr="00090CD3">
        <w:t xml:space="preserve">"3.11.3.1.1. </w:t>
      </w:r>
      <w:r w:rsidRPr="00090CD3">
        <w:tab/>
        <w:t xml:space="preserve">Lifts shall only be capable of operation when the vehicle is at standstill. </w:t>
      </w:r>
      <w:r w:rsidR="003736B3" w:rsidRPr="00090CD3">
        <w:t>The vehicle shall have a starting prevention device that remains active until the lift is in its stowed position. If the lift gives access to the vehicle through a door referred to in paragraph 3.6 of this Annex, the starting prevention device shall remain active until the door is fully closed</w:t>
      </w:r>
      <w:r w:rsidRPr="00090CD3">
        <w:t xml:space="preserve"> Any movement of the platform shall be prevented unless a device preventing the wheelchair from rolling off has been activated or has automatically come into operation."</w:t>
      </w:r>
    </w:p>
    <w:p w14:paraId="450BC24F" w14:textId="77777777" w:rsidR="00C642B3" w:rsidRPr="00090CD3" w:rsidRDefault="00C642B3" w:rsidP="00C642B3">
      <w:pPr>
        <w:pStyle w:val="SingleTxtG"/>
        <w:rPr>
          <w:iCs/>
        </w:rPr>
      </w:pPr>
      <w:r w:rsidRPr="00090CD3">
        <w:rPr>
          <w:i/>
          <w:iCs/>
        </w:rPr>
        <w:t>Paragraph 3.11.4.1.1.</w:t>
      </w:r>
      <w:r w:rsidRPr="00090CD3">
        <w:t xml:space="preserve">, </w:t>
      </w:r>
      <w:r w:rsidRPr="00090CD3">
        <w:rPr>
          <w:iCs/>
        </w:rPr>
        <w:t>amend to read:</w:t>
      </w:r>
    </w:p>
    <w:p w14:paraId="6F2A3686" w14:textId="77777777" w:rsidR="00C642B3" w:rsidRPr="00090CD3" w:rsidRDefault="00C642B3" w:rsidP="00C642B3">
      <w:pPr>
        <w:pStyle w:val="SingleTxtG"/>
        <w:ind w:left="2268" w:hanging="1134"/>
      </w:pPr>
      <w:r w:rsidRPr="00090CD3">
        <w:t xml:space="preserve">"3.11.4.1.1. </w:t>
      </w:r>
      <w:r w:rsidRPr="00090CD3">
        <w:tab/>
        <w:t>The ramp shall only be capable of operation when the vehicle is at standstill. The vehicle shall have a starting prevention device that remains active until the ramp is in its stowed position or completely disconnected from the vehicle. "</w:t>
      </w:r>
    </w:p>
    <w:p w14:paraId="12A1CF40" w14:textId="77777777" w:rsidR="00B72025" w:rsidRPr="00222D9F" w:rsidRDefault="00B72025" w:rsidP="00B72025">
      <w:pPr>
        <w:spacing w:before="240"/>
        <w:jc w:val="center"/>
        <w:rPr>
          <w:u w:val="single"/>
        </w:rPr>
      </w:pPr>
      <w:r>
        <w:rPr>
          <w:u w:val="single"/>
        </w:rPr>
        <w:tab/>
      </w:r>
      <w:r>
        <w:rPr>
          <w:u w:val="single"/>
        </w:rPr>
        <w:tab/>
      </w:r>
      <w:r>
        <w:rPr>
          <w:u w:val="single"/>
        </w:rPr>
        <w:tab/>
      </w:r>
    </w:p>
    <w:sectPr w:rsidR="00B72025" w:rsidRPr="00222D9F" w:rsidSect="00772D17">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60E5" w14:textId="77777777" w:rsidR="003344B9" w:rsidRDefault="003344B9"/>
  </w:endnote>
  <w:endnote w:type="continuationSeparator" w:id="0">
    <w:p w14:paraId="2D5B194E" w14:textId="77777777" w:rsidR="003344B9" w:rsidRDefault="003344B9"/>
  </w:endnote>
  <w:endnote w:type="continuationNotice" w:id="1">
    <w:p w14:paraId="1CA910B2" w14:textId="77777777" w:rsidR="003344B9" w:rsidRDefault="00334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DF47" w14:textId="48F009D1" w:rsidR="00747EB8" w:rsidRDefault="00747EB8" w:rsidP="00747EB8">
    <w:pPr>
      <w:pStyle w:val="Footer"/>
    </w:pPr>
    <w:r w:rsidRPr="0027112F">
      <w:rPr>
        <w:noProof/>
        <w:lang w:val="en-US"/>
      </w:rPr>
      <w:drawing>
        <wp:anchor distT="0" distB="0" distL="114300" distR="114300" simplePos="0" relativeHeight="251659264" behindDoc="0" locked="1" layoutInCell="1" allowOverlap="1" wp14:anchorId="6FD06CA4" wp14:editId="29E4C8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B58346" w14:textId="4D5FDFF6" w:rsidR="00747EB8" w:rsidRPr="00747EB8" w:rsidRDefault="00747EB8" w:rsidP="00747EB8">
    <w:pPr>
      <w:pStyle w:val="Footer"/>
      <w:ind w:right="1134"/>
      <w:rPr>
        <w:sz w:val="20"/>
      </w:rPr>
    </w:pPr>
    <w:r>
      <w:rPr>
        <w:sz w:val="20"/>
      </w:rPr>
      <w:t>GE.20-17422(E)</w:t>
    </w:r>
    <w:r>
      <w:rPr>
        <w:noProof/>
        <w:sz w:val="20"/>
      </w:rPr>
      <w:drawing>
        <wp:anchor distT="0" distB="0" distL="114300" distR="114300" simplePos="0" relativeHeight="251660288" behindDoc="0" locked="0" layoutInCell="1" allowOverlap="1" wp14:anchorId="392BEDC0" wp14:editId="6CC9E922">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36E08" w14:textId="77777777" w:rsidR="003344B9" w:rsidRPr="000B175B" w:rsidRDefault="003344B9" w:rsidP="000B175B">
      <w:pPr>
        <w:tabs>
          <w:tab w:val="right" w:pos="2155"/>
        </w:tabs>
        <w:spacing w:after="80"/>
        <w:ind w:left="680"/>
        <w:rPr>
          <w:u w:val="single"/>
        </w:rPr>
      </w:pPr>
      <w:r>
        <w:rPr>
          <w:u w:val="single"/>
        </w:rPr>
        <w:tab/>
      </w:r>
    </w:p>
  </w:footnote>
  <w:footnote w:type="continuationSeparator" w:id="0">
    <w:p w14:paraId="1F4FE9C5" w14:textId="77777777" w:rsidR="003344B9" w:rsidRPr="00FC68B7" w:rsidRDefault="003344B9" w:rsidP="00FC68B7">
      <w:pPr>
        <w:tabs>
          <w:tab w:val="left" w:pos="2155"/>
        </w:tabs>
        <w:spacing w:after="80"/>
        <w:ind w:left="680"/>
        <w:rPr>
          <w:u w:val="single"/>
        </w:rPr>
      </w:pPr>
      <w:r>
        <w:rPr>
          <w:u w:val="single"/>
        </w:rPr>
        <w:tab/>
      </w:r>
    </w:p>
  </w:footnote>
  <w:footnote w:type="continuationNotice" w:id="1">
    <w:p w14:paraId="291FA35C" w14:textId="77777777" w:rsidR="003344B9" w:rsidRDefault="003344B9"/>
  </w:footnote>
  <w:footnote w:id="2">
    <w:p w14:paraId="13F6BF3D" w14:textId="77777777" w:rsidR="00DB276D" w:rsidRPr="00DC2C16" w:rsidRDefault="00DB276D" w:rsidP="00DB276D">
      <w:pPr>
        <w:pStyle w:val="FootnoteText"/>
      </w:pPr>
      <w:r>
        <w:rPr>
          <w:sz w:val="20"/>
        </w:rPr>
        <w:tab/>
      </w:r>
      <w:r w:rsidRPr="007B49E9">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54A5EF4" w14:textId="11D1F8C9" w:rsidR="007B49E9" w:rsidRPr="007B49E9" w:rsidRDefault="007B49E9" w:rsidP="007B49E9">
      <w:pPr>
        <w:pStyle w:val="FootnoteText"/>
        <w:rPr>
          <w:lang w:val="fr-CH"/>
        </w:rPr>
      </w:pPr>
      <w:r>
        <w:rPr>
          <w:rStyle w:val="FootnoteReference"/>
        </w:rPr>
        <w:tab/>
      </w:r>
      <w:r w:rsidRPr="007B49E9">
        <w:rPr>
          <w:rStyle w:val="FootnoteReference"/>
          <w:sz w:val="20"/>
          <w:vertAlign w:val="baseline"/>
        </w:rPr>
        <w:t>**</w:t>
      </w:r>
      <w:r>
        <w:rPr>
          <w:rStyle w:val="FootnoteReference"/>
          <w:sz w:val="20"/>
          <w:vertAlign w:val="baseline"/>
        </w:rPr>
        <w:tab/>
      </w:r>
      <w:r w:rsidRPr="007B49E9">
        <w:t>This document was scheduled for publication after the standard publication date owing to circumstances beyond the submitter's control.</w:t>
      </w:r>
    </w:p>
  </w:footnote>
  <w:footnote w:id="4">
    <w:p w14:paraId="6564392A" w14:textId="77777777" w:rsidR="00DC0632" w:rsidRPr="00C64828" w:rsidRDefault="00DC0632" w:rsidP="00DC0632">
      <w:pPr>
        <w:pStyle w:val="FootnoteText"/>
        <w:rPr>
          <w:rStyle w:val="FootnoteReference"/>
        </w:rPr>
      </w:pPr>
      <w:r w:rsidRPr="00C64828">
        <w:rPr>
          <w:rStyle w:val="FootnoteReference"/>
        </w:rPr>
        <w:tab/>
        <w:t>*</w:t>
      </w:r>
      <w:r w:rsidRPr="00C64828">
        <w:rPr>
          <w:rStyle w:val="FootnoteReference"/>
        </w:rPr>
        <w:tab/>
      </w:r>
      <w:r w:rsidRPr="006804EF">
        <w:rPr>
          <w:rStyle w:val="FootnoteReference"/>
          <w:vertAlign w:val="baseline"/>
        </w:rPr>
        <w:t>This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495BDB8E" w:rsidR="00772D17" w:rsidRPr="00772D17" w:rsidRDefault="00772D17">
    <w:pPr>
      <w:pStyle w:val="Header"/>
    </w:pPr>
    <w:r>
      <w:t>ECE/TRANS/WP.29/202</w:t>
    </w:r>
    <w:r w:rsidR="00EE5A92">
      <w:t>1</w:t>
    </w:r>
    <w:r>
      <w:t>/</w:t>
    </w:r>
    <w:r w:rsidR="00505484">
      <w:t>2</w:t>
    </w:r>
    <w:r w:rsidR="00EA6924">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57B56611" w:rsidR="00772D17" w:rsidRPr="00772D17" w:rsidRDefault="00772D17" w:rsidP="00772D17">
    <w:pPr>
      <w:pStyle w:val="Header"/>
      <w:jc w:val="right"/>
    </w:pPr>
    <w:r>
      <w:t>ECE/TRANS/WP.29/202</w:t>
    </w:r>
    <w:r w:rsidR="00EE5A92">
      <w:t>1</w:t>
    </w:r>
    <w:r>
      <w:t>/</w:t>
    </w:r>
    <w:r w:rsidR="00EA6924">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622CB2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87A417D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4A38"/>
    <w:rsid w:val="00027624"/>
    <w:rsid w:val="00030099"/>
    <w:rsid w:val="00032C5C"/>
    <w:rsid w:val="00050262"/>
    <w:rsid w:val="00050F6B"/>
    <w:rsid w:val="000573D0"/>
    <w:rsid w:val="000678CD"/>
    <w:rsid w:val="00072B5B"/>
    <w:rsid w:val="00072C8C"/>
    <w:rsid w:val="00074A85"/>
    <w:rsid w:val="00081CE0"/>
    <w:rsid w:val="00084D30"/>
    <w:rsid w:val="00090062"/>
    <w:rsid w:val="00090320"/>
    <w:rsid w:val="00090CD3"/>
    <w:rsid w:val="000931C0"/>
    <w:rsid w:val="00097003"/>
    <w:rsid w:val="000A2E09"/>
    <w:rsid w:val="000B175B"/>
    <w:rsid w:val="000B3A0F"/>
    <w:rsid w:val="000E0415"/>
    <w:rsid w:val="000E5151"/>
    <w:rsid w:val="000F7715"/>
    <w:rsid w:val="00122B11"/>
    <w:rsid w:val="001564E9"/>
    <w:rsid w:val="00156B99"/>
    <w:rsid w:val="00164A7B"/>
    <w:rsid w:val="00166124"/>
    <w:rsid w:val="00184DDA"/>
    <w:rsid w:val="001900CD"/>
    <w:rsid w:val="001A0452"/>
    <w:rsid w:val="001B4B04"/>
    <w:rsid w:val="001B5875"/>
    <w:rsid w:val="001C4B9C"/>
    <w:rsid w:val="001C6663"/>
    <w:rsid w:val="001C7895"/>
    <w:rsid w:val="001D26DF"/>
    <w:rsid w:val="001F061D"/>
    <w:rsid w:val="001F1599"/>
    <w:rsid w:val="001F19C4"/>
    <w:rsid w:val="002043F0"/>
    <w:rsid w:val="00211E0B"/>
    <w:rsid w:val="002233AF"/>
    <w:rsid w:val="00232575"/>
    <w:rsid w:val="00247258"/>
    <w:rsid w:val="00257CAC"/>
    <w:rsid w:val="0027237A"/>
    <w:rsid w:val="00292B40"/>
    <w:rsid w:val="002974E9"/>
    <w:rsid w:val="002A306B"/>
    <w:rsid w:val="002A7F94"/>
    <w:rsid w:val="002B109A"/>
    <w:rsid w:val="002C0E72"/>
    <w:rsid w:val="002C5E01"/>
    <w:rsid w:val="002C6D45"/>
    <w:rsid w:val="002D6E53"/>
    <w:rsid w:val="002F046D"/>
    <w:rsid w:val="002F3023"/>
    <w:rsid w:val="00301764"/>
    <w:rsid w:val="00303A8E"/>
    <w:rsid w:val="003229D8"/>
    <w:rsid w:val="00324D38"/>
    <w:rsid w:val="003344B9"/>
    <w:rsid w:val="00336C97"/>
    <w:rsid w:val="00337F88"/>
    <w:rsid w:val="00342432"/>
    <w:rsid w:val="00344E94"/>
    <w:rsid w:val="0035223F"/>
    <w:rsid w:val="00352D4B"/>
    <w:rsid w:val="0035638C"/>
    <w:rsid w:val="00372535"/>
    <w:rsid w:val="003736B3"/>
    <w:rsid w:val="003A46BB"/>
    <w:rsid w:val="003A4EC7"/>
    <w:rsid w:val="003A70AB"/>
    <w:rsid w:val="003A7295"/>
    <w:rsid w:val="003B0407"/>
    <w:rsid w:val="003B1F60"/>
    <w:rsid w:val="003B437E"/>
    <w:rsid w:val="003C2CC4"/>
    <w:rsid w:val="003D4B23"/>
    <w:rsid w:val="003E278A"/>
    <w:rsid w:val="00413520"/>
    <w:rsid w:val="00417C72"/>
    <w:rsid w:val="004325CB"/>
    <w:rsid w:val="00440A07"/>
    <w:rsid w:val="00454AF6"/>
    <w:rsid w:val="00462880"/>
    <w:rsid w:val="00476F24"/>
    <w:rsid w:val="004A5D33"/>
    <w:rsid w:val="004C55B0"/>
    <w:rsid w:val="004D5CF1"/>
    <w:rsid w:val="004D7E95"/>
    <w:rsid w:val="004F6BA0"/>
    <w:rsid w:val="00500CA5"/>
    <w:rsid w:val="00503BEA"/>
    <w:rsid w:val="005040C7"/>
    <w:rsid w:val="00505484"/>
    <w:rsid w:val="00514D66"/>
    <w:rsid w:val="00521505"/>
    <w:rsid w:val="00533616"/>
    <w:rsid w:val="00535ABA"/>
    <w:rsid w:val="0053768B"/>
    <w:rsid w:val="00541B2B"/>
    <w:rsid w:val="005420F2"/>
    <w:rsid w:val="0054285C"/>
    <w:rsid w:val="00544DD1"/>
    <w:rsid w:val="00567FDB"/>
    <w:rsid w:val="00584173"/>
    <w:rsid w:val="00595520"/>
    <w:rsid w:val="005A44B9"/>
    <w:rsid w:val="005B1BA0"/>
    <w:rsid w:val="005B3DB3"/>
    <w:rsid w:val="005B5FCD"/>
    <w:rsid w:val="005C0268"/>
    <w:rsid w:val="005D15CA"/>
    <w:rsid w:val="005F08DF"/>
    <w:rsid w:val="005F109E"/>
    <w:rsid w:val="005F26B5"/>
    <w:rsid w:val="005F3066"/>
    <w:rsid w:val="005F3E61"/>
    <w:rsid w:val="00604DDD"/>
    <w:rsid w:val="006115CC"/>
    <w:rsid w:val="00611FC4"/>
    <w:rsid w:val="006161A3"/>
    <w:rsid w:val="006176FB"/>
    <w:rsid w:val="00622C28"/>
    <w:rsid w:val="00630B84"/>
    <w:rsid w:val="00630FCB"/>
    <w:rsid w:val="00640B26"/>
    <w:rsid w:val="0065766B"/>
    <w:rsid w:val="006729E0"/>
    <w:rsid w:val="006770B2"/>
    <w:rsid w:val="006804EF"/>
    <w:rsid w:val="006844A8"/>
    <w:rsid w:val="00686A48"/>
    <w:rsid w:val="0068763C"/>
    <w:rsid w:val="006940E1"/>
    <w:rsid w:val="006A2B77"/>
    <w:rsid w:val="006A3C72"/>
    <w:rsid w:val="006A7392"/>
    <w:rsid w:val="006B03A1"/>
    <w:rsid w:val="006B67D9"/>
    <w:rsid w:val="006C5535"/>
    <w:rsid w:val="006D0589"/>
    <w:rsid w:val="006E564B"/>
    <w:rsid w:val="006E7154"/>
    <w:rsid w:val="007003CD"/>
    <w:rsid w:val="0070701E"/>
    <w:rsid w:val="00711C50"/>
    <w:rsid w:val="0072632A"/>
    <w:rsid w:val="007342D9"/>
    <w:rsid w:val="007358E8"/>
    <w:rsid w:val="00736ECE"/>
    <w:rsid w:val="0074533B"/>
    <w:rsid w:val="00747EB8"/>
    <w:rsid w:val="007643BC"/>
    <w:rsid w:val="00772D17"/>
    <w:rsid w:val="00773C39"/>
    <w:rsid w:val="00774F75"/>
    <w:rsid w:val="00780C68"/>
    <w:rsid w:val="007959FE"/>
    <w:rsid w:val="007A0CF1"/>
    <w:rsid w:val="007B49E9"/>
    <w:rsid w:val="007B6BA5"/>
    <w:rsid w:val="007C0842"/>
    <w:rsid w:val="007C3390"/>
    <w:rsid w:val="007C42D8"/>
    <w:rsid w:val="007C4F4B"/>
    <w:rsid w:val="007D6F65"/>
    <w:rsid w:val="007D7362"/>
    <w:rsid w:val="007F21C4"/>
    <w:rsid w:val="007F5CE2"/>
    <w:rsid w:val="007F6611"/>
    <w:rsid w:val="008002FC"/>
    <w:rsid w:val="00810BAC"/>
    <w:rsid w:val="008175E9"/>
    <w:rsid w:val="00820303"/>
    <w:rsid w:val="008242D7"/>
    <w:rsid w:val="0082577B"/>
    <w:rsid w:val="00825CB5"/>
    <w:rsid w:val="00865F5A"/>
    <w:rsid w:val="00866893"/>
    <w:rsid w:val="00866F02"/>
    <w:rsid w:val="00867D18"/>
    <w:rsid w:val="00871F9A"/>
    <w:rsid w:val="00871FD5"/>
    <w:rsid w:val="0088172E"/>
    <w:rsid w:val="00881EFA"/>
    <w:rsid w:val="008879CB"/>
    <w:rsid w:val="00892197"/>
    <w:rsid w:val="0089511A"/>
    <w:rsid w:val="00896554"/>
    <w:rsid w:val="008979B1"/>
    <w:rsid w:val="008A6B25"/>
    <w:rsid w:val="008A6C4F"/>
    <w:rsid w:val="008B2217"/>
    <w:rsid w:val="008B389E"/>
    <w:rsid w:val="008B7403"/>
    <w:rsid w:val="008D00EC"/>
    <w:rsid w:val="008D045E"/>
    <w:rsid w:val="008D3F25"/>
    <w:rsid w:val="008D4D82"/>
    <w:rsid w:val="008E0E46"/>
    <w:rsid w:val="008E7116"/>
    <w:rsid w:val="008F143B"/>
    <w:rsid w:val="008F355C"/>
    <w:rsid w:val="008F3764"/>
    <w:rsid w:val="008F3882"/>
    <w:rsid w:val="008F4B7C"/>
    <w:rsid w:val="0092066E"/>
    <w:rsid w:val="00926E47"/>
    <w:rsid w:val="00942F39"/>
    <w:rsid w:val="009444EC"/>
    <w:rsid w:val="00947162"/>
    <w:rsid w:val="009520E5"/>
    <w:rsid w:val="009610D0"/>
    <w:rsid w:val="0096375C"/>
    <w:rsid w:val="009662E6"/>
    <w:rsid w:val="0097095E"/>
    <w:rsid w:val="0098592B"/>
    <w:rsid w:val="00985FC4"/>
    <w:rsid w:val="00990766"/>
    <w:rsid w:val="00991261"/>
    <w:rsid w:val="009949C0"/>
    <w:rsid w:val="009954D5"/>
    <w:rsid w:val="009964C4"/>
    <w:rsid w:val="009A2FBE"/>
    <w:rsid w:val="009A7B81"/>
    <w:rsid w:val="009B5EA1"/>
    <w:rsid w:val="009B7EB7"/>
    <w:rsid w:val="009C5ED0"/>
    <w:rsid w:val="009D01C0"/>
    <w:rsid w:val="009D6A08"/>
    <w:rsid w:val="009D6B66"/>
    <w:rsid w:val="009E0A16"/>
    <w:rsid w:val="009E6CB7"/>
    <w:rsid w:val="009E7970"/>
    <w:rsid w:val="009F2EAC"/>
    <w:rsid w:val="009F4B5D"/>
    <w:rsid w:val="009F57E3"/>
    <w:rsid w:val="00A10F4F"/>
    <w:rsid w:val="00A11067"/>
    <w:rsid w:val="00A139AA"/>
    <w:rsid w:val="00A1704A"/>
    <w:rsid w:val="00A32555"/>
    <w:rsid w:val="00A36AC2"/>
    <w:rsid w:val="00A425EB"/>
    <w:rsid w:val="00A72F22"/>
    <w:rsid w:val="00A733BC"/>
    <w:rsid w:val="00A7426D"/>
    <w:rsid w:val="00A748A6"/>
    <w:rsid w:val="00A76A69"/>
    <w:rsid w:val="00A879A4"/>
    <w:rsid w:val="00A96CA5"/>
    <w:rsid w:val="00AA0FF8"/>
    <w:rsid w:val="00AB2E4D"/>
    <w:rsid w:val="00AC0F2C"/>
    <w:rsid w:val="00AC502A"/>
    <w:rsid w:val="00AC569A"/>
    <w:rsid w:val="00AE1E26"/>
    <w:rsid w:val="00AE5D86"/>
    <w:rsid w:val="00AF58C1"/>
    <w:rsid w:val="00B04A3F"/>
    <w:rsid w:val="00B06643"/>
    <w:rsid w:val="00B15055"/>
    <w:rsid w:val="00B15A74"/>
    <w:rsid w:val="00B16647"/>
    <w:rsid w:val="00B20551"/>
    <w:rsid w:val="00B30179"/>
    <w:rsid w:val="00B31E0B"/>
    <w:rsid w:val="00B33FC7"/>
    <w:rsid w:val="00B37B15"/>
    <w:rsid w:val="00B4162A"/>
    <w:rsid w:val="00B45C02"/>
    <w:rsid w:val="00B70B63"/>
    <w:rsid w:val="00B72025"/>
    <w:rsid w:val="00B72A1E"/>
    <w:rsid w:val="00B81E12"/>
    <w:rsid w:val="00B92A65"/>
    <w:rsid w:val="00B93DFB"/>
    <w:rsid w:val="00BA339B"/>
    <w:rsid w:val="00BB23CC"/>
    <w:rsid w:val="00BC1E7E"/>
    <w:rsid w:val="00BC74E9"/>
    <w:rsid w:val="00BD2F1A"/>
    <w:rsid w:val="00BE36A9"/>
    <w:rsid w:val="00BE618E"/>
    <w:rsid w:val="00BE7BEC"/>
    <w:rsid w:val="00BF0A5A"/>
    <w:rsid w:val="00BF0E63"/>
    <w:rsid w:val="00BF12A3"/>
    <w:rsid w:val="00BF16D7"/>
    <w:rsid w:val="00BF2373"/>
    <w:rsid w:val="00BF2666"/>
    <w:rsid w:val="00BF279B"/>
    <w:rsid w:val="00C044E2"/>
    <w:rsid w:val="00C048CB"/>
    <w:rsid w:val="00C066F3"/>
    <w:rsid w:val="00C202A4"/>
    <w:rsid w:val="00C23FA7"/>
    <w:rsid w:val="00C2526A"/>
    <w:rsid w:val="00C3790E"/>
    <w:rsid w:val="00C42BFD"/>
    <w:rsid w:val="00C463DD"/>
    <w:rsid w:val="00C56CFF"/>
    <w:rsid w:val="00C579AA"/>
    <w:rsid w:val="00C642B3"/>
    <w:rsid w:val="00C66DAB"/>
    <w:rsid w:val="00C745C3"/>
    <w:rsid w:val="00C7685D"/>
    <w:rsid w:val="00C83345"/>
    <w:rsid w:val="00C978F5"/>
    <w:rsid w:val="00CA24A4"/>
    <w:rsid w:val="00CB348D"/>
    <w:rsid w:val="00CD3292"/>
    <w:rsid w:val="00CD46F5"/>
    <w:rsid w:val="00CD653D"/>
    <w:rsid w:val="00CE4A8F"/>
    <w:rsid w:val="00CF071D"/>
    <w:rsid w:val="00CF7F16"/>
    <w:rsid w:val="00D00AD4"/>
    <w:rsid w:val="00D0123D"/>
    <w:rsid w:val="00D15B04"/>
    <w:rsid w:val="00D2031B"/>
    <w:rsid w:val="00D25FE2"/>
    <w:rsid w:val="00D271DB"/>
    <w:rsid w:val="00D32314"/>
    <w:rsid w:val="00D37DA9"/>
    <w:rsid w:val="00D406A7"/>
    <w:rsid w:val="00D43252"/>
    <w:rsid w:val="00D438A6"/>
    <w:rsid w:val="00D44D86"/>
    <w:rsid w:val="00D50B7D"/>
    <w:rsid w:val="00D51CDB"/>
    <w:rsid w:val="00D52012"/>
    <w:rsid w:val="00D704E5"/>
    <w:rsid w:val="00D72727"/>
    <w:rsid w:val="00D739ED"/>
    <w:rsid w:val="00D75591"/>
    <w:rsid w:val="00D978C6"/>
    <w:rsid w:val="00DA0956"/>
    <w:rsid w:val="00DA2D97"/>
    <w:rsid w:val="00DA357F"/>
    <w:rsid w:val="00DA3E12"/>
    <w:rsid w:val="00DB276D"/>
    <w:rsid w:val="00DC0632"/>
    <w:rsid w:val="00DC18AD"/>
    <w:rsid w:val="00DF7CAE"/>
    <w:rsid w:val="00E03270"/>
    <w:rsid w:val="00E042AA"/>
    <w:rsid w:val="00E075B3"/>
    <w:rsid w:val="00E152F4"/>
    <w:rsid w:val="00E16FB5"/>
    <w:rsid w:val="00E203F9"/>
    <w:rsid w:val="00E271EA"/>
    <w:rsid w:val="00E422B5"/>
    <w:rsid w:val="00E423C0"/>
    <w:rsid w:val="00E46734"/>
    <w:rsid w:val="00E627C6"/>
    <w:rsid w:val="00E6414C"/>
    <w:rsid w:val="00E7260F"/>
    <w:rsid w:val="00E77725"/>
    <w:rsid w:val="00E8702D"/>
    <w:rsid w:val="00E905F4"/>
    <w:rsid w:val="00E916A9"/>
    <w:rsid w:val="00E916DE"/>
    <w:rsid w:val="00E925AD"/>
    <w:rsid w:val="00E939F1"/>
    <w:rsid w:val="00E96630"/>
    <w:rsid w:val="00EA1CEA"/>
    <w:rsid w:val="00EA6924"/>
    <w:rsid w:val="00ED18DC"/>
    <w:rsid w:val="00ED5CF3"/>
    <w:rsid w:val="00ED6201"/>
    <w:rsid w:val="00ED7A2A"/>
    <w:rsid w:val="00EE5A92"/>
    <w:rsid w:val="00EF1D7F"/>
    <w:rsid w:val="00F0137E"/>
    <w:rsid w:val="00F04E44"/>
    <w:rsid w:val="00F1185C"/>
    <w:rsid w:val="00F21786"/>
    <w:rsid w:val="00F25D06"/>
    <w:rsid w:val="00F31CFF"/>
    <w:rsid w:val="00F3742B"/>
    <w:rsid w:val="00F41FDB"/>
    <w:rsid w:val="00F50597"/>
    <w:rsid w:val="00F56D63"/>
    <w:rsid w:val="00F609A9"/>
    <w:rsid w:val="00F737F2"/>
    <w:rsid w:val="00F76B95"/>
    <w:rsid w:val="00F80C99"/>
    <w:rsid w:val="00F82B8C"/>
    <w:rsid w:val="00F867EC"/>
    <w:rsid w:val="00F91B2B"/>
    <w:rsid w:val="00FA6DE1"/>
    <w:rsid w:val="00FC03CD"/>
    <w:rsid w:val="00FC0646"/>
    <w:rsid w:val="00FC68B7"/>
    <w:rsid w:val="00FD0BFD"/>
    <w:rsid w:val="00FE6985"/>
    <w:rsid w:val="11B3493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uiPriority w:val="9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paragraph" w:styleId="ListParagraph">
    <w:name w:val="List Paragraph"/>
    <w:basedOn w:val="Normal"/>
    <w:uiPriority w:val="34"/>
    <w:qFormat/>
    <w:rsid w:val="00CD653D"/>
    <w:pPr>
      <w:suppressAutoHyphens w:val="0"/>
      <w:spacing w:line="240" w:lineRule="auto"/>
      <w:ind w:left="720"/>
    </w:pPr>
    <w:rPr>
      <w:rFonts w:ascii="Calibri" w:hAnsi="Calibri"/>
      <w:sz w:val="22"/>
      <w:szCs w:val="22"/>
      <w:lang w:val="nl-BE" w:eastAsia="nl-BE"/>
    </w:rPr>
  </w:style>
  <w:style w:type="character" w:customStyle="1" w:styleId="Heading1Char">
    <w:name w:val="Heading 1 Char"/>
    <w:aliases w:val="Table_G Char"/>
    <w:link w:val="Heading1"/>
    <w:uiPriority w:val="99"/>
    <w:locked/>
    <w:rsid w:val="00DC0632"/>
    <w:rPr>
      <w:lang w:val="en-GB"/>
    </w:rPr>
  </w:style>
  <w:style w:type="character" w:customStyle="1" w:styleId="HeaderChar">
    <w:name w:val="Header Char"/>
    <w:aliases w:val="6_G Char"/>
    <w:link w:val="Header"/>
    <w:uiPriority w:val="99"/>
    <w:locked/>
    <w:rsid w:val="00DC0632"/>
    <w:rPr>
      <w:b/>
      <w:sz w:val="18"/>
      <w:lang w:val="en-GB"/>
    </w:rPr>
  </w:style>
  <w:style w:type="character" w:customStyle="1" w:styleId="FooterChar">
    <w:name w:val="Footer Char"/>
    <w:aliases w:val="3_G Char"/>
    <w:link w:val="Footer"/>
    <w:locked/>
    <w:rsid w:val="00DC0632"/>
    <w:rPr>
      <w:sz w:val="16"/>
      <w:lang w:val="en-GB"/>
    </w:rPr>
  </w:style>
  <w:style w:type="character" w:styleId="CommentReference">
    <w:name w:val="annotation reference"/>
    <w:basedOn w:val="DefaultParagraphFont"/>
    <w:semiHidden/>
    <w:unhideWhenUsed/>
    <w:rsid w:val="00E271EA"/>
    <w:rPr>
      <w:sz w:val="16"/>
      <w:szCs w:val="16"/>
    </w:rPr>
  </w:style>
  <w:style w:type="paragraph" w:styleId="CommentText">
    <w:name w:val="annotation text"/>
    <w:basedOn w:val="Normal"/>
    <w:link w:val="CommentTextChar"/>
    <w:semiHidden/>
    <w:unhideWhenUsed/>
    <w:rsid w:val="00E271EA"/>
    <w:pPr>
      <w:spacing w:line="240" w:lineRule="auto"/>
    </w:pPr>
  </w:style>
  <w:style w:type="character" w:customStyle="1" w:styleId="CommentTextChar">
    <w:name w:val="Comment Text Char"/>
    <w:basedOn w:val="DefaultParagraphFont"/>
    <w:link w:val="CommentText"/>
    <w:semiHidden/>
    <w:rsid w:val="00E271EA"/>
    <w:rPr>
      <w:lang w:val="en-GB"/>
    </w:rPr>
  </w:style>
  <w:style w:type="paragraph" w:styleId="CommentSubject">
    <w:name w:val="annotation subject"/>
    <w:basedOn w:val="CommentText"/>
    <w:next w:val="CommentText"/>
    <w:link w:val="CommentSubjectChar"/>
    <w:semiHidden/>
    <w:unhideWhenUsed/>
    <w:rsid w:val="00E271EA"/>
    <w:rPr>
      <w:b/>
      <w:bCs/>
    </w:rPr>
  </w:style>
  <w:style w:type="character" w:customStyle="1" w:styleId="CommentSubjectChar">
    <w:name w:val="Comment Subject Char"/>
    <w:basedOn w:val="CommentTextChar"/>
    <w:link w:val="CommentSubject"/>
    <w:semiHidden/>
    <w:rsid w:val="00E271E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CB7AA-2FD1-4D1A-B577-CAF4AFF4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6048</Characters>
  <Application>Microsoft Office Word</Application>
  <DocSecurity>0</DocSecurity>
  <Lines>142</Lines>
  <Paragraphs>62</Paragraphs>
  <ScaleCrop>false</ScaleCrop>
  <Company>CSD</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ECE/TRANS/WP.29/2021/26</dc:title>
  <dc:subject>2017422</dc:subject>
  <dc:creator>Lucille</dc:creator>
  <cp:keywords/>
  <dc:description/>
  <cp:lastModifiedBy>Maria Rosario Corazon Gatmaytan</cp:lastModifiedBy>
  <cp:revision>2</cp:revision>
  <cp:lastPrinted>2009-02-18T09:36:00Z</cp:lastPrinted>
  <dcterms:created xsi:type="dcterms:W3CDTF">2020-12-21T08:02:00Z</dcterms:created>
  <dcterms:modified xsi:type="dcterms:W3CDTF">2020-12-21T08:02:00Z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