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25A3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25A3A" w:rsidP="00C25A3A">
            <w:pPr>
              <w:jc w:val="right"/>
            </w:pPr>
            <w:r w:rsidRPr="00C25A3A">
              <w:rPr>
                <w:sz w:val="40"/>
              </w:rPr>
              <w:t>ECE</w:t>
            </w:r>
            <w:r>
              <w:t>/TRANS/WP.29/2021/22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25A3A" w:rsidP="00C97039">
            <w:pPr>
              <w:spacing w:before="240"/>
            </w:pPr>
            <w:proofErr w:type="spellStart"/>
            <w:r>
              <w:t>Distr</w:t>
            </w:r>
            <w:proofErr w:type="spellEnd"/>
            <w:r>
              <w:t>. générale</w:t>
            </w:r>
          </w:p>
          <w:p w:rsidR="00C25A3A" w:rsidRDefault="00C25A3A" w:rsidP="00C25A3A">
            <w:pPr>
              <w:spacing w:line="240" w:lineRule="exact"/>
            </w:pPr>
            <w:r>
              <w:t>21 décembre 2020</w:t>
            </w:r>
          </w:p>
          <w:p w:rsidR="00C25A3A" w:rsidRDefault="00C25A3A" w:rsidP="00C25A3A">
            <w:pPr>
              <w:spacing w:line="240" w:lineRule="exact"/>
            </w:pPr>
            <w:r>
              <w:t>Français</w:t>
            </w:r>
          </w:p>
          <w:p w:rsidR="00C25A3A" w:rsidRPr="00DB58B5" w:rsidRDefault="00C25A3A" w:rsidP="00C25A3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25A3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25A3A" w:rsidRDefault="00C25A3A" w:rsidP="00C25A3A">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25A3A" w:rsidRDefault="00C25A3A" w:rsidP="00C25A3A">
      <w:pPr>
        <w:spacing w:before="120" w:line="240" w:lineRule="exact"/>
        <w:rPr>
          <w:b/>
        </w:rPr>
      </w:pPr>
      <w:r w:rsidRPr="003C5C10">
        <w:rPr>
          <w:b/>
          <w:lang w:val="fr-FR"/>
        </w:rPr>
        <w:t>1</w:t>
      </w:r>
      <w:r>
        <w:rPr>
          <w:b/>
          <w:lang w:val="fr-FR"/>
        </w:rPr>
        <w:t>83</w:t>
      </w:r>
      <w:r w:rsidRPr="003C5C10">
        <w:rPr>
          <w:b/>
          <w:vertAlign w:val="superscript"/>
          <w:lang w:val="fr-FR"/>
        </w:rPr>
        <w:t>e</w:t>
      </w:r>
      <w:r w:rsidRPr="003C5C10">
        <w:rPr>
          <w:b/>
          <w:lang w:val="fr-FR"/>
        </w:rPr>
        <w:t> </w:t>
      </w:r>
      <w:r>
        <w:rPr>
          <w:b/>
        </w:rPr>
        <w:t>session</w:t>
      </w:r>
    </w:p>
    <w:p w:rsidR="00C25A3A" w:rsidRDefault="00C25A3A" w:rsidP="00C25A3A">
      <w:pPr>
        <w:spacing w:line="240" w:lineRule="exact"/>
      </w:pPr>
      <w:r>
        <w:t>Genève,</w:t>
      </w:r>
      <w:r>
        <w:rPr>
          <w:lang w:val="fr-FR"/>
        </w:rPr>
        <w:t xml:space="preserve"> 9-11 mars 2021</w:t>
      </w:r>
    </w:p>
    <w:p w:rsidR="00C25A3A" w:rsidRDefault="00C25A3A" w:rsidP="00C25A3A">
      <w:pPr>
        <w:spacing w:line="240" w:lineRule="exact"/>
      </w:pPr>
      <w:r>
        <w:t xml:space="preserve">Point </w:t>
      </w:r>
      <w:r>
        <w:rPr>
          <w:lang w:val="fr-FR"/>
        </w:rPr>
        <w:t>4.8.4</w:t>
      </w:r>
      <w:r>
        <w:t xml:space="preserve"> de l</w:t>
      </w:r>
      <w:r>
        <w:t>’</w:t>
      </w:r>
      <w:r>
        <w:t xml:space="preserve">ordre du jour </w:t>
      </w:r>
      <w:r w:rsidRPr="003C5C10">
        <w:rPr>
          <w:lang w:val="fr-FR"/>
        </w:rPr>
        <w:t>provisoire</w:t>
      </w:r>
    </w:p>
    <w:p w:rsidR="00C25A3A" w:rsidRPr="00E4016C" w:rsidRDefault="00C25A3A" w:rsidP="00C25A3A">
      <w:pPr>
        <w:rPr>
          <w:b/>
          <w:bCs/>
          <w:lang w:val="fr-FR"/>
        </w:rPr>
      </w:pPr>
      <w:r w:rsidRPr="00D023AB">
        <w:rPr>
          <w:b/>
          <w:bCs/>
          <w:spacing w:val="2"/>
        </w:rPr>
        <w:t>Accord de 1958 : examen de projets d</w:t>
      </w:r>
      <w:r w:rsidRPr="00D023AB">
        <w:rPr>
          <w:b/>
          <w:bCs/>
          <w:spacing w:val="2"/>
        </w:rPr>
        <w:t>’</w:t>
      </w:r>
      <w:r w:rsidRPr="00D023AB">
        <w:rPr>
          <w:b/>
          <w:bCs/>
          <w:spacing w:val="2"/>
        </w:rPr>
        <w:t xml:space="preserve">amendements </w:t>
      </w:r>
      <w:r w:rsidR="00D023AB" w:rsidRPr="00D023AB">
        <w:rPr>
          <w:b/>
          <w:bCs/>
          <w:spacing w:val="2"/>
        </w:rPr>
        <w:br/>
      </w:r>
      <w:r w:rsidRPr="00E4016C">
        <w:rPr>
          <w:b/>
          <w:bCs/>
        </w:rPr>
        <w:t>à des Règlements ONU existants, soumis par le GRSG</w:t>
      </w:r>
    </w:p>
    <w:p w:rsidR="00C25A3A" w:rsidRPr="003C5C10" w:rsidRDefault="00C25A3A" w:rsidP="00C25A3A">
      <w:pPr>
        <w:pStyle w:val="HChG"/>
        <w:rPr>
          <w:lang w:val="fr-FR"/>
        </w:rPr>
      </w:pPr>
      <w:r>
        <w:rPr>
          <w:lang w:val="fr-FR"/>
        </w:rPr>
        <w:tab/>
      </w:r>
      <w:r>
        <w:rPr>
          <w:lang w:val="fr-FR"/>
        </w:rPr>
        <w:tab/>
      </w:r>
      <w:r w:rsidRPr="003C5C10">
        <w:rPr>
          <w:lang w:val="fr-FR"/>
        </w:rPr>
        <w:t>Proposition de complément 3 à la série 01 d</w:t>
      </w:r>
      <w:r>
        <w:rPr>
          <w:lang w:val="fr-FR"/>
        </w:rPr>
        <w:t>’</w:t>
      </w:r>
      <w:r w:rsidRPr="003C5C10">
        <w:rPr>
          <w:lang w:val="fr-FR"/>
        </w:rPr>
        <w:t>amendements au</w:t>
      </w:r>
      <w:r>
        <w:rPr>
          <w:lang w:val="fr-FR"/>
        </w:rPr>
        <w:t> </w:t>
      </w:r>
      <w:r w:rsidRPr="003C5C10">
        <w:rPr>
          <w:lang w:val="fr-FR"/>
        </w:rPr>
        <w:t>Règlement ONU n</w:t>
      </w:r>
      <w:r w:rsidRPr="003C5C10">
        <w:rPr>
          <w:vertAlign w:val="superscript"/>
          <w:lang w:val="fr-FR"/>
        </w:rPr>
        <w:t>o</w:t>
      </w:r>
      <w:r>
        <w:rPr>
          <w:lang w:val="fr-FR"/>
        </w:rPr>
        <w:t> </w:t>
      </w:r>
      <w:r w:rsidRPr="003C5C10">
        <w:rPr>
          <w:lang w:val="fr-FR"/>
        </w:rPr>
        <w:t xml:space="preserve">125 (Champ de vision </w:t>
      </w:r>
      <w:r>
        <w:rPr>
          <w:lang w:val="fr-FR"/>
        </w:rPr>
        <w:br/>
      </w:r>
      <w:r w:rsidRPr="003C5C10">
        <w:rPr>
          <w:lang w:val="fr-FR"/>
        </w:rPr>
        <w:t>du conducteur vers l</w:t>
      </w:r>
      <w:r>
        <w:rPr>
          <w:lang w:val="fr-FR"/>
        </w:rPr>
        <w:t>’</w:t>
      </w:r>
      <w:r w:rsidRPr="003C5C10">
        <w:rPr>
          <w:lang w:val="fr-FR"/>
        </w:rPr>
        <w:t>avant)</w:t>
      </w:r>
    </w:p>
    <w:p w:rsidR="00C25A3A" w:rsidRDefault="00C25A3A" w:rsidP="00C25A3A">
      <w:pPr>
        <w:pStyle w:val="H1G"/>
      </w:pPr>
      <w:r w:rsidRPr="003C5C10">
        <w:rPr>
          <w:lang w:val="fr-FR"/>
        </w:rPr>
        <w:tab/>
      </w:r>
      <w:r w:rsidRPr="003C5C10">
        <w:rPr>
          <w:lang w:val="fr-FR"/>
        </w:rPr>
        <w:tab/>
        <w:t>Communication</w:t>
      </w:r>
      <w:r>
        <w:rPr>
          <w:lang w:val="fr-FR"/>
        </w:rPr>
        <w:t xml:space="preserve"> du Groupe de travail des dispositions générales </w:t>
      </w:r>
      <w:r>
        <w:rPr>
          <w:lang w:val="fr-FR"/>
        </w:rPr>
        <w:br/>
      </w:r>
      <w:r>
        <w:rPr>
          <w:lang w:val="fr-FR"/>
        </w:rPr>
        <w:t>de sécurité (GRSG)</w:t>
      </w:r>
      <w:r w:rsidRPr="00070555">
        <w:rPr>
          <w:rStyle w:val="Appelnotedebasdep"/>
          <w:b w:val="0"/>
          <w:bCs/>
          <w:sz w:val="20"/>
          <w:vertAlign w:val="baseline"/>
        </w:rPr>
        <w:footnoteReference w:customMarkFollows="1" w:id="2"/>
        <w:t>*</w:t>
      </w:r>
      <w:r w:rsidRPr="00C25A3A">
        <w:rPr>
          <w:rStyle w:val="Appelnotedebasdep"/>
          <w:b w:val="0"/>
          <w:bCs/>
          <w:position w:val="6"/>
          <w:sz w:val="20"/>
          <w:vertAlign w:val="baseline"/>
        </w:rPr>
        <w:t>,</w:t>
      </w:r>
      <w:r>
        <w:rPr>
          <w:b w:val="0"/>
          <w:bCs/>
          <w:sz w:val="20"/>
        </w:rPr>
        <w:t xml:space="preserve"> </w:t>
      </w:r>
      <w:r w:rsidRPr="00070555">
        <w:rPr>
          <w:rStyle w:val="Appelnotedebasdep"/>
          <w:b w:val="0"/>
          <w:bCs/>
          <w:sz w:val="20"/>
          <w:vertAlign w:val="baseline"/>
        </w:rPr>
        <w:footnoteReference w:customMarkFollows="1" w:id="3"/>
        <w:t>*</w:t>
      </w:r>
      <w:r>
        <w:rPr>
          <w:b w:val="0"/>
          <w:bCs/>
          <w:sz w:val="20"/>
        </w:rPr>
        <w:t>*</w:t>
      </w:r>
    </w:p>
    <w:p w:rsidR="00C25A3A" w:rsidRDefault="00C25A3A" w:rsidP="00C25A3A">
      <w:pPr>
        <w:pStyle w:val="SingleTxtG"/>
        <w:ind w:firstLine="567"/>
        <w:rPr>
          <w:lang w:val="fr-FR"/>
        </w:rPr>
      </w:pPr>
      <w:r w:rsidRPr="00D445ED">
        <w:rPr>
          <w:lang w:val="fr-FR"/>
        </w:rPr>
        <w:t>Le texte ci-après</w:t>
      </w:r>
      <w:r>
        <w:rPr>
          <w:lang w:val="fr-FR"/>
        </w:rPr>
        <w:t>,</w:t>
      </w:r>
      <w:r w:rsidRPr="00D445ED">
        <w:rPr>
          <w:lang w:val="fr-FR"/>
        </w:rPr>
        <w:t xml:space="preserve"> adopté par le Groupe de travail des dispositions générales de sécurité à sa 119</w:t>
      </w:r>
      <w:r w:rsidRPr="00F12536">
        <w:rPr>
          <w:vertAlign w:val="superscript"/>
          <w:lang w:val="fr-FR"/>
        </w:rPr>
        <w:t>e</w:t>
      </w:r>
      <w:r w:rsidRPr="00D445ED">
        <w:rPr>
          <w:lang w:val="fr-FR"/>
        </w:rPr>
        <w:t xml:space="preserve"> session, tenue en octobre 2020 (ECE/TRANS/WP.29/GRSG/98, par. 58)</w:t>
      </w:r>
      <w:r>
        <w:rPr>
          <w:lang w:val="fr-FR"/>
        </w:rPr>
        <w:t>,</w:t>
      </w:r>
      <w:r w:rsidRPr="00BE72DC">
        <w:rPr>
          <w:lang w:val="fr-FR"/>
        </w:rPr>
        <w:t xml:space="preserve"> est fondé sur le document ECE/TRANS/WP.29/GRSG/2020/32. </w:t>
      </w:r>
      <w:r w:rsidRPr="00D445ED">
        <w:rPr>
          <w:lang w:val="fr-FR"/>
        </w:rPr>
        <w:t>Il est soumis au Forum mondial de l</w:t>
      </w:r>
      <w:r>
        <w:rPr>
          <w:lang w:val="fr-FR"/>
        </w:rPr>
        <w:t>’</w:t>
      </w:r>
      <w:r w:rsidRPr="00D445ED">
        <w:rPr>
          <w:lang w:val="fr-FR"/>
        </w:rPr>
        <w:t>harmonisation des Règlements concernant les véhicules (WP.29) et au Comité d</w:t>
      </w:r>
      <w:r>
        <w:rPr>
          <w:lang w:val="fr-FR"/>
        </w:rPr>
        <w:t>’</w:t>
      </w:r>
      <w:r w:rsidRPr="00D445ED">
        <w:rPr>
          <w:lang w:val="fr-FR"/>
        </w:rPr>
        <w:t>administration de l</w:t>
      </w:r>
      <w:r>
        <w:rPr>
          <w:lang w:val="fr-FR"/>
        </w:rPr>
        <w:t>’</w:t>
      </w:r>
      <w:r w:rsidRPr="00D445ED">
        <w:rPr>
          <w:lang w:val="fr-FR"/>
        </w:rPr>
        <w:t>Accord de 1958 (AC.1) pour examen</w:t>
      </w:r>
      <w:r>
        <w:rPr>
          <w:lang w:val="fr-FR"/>
        </w:rPr>
        <w:t xml:space="preserve"> et mise aux voix à</w:t>
      </w:r>
      <w:r w:rsidRPr="00D445ED">
        <w:rPr>
          <w:lang w:val="fr-FR"/>
        </w:rPr>
        <w:t xml:space="preserve"> leurs sessions de</w:t>
      </w:r>
      <w:r>
        <w:rPr>
          <w:lang w:val="fr-FR"/>
        </w:rPr>
        <w:t xml:space="preserve"> mars 2021.</w:t>
      </w:r>
    </w:p>
    <w:p w:rsidR="00C25A3A" w:rsidRDefault="00C25A3A">
      <w:pPr>
        <w:suppressAutoHyphens w:val="0"/>
        <w:kinsoku/>
        <w:overflowPunct/>
        <w:autoSpaceDE/>
        <w:autoSpaceDN/>
        <w:adjustRightInd/>
        <w:snapToGrid/>
        <w:spacing w:after="200" w:line="276" w:lineRule="auto"/>
        <w:rPr>
          <w:lang w:val="fr-FR"/>
        </w:rPr>
      </w:pPr>
      <w:r>
        <w:rPr>
          <w:lang w:val="fr-FR"/>
        </w:rPr>
        <w:br w:type="page"/>
      </w:r>
    </w:p>
    <w:p w:rsidR="00C25A3A" w:rsidRPr="003C5C10" w:rsidRDefault="00C25A3A" w:rsidP="00C25A3A">
      <w:pPr>
        <w:pStyle w:val="SingleTxtG"/>
        <w:rPr>
          <w:lang w:val="fr-FR"/>
        </w:rPr>
      </w:pPr>
      <w:r w:rsidRPr="00070555">
        <w:rPr>
          <w:i/>
          <w:iCs/>
          <w:lang w:val="fr-FR"/>
        </w:rPr>
        <w:lastRenderedPageBreak/>
        <w:t>Paragraphe 5.1.3</w:t>
      </w:r>
      <w:r w:rsidRPr="003C5C10">
        <w:rPr>
          <w:lang w:val="fr-FR"/>
        </w:rPr>
        <w:t xml:space="preserve">, </w:t>
      </w:r>
      <w:r w:rsidRPr="003C5C10">
        <w:rPr>
          <w:iCs/>
          <w:lang w:val="fr-FR"/>
        </w:rPr>
        <w:t>lire :</w:t>
      </w:r>
    </w:p>
    <w:p w:rsidR="00C25A3A" w:rsidRPr="003C5C10" w:rsidRDefault="00C25A3A" w:rsidP="00C25A3A">
      <w:pPr>
        <w:pStyle w:val="SingleTxtG"/>
        <w:ind w:left="2268" w:hanging="1134"/>
        <w:rPr>
          <w:lang w:val="fr-FR"/>
        </w:rPr>
      </w:pPr>
      <w:r w:rsidRPr="003C5C10">
        <w:rPr>
          <w:iCs/>
          <w:lang w:val="fr-FR"/>
        </w:rPr>
        <w:t>« 5.1.3</w:t>
      </w:r>
      <w:r>
        <w:rPr>
          <w:lang w:val="fr-FR"/>
        </w:rPr>
        <w:tab/>
      </w:r>
      <w:r w:rsidRPr="000A2FD3">
        <w:rPr>
          <w:lang w:val="fr-FR"/>
        </w:rPr>
        <w:t>Sous réserve des dispositions des paragraphes 5.1.3.3 et 5.1.3.4 ci-dessous, à l</w:t>
      </w:r>
      <w:r>
        <w:rPr>
          <w:lang w:val="fr-FR"/>
        </w:rPr>
        <w:t>’</w:t>
      </w:r>
      <w:r w:rsidRPr="000A2FD3">
        <w:rPr>
          <w:lang w:val="fr-FR"/>
        </w:rPr>
        <w:t>exception des obstructions dues aux montants avant, aux montants de séparation des déflecteurs fixes ou mobiles ou des vitres latérales, aux antennes radio extérieures, aux dispositifs de vision indirecte satisfaisant aux prescriptions conce</w:t>
      </w:r>
      <w:bookmarkStart w:id="0" w:name="_GoBack"/>
      <w:bookmarkEnd w:id="0"/>
      <w:r w:rsidRPr="000A2FD3">
        <w:rPr>
          <w:lang w:val="fr-FR"/>
        </w:rPr>
        <w:t>rnant le champ obligatoire de vision indirecte, ainsi qu</w:t>
      </w:r>
      <w:r>
        <w:rPr>
          <w:lang w:val="fr-FR"/>
        </w:rPr>
        <w:t>’</w:t>
      </w:r>
      <w:r w:rsidRPr="000A2FD3">
        <w:rPr>
          <w:lang w:val="fr-FR"/>
        </w:rPr>
        <w:t xml:space="preserve">aux </w:t>
      </w:r>
      <w:proofErr w:type="spellStart"/>
      <w:r w:rsidRPr="000A2FD3">
        <w:rPr>
          <w:lang w:val="fr-FR"/>
        </w:rPr>
        <w:t>essuie-glaces</w:t>
      </w:r>
      <w:proofErr w:type="spellEnd"/>
      <w:r w:rsidRPr="000A2FD3">
        <w:rPr>
          <w:lang w:val="fr-FR"/>
        </w:rPr>
        <w:t>, il ne doit exister</w:t>
      </w:r>
      <w:r w:rsidRPr="003C5C10">
        <w:rPr>
          <w:lang w:val="fr-FR"/>
        </w:rPr>
        <w:t xml:space="preserve"> aucune obstruction dans le champ de vision directe du conducteur sur 180° vers l</w:t>
      </w:r>
      <w:r>
        <w:rPr>
          <w:lang w:val="fr-FR"/>
        </w:rPr>
        <w:t>’</w:t>
      </w:r>
      <w:r w:rsidRPr="003C5C10">
        <w:rPr>
          <w:lang w:val="fr-FR"/>
        </w:rPr>
        <w:t>avant, au-dessous d</w:t>
      </w:r>
      <w:r>
        <w:rPr>
          <w:lang w:val="fr-FR"/>
        </w:rPr>
        <w:t>’</w:t>
      </w:r>
      <w:r w:rsidRPr="003C5C10">
        <w:rPr>
          <w:lang w:val="fr-FR"/>
        </w:rPr>
        <w:t xml:space="preserve">un plan horizontal passant par </w:t>
      </w:r>
      <w:r w:rsidRPr="003C5C10">
        <w:rPr>
          <w:rFonts w:eastAsia="MS Mincho"/>
          <w:lang w:val="fr-FR" w:eastAsia="ar-SA"/>
        </w:rPr>
        <w:t>V</w:t>
      </w:r>
      <w:r w:rsidRPr="003C5C10">
        <w:rPr>
          <w:vertAlign w:val="subscript"/>
          <w:lang w:val="fr-FR"/>
        </w:rPr>
        <w:t>1</w:t>
      </w:r>
      <w:r w:rsidRPr="003C5C10">
        <w:rPr>
          <w:lang w:val="fr-FR"/>
        </w:rPr>
        <w:t xml:space="preserve"> et au</w:t>
      </w:r>
      <w:r w:rsidRPr="003C5C10">
        <w:rPr>
          <w:lang w:val="fr-FR"/>
        </w:rPr>
        <w:noBreakHyphen/>
        <w:t xml:space="preserve">dessus de trois plans passant par </w:t>
      </w:r>
      <w:r w:rsidRPr="003C5C10">
        <w:rPr>
          <w:rFonts w:eastAsia="MS Mincho"/>
          <w:lang w:val="fr-FR" w:eastAsia="ar-SA"/>
        </w:rPr>
        <w:t>V</w:t>
      </w:r>
      <w:r w:rsidRPr="003C5C10">
        <w:rPr>
          <w:vertAlign w:val="subscript"/>
          <w:lang w:val="fr-FR"/>
        </w:rPr>
        <w:t>2</w:t>
      </w:r>
      <w:r w:rsidRPr="003C5C10">
        <w:rPr>
          <w:lang w:val="fr-FR"/>
        </w:rPr>
        <w:t>, dont l</w:t>
      </w:r>
      <w:r>
        <w:rPr>
          <w:lang w:val="fr-FR"/>
        </w:rPr>
        <w:t>’</w:t>
      </w:r>
      <w:r w:rsidRPr="003C5C10">
        <w:rPr>
          <w:lang w:val="fr-FR"/>
        </w:rPr>
        <w:t>un est perpendiculaire au plan X-Z et incliné vers l</w:t>
      </w:r>
      <w:r>
        <w:rPr>
          <w:lang w:val="fr-FR"/>
        </w:rPr>
        <w:t>’</w:t>
      </w:r>
      <w:r w:rsidRPr="003C5C10">
        <w:rPr>
          <w:lang w:val="fr-FR"/>
        </w:rPr>
        <w:t>avant de 4° au-dessous de l</w:t>
      </w:r>
      <w:r>
        <w:rPr>
          <w:lang w:val="fr-FR"/>
        </w:rPr>
        <w:t>’</w:t>
      </w:r>
      <w:r w:rsidRPr="003C5C10">
        <w:rPr>
          <w:lang w:val="fr-FR"/>
        </w:rPr>
        <w:t>horizontale et les deux autres sont perpendiculaires au plan Y-Z et inclinés de 4° au-dessous de l</w:t>
      </w:r>
      <w:r>
        <w:rPr>
          <w:lang w:val="fr-FR"/>
        </w:rPr>
        <w:t>’</w:t>
      </w:r>
      <w:r w:rsidRPr="003C5C10">
        <w:rPr>
          <w:lang w:val="fr-FR"/>
        </w:rPr>
        <w:t>horizontale (voir annexe 4, appendice, fig. 4).</w:t>
      </w:r>
    </w:p>
    <w:p w:rsidR="00C25A3A" w:rsidRPr="003C5C10" w:rsidRDefault="00C25A3A" w:rsidP="00C25A3A">
      <w:pPr>
        <w:pStyle w:val="SingleTxtG"/>
        <w:ind w:left="2268"/>
        <w:rPr>
          <w:bCs/>
          <w:lang w:val="fr-FR"/>
        </w:rPr>
      </w:pPr>
      <w:r w:rsidRPr="003C5C10">
        <w:rPr>
          <w:lang w:val="fr-FR"/>
        </w:rPr>
        <w:t>Les éléments suivants ne sont pas considérés comme obstructions du champ de vision</w:t>
      </w:r>
      <w:r>
        <w:rPr>
          <w:lang w:val="fr-FR"/>
        </w:rPr>
        <w:t> </w:t>
      </w:r>
      <w:r w:rsidRPr="003C5C10">
        <w:rPr>
          <w:bCs/>
          <w:lang w:val="fr-FR"/>
        </w:rPr>
        <w:t>:</w:t>
      </w:r>
    </w:p>
    <w:p w:rsidR="00C25A3A" w:rsidRPr="00070555" w:rsidRDefault="00C25A3A" w:rsidP="00C25A3A">
      <w:pPr>
        <w:pStyle w:val="SingleTxtG"/>
        <w:ind w:left="2268"/>
        <w:rPr>
          <w:bCs/>
          <w:spacing w:val="-3"/>
          <w:lang w:val="fr-FR"/>
        </w:rPr>
      </w:pPr>
      <w:r w:rsidRPr="00070555">
        <w:rPr>
          <w:bCs/>
          <w:spacing w:val="-3"/>
          <w:lang w:val="fr-FR"/>
        </w:rPr>
        <w:t>a)</w:t>
      </w:r>
      <w:r w:rsidRPr="00070555">
        <w:rPr>
          <w:bCs/>
          <w:spacing w:val="-3"/>
          <w:lang w:val="fr-FR"/>
        </w:rPr>
        <w:tab/>
      </w:r>
      <w:r w:rsidRPr="00070555">
        <w:rPr>
          <w:spacing w:val="-3"/>
          <w:lang w:val="fr-FR"/>
        </w:rPr>
        <w:t>Les conducteurs « antennes radio » noyés ou imprimés ne dépassant pas </w:t>
      </w:r>
      <w:r w:rsidRPr="00070555">
        <w:rPr>
          <w:bCs/>
          <w:spacing w:val="-3"/>
          <w:lang w:val="fr-FR"/>
        </w:rPr>
        <w:t>:</w:t>
      </w:r>
    </w:p>
    <w:p w:rsidR="00C25A3A" w:rsidRPr="003C5C10" w:rsidRDefault="00C25A3A" w:rsidP="00C25A3A">
      <w:pPr>
        <w:pStyle w:val="SingleTxtG"/>
        <w:ind w:left="2268" w:firstLine="567"/>
        <w:rPr>
          <w:bCs/>
          <w:lang w:val="fr-FR"/>
        </w:rPr>
      </w:pPr>
      <w:r w:rsidRPr="003C5C10">
        <w:rPr>
          <w:bCs/>
          <w:lang w:val="fr-FR"/>
        </w:rPr>
        <w:t>i)</w:t>
      </w:r>
      <w:r w:rsidRPr="003C5C10">
        <w:rPr>
          <w:bCs/>
          <w:lang w:val="fr-FR"/>
        </w:rPr>
        <w:tab/>
        <w:t>L</w:t>
      </w:r>
      <w:r w:rsidRPr="003C5C10">
        <w:rPr>
          <w:lang w:val="fr-FR"/>
        </w:rPr>
        <w:t xml:space="preserve">a largeur de 0,5 mm pour les </w:t>
      </w:r>
      <w:r w:rsidRPr="00070555">
        <w:rPr>
          <w:spacing w:val="-2"/>
          <w:lang w:val="fr-FR"/>
        </w:rPr>
        <w:t>conducteurs</w:t>
      </w:r>
      <w:r w:rsidRPr="003C5C10">
        <w:rPr>
          <w:lang w:val="fr-FR"/>
        </w:rPr>
        <w:t xml:space="preserve"> noyés</w:t>
      </w:r>
      <w:r>
        <w:rPr>
          <w:lang w:val="fr-FR"/>
        </w:rPr>
        <w:t> </w:t>
      </w:r>
      <w:r w:rsidRPr="003C5C10">
        <w:rPr>
          <w:lang w:val="fr-FR"/>
        </w:rPr>
        <w:t>; et</w:t>
      </w:r>
    </w:p>
    <w:p w:rsidR="00C25A3A" w:rsidRPr="003C5C10" w:rsidRDefault="00C25A3A" w:rsidP="00733481">
      <w:pPr>
        <w:pStyle w:val="SingleTxtG"/>
        <w:ind w:left="3402" w:hanging="567"/>
        <w:rPr>
          <w:lang w:val="fr-FR"/>
        </w:rPr>
      </w:pPr>
      <w:r w:rsidRPr="003C5C10">
        <w:rPr>
          <w:bCs/>
          <w:lang w:val="fr-FR"/>
        </w:rPr>
        <w:t>ii)</w:t>
      </w:r>
      <w:r w:rsidRPr="003C5C10">
        <w:rPr>
          <w:bCs/>
          <w:lang w:val="fr-FR"/>
        </w:rPr>
        <w:tab/>
      </w:r>
      <w:r w:rsidRPr="003C5C10">
        <w:rPr>
          <w:lang w:val="fr-FR"/>
        </w:rPr>
        <w:t>1,0 mm pour les conducteurs imprimés. Ces conducteurs «</w:t>
      </w:r>
      <w:r>
        <w:rPr>
          <w:lang w:val="fr-FR"/>
        </w:rPr>
        <w:t> </w:t>
      </w:r>
      <w:r w:rsidRPr="003C5C10">
        <w:rPr>
          <w:lang w:val="fr-FR"/>
        </w:rPr>
        <w:t>antennes radio</w:t>
      </w:r>
      <w:r>
        <w:rPr>
          <w:lang w:val="fr-FR"/>
        </w:rPr>
        <w:t> </w:t>
      </w:r>
      <w:r w:rsidRPr="003C5C10">
        <w:rPr>
          <w:lang w:val="fr-FR"/>
        </w:rPr>
        <w:t xml:space="preserve">» ne peuvent pas traverser la zone </w:t>
      </w:r>
      <w:r w:rsidRPr="000A2FD3">
        <w:rPr>
          <w:bCs/>
          <w:lang w:val="fr-FR"/>
        </w:rPr>
        <w:t>A</w:t>
      </w:r>
      <w:r w:rsidRPr="000A2FD3">
        <w:rPr>
          <w:rStyle w:val="Appelnotedebasdep"/>
        </w:rPr>
        <w:footnoteReference w:id="4"/>
      </w:r>
      <w:r w:rsidRPr="000A2FD3">
        <w:rPr>
          <w:lang w:val="fr-FR"/>
        </w:rPr>
        <w:t>.</w:t>
      </w:r>
      <w:r w:rsidRPr="003C5C10">
        <w:rPr>
          <w:lang w:val="fr-FR"/>
        </w:rPr>
        <w:t xml:space="preserve"> Toutefois, trois conducteurs «</w:t>
      </w:r>
      <w:r>
        <w:rPr>
          <w:lang w:val="fr-FR"/>
        </w:rPr>
        <w:t> </w:t>
      </w:r>
      <w:r w:rsidRPr="003C5C10">
        <w:rPr>
          <w:lang w:val="fr-FR"/>
        </w:rPr>
        <w:t>antennes radio</w:t>
      </w:r>
      <w:r>
        <w:rPr>
          <w:lang w:val="fr-FR"/>
        </w:rPr>
        <w:t> </w:t>
      </w:r>
      <w:r w:rsidRPr="003C5C10">
        <w:rPr>
          <w:lang w:val="fr-FR"/>
        </w:rPr>
        <w:t>» peuvent traverser la zone A si leur largeur ne dépasse pas 0,5 mm</w:t>
      </w:r>
      <w:r>
        <w:rPr>
          <w:lang w:val="fr-FR"/>
        </w:rPr>
        <w:t> </w:t>
      </w:r>
      <w:r w:rsidRPr="003C5C10">
        <w:rPr>
          <w:lang w:val="fr-FR"/>
        </w:rPr>
        <w:t>;</w:t>
      </w:r>
    </w:p>
    <w:p w:rsidR="00C25A3A" w:rsidRPr="003C5C10" w:rsidRDefault="00C25A3A" w:rsidP="00733481">
      <w:pPr>
        <w:pStyle w:val="SingleTxtG"/>
        <w:ind w:left="2835" w:hanging="567"/>
        <w:rPr>
          <w:bCs/>
          <w:lang w:val="fr-FR"/>
        </w:rPr>
      </w:pPr>
      <w:r w:rsidRPr="003C5C10">
        <w:rPr>
          <w:bCs/>
          <w:lang w:val="fr-FR"/>
        </w:rPr>
        <w:t>b)</w:t>
      </w:r>
      <w:r w:rsidRPr="003C5C10">
        <w:rPr>
          <w:bCs/>
          <w:lang w:val="fr-FR"/>
        </w:rPr>
        <w:tab/>
      </w:r>
      <w:r w:rsidRPr="003C5C10">
        <w:rPr>
          <w:lang w:val="fr-FR"/>
        </w:rPr>
        <w:t xml:space="preserve">Les conducteurs </w:t>
      </w:r>
      <w:r>
        <w:rPr>
          <w:lang w:val="fr-FR"/>
        </w:rPr>
        <w:t xml:space="preserve">de </w:t>
      </w:r>
      <w:r w:rsidRPr="003C5C10">
        <w:rPr>
          <w:lang w:val="fr-FR"/>
        </w:rPr>
        <w:t>«</w:t>
      </w:r>
      <w:r>
        <w:rPr>
          <w:lang w:val="fr-FR"/>
        </w:rPr>
        <w:t> </w:t>
      </w:r>
      <w:r w:rsidRPr="003C5C10">
        <w:rPr>
          <w:lang w:val="fr-FR"/>
        </w:rPr>
        <w:t>dégivrage-désembuage</w:t>
      </w:r>
      <w:r>
        <w:rPr>
          <w:lang w:val="fr-FR"/>
        </w:rPr>
        <w:t> </w:t>
      </w:r>
      <w:r w:rsidRPr="003C5C10">
        <w:rPr>
          <w:lang w:val="fr-FR"/>
        </w:rPr>
        <w:t>» normalement en zigzag ou sinusoïde ayant</w:t>
      </w:r>
      <w:r>
        <w:rPr>
          <w:lang w:val="fr-FR"/>
        </w:rPr>
        <w:t> </w:t>
      </w:r>
      <w:r w:rsidRPr="003C5C10">
        <w:rPr>
          <w:bCs/>
          <w:lang w:val="fr-FR"/>
        </w:rPr>
        <w:t>:</w:t>
      </w:r>
    </w:p>
    <w:p w:rsidR="00C25A3A" w:rsidRPr="003C5C10" w:rsidRDefault="00C25A3A" w:rsidP="00C25A3A">
      <w:pPr>
        <w:pStyle w:val="SingleTxtG"/>
        <w:ind w:left="2268" w:firstLine="567"/>
        <w:rPr>
          <w:lang w:val="fr-FR"/>
        </w:rPr>
      </w:pPr>
      <w:r w:rsidRPr="003C5C10">
        <w:rPr>
          <w:bCs/>
          <w:lang w:val="fr-FR"/>
        </w:rPr>
        <w:t>i)</w:t>
      </w:r>
      <w:r w:rsidRPr="003C5C10">
        <w:rPr>
          <w:bCs/>
          <w:lang w:val="fr-FR"/>
        </w:rPr>
        <w:tab/>
      </w:r>
      <w:r w:rsidRPr="003C5C10">
        <w:rPr>
          <w:lang w:val="fr-FR"/>
        </w:rPr>
        <w:t>Une largeur maximale apparente de 0,030 mm</w:t>
      </w:r>
      <w:r>
        <w:rPr>
          <w:lang w:val="fr-FR"/>
        </w:rPr>
        <w:t> </w:t>
      </w:r>
      <w:r w:rsidRPr="003C5C10">
        <w:rPr>
          <w:lang w:val="fr-FR"/>
        </w:rPr>
        <w:t>; et</w:t>
      </w:r>
    </w:p>
    <w:p w:rsidR="00C25A3A" w:rsidRPr="003C5C10" w:rsidRDefault="00C25A3A" w:rsidP="00C25A3A">
      <w:pPr>
        <w:pStyle w:val="SingleTxtG"/>
        <w:ind w:left="2268" w:firstLine="567"/>
        <w:rPr>
          <w:bCs/>
          <w:lang w:val="fr-FR"/>
        </w:rPr>
      </w:pPr>
      <w:r w:rsidRPr="003C5C10">
        <w:rPr>
          <w:bCs/>
          <w:lang w:val="fr-FR"/>
        </w:rPr>
        <w:t>ii)</w:t>
      </w:r>
      <w:r w:rsidRPr="003C5C10">
        <w:rPr>
          <w:bCs/>
          <w:lang w:val="fr-FR"/>
        </w:rPr>
        <w:tab/>
      </w:r>
      <w:r w:rsidRPr="003C5C10">
        <w:rPr>
          <w:lang w:val="fr-FR"/>
        </w:rPr>
        <w:t>Une densité maximale</w:t>
      </w:r>
      <w:r>
        <w:rPr>
          <w:lang w:val="fr-FR"/>
        </w:rPr>
        <w:t> </w:t>
      </w:r>
      <w:r w:rsidRPr="003C5C10">
        <w:rPr>
          <w:bCs/>
          <w:lang w:val="fr-FR"/>
        </w:rPr>
        <w:t>:</w:t>
      </w:r>
    </w:p>
    <w:p w:rsidR="00C25A3A" w:rsidRPr="003C5C10" w:rsidRDefault="00C25A3A" w:rsidP="00C25A3A">
      <w:pPr>
        <w:pStyle w:val="SingleTxtG"/>
        <w:ind w:left="2835" w:firstLine="567"/>
        <w:rPr>
          <w:bCs/>
          <w:lang w:val="fr-FR"/>
        </w:rPr>
      </w:pPr>
      <w:r w:rsidRPr="003C5C10">
        <w:rPr>
          <w:bCs/>
          <w:lang w:val="fr-FR"/>
        </w:rPr>
        <w:t>a.</w:t>
      </w:r>
      <w:r w:rsidRPr="003C5C10">
        <w:rPr>
          <w:bCs/>
          <w:lang w:val="fr-FR"/>
        </w:rPr>
        <w:tab/>
      </w:r>
      <w:r w:rsidRPr="003C5C10">
        <w:rPr>
          <w:lang w:val="fr-FR"/>
        </w:rPr>
        <w:t>De 8/cm pour les conducteurs verticaux</w:t>
      </w:r>
      <w:r>
        <w:rPr>
          <w:lang w:val="fr-FR"/>
        </w:rPr>
        <w:t> </w:t>
      </w:r>
      <w:r w:rsidRPr="003C5C10">
        <w:rPr>
          <w:bCs/>
          <w:lang w:val="fr-FR"/>
        </w:rPr>
        <w:t>;</w:t>
      </w:r>
    </w:p>
    <w:p w:rsidR="00F9573C" w:rsidRDefault="00C25A3A" w:rsidP="00C25A3A">
      <w:pPr>
        <w:pStyle w:val="SingleTxtG"/>
        <w:ind w:left="2835" w:firstLine="567"/>
        <w:rPr>
          <w:bCs/>
          <w:lang w:val="fr-FR"/>
        </w:rPr>
      </w:pPr>
      <w:r w:rsidRPr="003C5C10">
        <w:rPr>
          <w:bCs/>
          <w:lang w:val="fr-FR"/>
        </w:rPr>
        <w:t>b.</w:t>
      </w:r>
      <w:r w:rsidRPr="003C5C10">
        <w:rPr>
          <w:bCs/>
          <w:lang w:val="fr-FR"/>
        </w:rPr>
        <w:tab/>
        <w:t xml:space="preserve">De </w:t>
      </w:r>
      <w:r w:rsidRPr="003C5C10">
        <w:rPr>
          <w:lang w:val="fr-FR"/>
        </w:rPr>
        <w:t>5/cm pour les conducteurs horizontaux</w:t>
      </w:r>
      <w:r w:rsidRPr="003C5C10">
        <w:rPr>
          <w:bCs/>
          <w:lang w:val="fr-FR"/>
        </w:rPr>
        <w:t>.</w:t>
      </w:r>
      <w:r>
        <w:rPr>
          <w:bCs/>
          <w:lang w:val="fr-FR"/>
        </w:rPr>
        <w:t> ».</w:t>
      </w:r>
    </w:p>
    <w:p w:rsidR="00C25A3A" w:rsidRPr="00C25A3A" w:rsidRDefault="00C25A3A" w:rsidP="00C25A3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C25A3A" w:rsidRPr="00C25A3A" w:rsidSect="00C25A3A">
      <w:headerReference w:type="even" r:id="rId8"/>
      <w:headerReference w:type="default" r:id="rId9"/>
      <w:footerReference w:type="even" r:id="rId10"/>
      <w:footerReference w:type="default" r:id="rId11"/>
      <w:footerReference w:type="first" r:id="rId12"/>
      <w:footnotePr>
        <w:numStart w:val="5"/>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F17" w:rsidRDefault="00EF6F17" w:rsidP="00F95C08">
      <w:pPr>
        <w:spacing w:line="240" w:lineRule="auto"/>
      </w:pPr>
    </w:p>
  </w:endnote>
  <w:endnote w:type="continuationSeparator" w:id="0">
    <w:p w:rsidR="00EF6F17" w:rsidRPr="00AC3823" w:rsidRDefault="00EF6F17" w:rsidP="00AC3823">
      <w:pPr>
        <w:pStyle w:val="Pieddepage"/>
      </w:pPr>
    </w:p>
  </w:endnote>
  <w:endnote w:type="continuationNotice" w:id="1">
    <w:p w:rsidR="00EF6F17" w:rsidRDefault="00EF6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3A" w:rsidRPr="00C25A3A" w:rsidRDefault="00C25A3A" w:rsidP="00C25A3A">
    <w:pPr>
      <w:pStyle w:val="Pieddepage"/>
      <w:tabs>
        <w:tab w:val="right" w:pos="9638"/>
      </w:tabs>
    </w:pPr>
    <w:r w:rsidRPr="00C25A3A">
      <w:rPr>
        <w:b/>
        <w:sz w:val="18"/>
      </w:rPr>
      <w:fldChar w:fldCharType="begin"/>
    </w:r>
    <w:r w:rsidRPr="00C25A3A">
      <w:rPr>
        <w:b/>
        <w:sz w:val="18"/>
      </w:rPr>
      <w:instrText xml:space="preserve"> PAGE  \* MERGEFORMAT </w:instrText>
    </w:r>
    <w:r w:rsidRPr="00C25A3A">
      <w:rPr>
        <w:b/>
        <w:sz w:val="18"/>
      </w:rPr>
      <w:fldChar w:fldCharType="separate"/>
    </w:r>
    <w:r w:rsidRPr="00C25A3A">
      <w:rPr>
        <w:b/>
        <w:noProof/>
        <w:sz w:val="18"/>
      </w:rPr>
      <w:t>2</w:t>
    </w:r>
    <w:r w:rsidRPr="00C25A3A">
      <w:rPr>
        <w:b/>
        <w:sz w:val="18"/>
      </w:rPr>
      <w:fldChar w:fldCharType="end"/>
    </w:r>
    <w:r>
      <w:rPr>
        <w:b/>
        <w:sz w:val="18"/>
      </w:rPr>
      <w:tab/>
    </w:r>
    <w:r>
      <w:t>GE.20-17416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3A" w:rsidRPr="00C25A3A" w:rsidRDefault="00C25A3A" w:rsidP="00C25A3A">
    <w:pPr>
      <w:pStyle w:val="Pieddepage"/>
      <w:tabs>
        <w:tab w:val="right" w:pos="9638"/>
      </w:tabs>
      <w:rPr>
        <w:b/>
        <w:sz w:val="18"/>
      </w:rPr>
    </w:pPr>
    <w:r>
      <w:t>GE.20-17416</w:t>
    </w:r>
    <w:r>
      <w:tab/>
    </w:r>
    <w:r w:rsidRPr="00C25A3A">
      <w:rPr>
        <w:b/>
        <w:sz w:val="18"/>
      </w:rPr>
      <w:fldChar w:fldCharType="begin"/>
    </w:r>
    <w:r w:rsidRPr="00C25A3A">
      <w:rPr>
        <w:b/>
        <w:sz w:val="18"/>
      </w:rPr>
      <w:instrText xml:space="preserve"> PAGE  \* MERGEFORMAT </w:instrText>
    </w:r>
    <w:r w:rsidRPr="00C25A3A">
      <w:rPr>
        <w:b/>
        <w:sz w:val="18"/>
      </w:rPr>
      <w:fldChar w:fldCharType="separate"/>
    </w:r>
    <w:r w:rsidRPr="00C25A3A">
      <w:rPr>
        <w:b/>
        <w:noProof/>
        <w:sz w:val="18"/>
      </w:rPr>
      <w:t>3</w:t>
    </w:r>
    <w:r w:rsidRPr="00C25A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25A3A" w:rsidRDefault="00C25A3A" w:rsidP="00C25A3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20-17416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210121    210121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F17" w:rsidRPr="00AC3823" w:rsidRDefault="00EF6F17" w:rsidP="00AC3823">
      <w:pPr>
        <w:pStyle w:val="Pieddepage"/>
        <w:tabs>
          <w:tab w:val="right" w:pos="2155"/>
        </w:tabs>
        <w:spacing w:after="80" w:line="240" w:lineRule="atLeast"/>
        <w:ind w:left="680"/>
        <w:rPr>
          <w:u w:val="single"/>
        </w:rPr>
      </w:pPr>
      <w:r>
        <w:rPr>
          <w:u w:val="single"/>
        </w:rPr>
        <w:tab/>
      </w:r>
    </w:p>
  </w:footnote>
  <w:footnote w:type="continuationSeparator" w:id="0">
    <w:p w:rsidR="00EF6F17" w:rsidRPr="00AC3823" w:rsidRDefault="00EF6F17" w:rsidP="00AC3823">
      <w:pPr>
        <w:pStyle w:val="Pieddepage"/>
        <w:tabs>
          <w:tab w:val="right" w:pos="2155"/>
        </w:tabs>
        <w:spacing w:after="80" w:line="240" w:lineRule="atLeast"/>
        <w:ind w:left="680"/>
        <w:rPr>
          <w:u w:val="single"/>
        </w:rPr>
      </w:pPr>
      <w:r>
        <w:rPr>
          <w:u w:val="single"/>
        </w:rPr>
        <w:tab/>
      </w:r>
    </w:p>
  </w:footnote>
  <w:footnote w:type="continuationNotice" w:id="1">
    <w:p w:rsidR="00EF6F17" w:rsidRPr="00AC3823" w:rsidRDefault="00EF6F17">
      <w:pPr>
        <w:spacing w:line="240" w:lineRule="auto"/>
        <w:rPr>
          <w:sz w:val="2"/>
          <w:szCs w:val="2"/>
        </w:rPr>
      </w:pPr>
    </w:p>
  </w:footnote>
  <w:footnote w:id="2">
    <w:p w:rsidR="00C25A3A" w:rsidRPr="00070555" w:rsidRDefault="00C25A3A" w:rsidP="00C25A3A">
      <w:pPr>
        <w:pStyle w:val="Notedebasdepage"/>
      </w:pPr>
      <w:r>
        <w:rPr>
          <w:rStyle w:val="Appelnotedebasdep"/>
        </w:rPr>
        <w:tab/>
      </w:r>
      <w:r w:rsidRPr="00070555">
        <w:rPr>
          <w:rStyle w:val="Appelnotedebasdep"/>
          <w:sz w:val="20"/>
          <w:vertAlign w:val="baseline"/>
        </w:rPr>
        <w:t>*</w:t>
      </w:r>
      <w:r>
        <w:rPr>
          <w:rStyle w:val="Appelnotedebasdep"/>
          <w:sz w:val="20"/>
          <w:vertAlign w:val="baseline"/>
        </w:rPr>
        <w:tab/>
      </w:r>
      <w:r w:rsidRPr="003C5C10">
        <w:rPr>
          <w:lang w:val="fr-FR"/>
        </w:rPr>
        <w:t>Conformément au programme de travail du Comité des transports intérieurs pour 2020 tel qu</w:t>
      </w:r>
      <w:r w:rsidR="00D023AB">
        <w:rPr>
          <w:lang w:val="fr-FR"/>
        </w:rPr>
        <w:t>’</w:t>
      </w:r>
      <w:r w:rsidRPr="003C5C10">
        <w:rPr>
          <w:lang w:val="fr-FR"/>
        </w:rPr>
        <w:t xml:space="preserve">il figure dans le projet de budget-programme pour 2020 (A/74/6 </w:t>
      </w:r>
      <w:r w:rsidR="00D023AB">
        <w:rPr>
          <w:lang w:val="fr-FR"/>
        </w:rPr>
        <w:t>(</w:t>
      </w:r>
      <w:r w:rsidRPr="003C5C10">
        <w:rPr>
          <w:lang w:val="fr-FR"/>
        </w:rPr>
        <w:t>titre V, chap. 20</w:t>
      </w:r>
      <w:r w:rsidR="00D023AB">
        <w:rPr>
          <w:lang w:val="fr-FR"/>
        </w:rPr>
        <w:t>)</w:t>
      </w:r>
      <w:r w:rsidRPr="003C5C10">
        <w:rPr>
          <w:lang w:val="fr-FR"/>
        </w:rPr>
        <w:t>, par. 20.37), le Forum mondial a pour mission d</w:t>
      </w:r>
      <w:r w:rsidR="00D023AB">
        <w:rPr>
          <w:lang w:val="fr-FR"/>
        </w:rPr>
        <w:t>’</w:t>
      </w:r>
      <w:r w:rsidRPr="003C5C10">
        <w:rPr>
          <w:lang w:val="fr-FR"/>
        </w:rPr>
        <w:t>élaborer, d</w:t>
      </w:r>
      <w:r w:rsidR="00D023AB">
        <w:rPr>
          <w:lang w:val="fr-FR"/>
        </w:rPr>
        <w:t>’</w:t>
      </w:r>
      <w:r w:rsidRPr="003C5C10">
        <w:rPr>
          <w:lang w:val="fr-FR"/>
        </w:rPr>
        <w:t>harmoniser et de mettre à jour les Règlements ONU en vue d</w:t>
      </w:r>
      <w:r w:rsidR="00D023AB">
        <w:rPr>
          <w:lang w:val="fr-FR"/>
        </w:rPr>
        <w:t>’</w:t>
      </w:r>
      <w:r w:rsidRPr="003C5C10">
        <w:rPr>
          <w:lang w:val="fr-FR"/>
        </w:rPr>
        <w:t>améliorer les caractéristiques fonctionnelles des véhicules. Le présent document est soumis en vertu de ce mandat.</w:t>
      </w:r>
    </w:p>
  </w:footnote>
  <w:footnote w:id="3">
    <w:p w:rsidR="00C25A3A" w:rsidRPr="00070555" w:rsidRDefault="00C25A3A" w:rsidP="00C25A3A">
      <w:pPr>
        <w:pStyle w:val="Notedebasdepage"/>
      </w:pPr>
      <w:r>
        <w:rPr>
          <w:rStyle w:val="Appelnotedebasdep"/>
        </w:rPr>
        <w:tab/>
      </w:r>
      <w:r w:rsidRPr="00070555">
        <w:rPr>
          <w:rStyle w:val="Appelnotedebasdep"/>
          <w:sz w:val="20"/>
          <w:vertAlign w:val="baseline"/>
        </w:rPr>
        <w:t>*</w:t>
      </w:r>
      <w:r>
        <w:rPr>
          <w:sz w:val="20"/>
        </w:rPr>
        <w:t>*</w:t>
      </w:r>
      <w:r>
        <w:rPr>
          <w:rStyle w:val="Appelnotedebasdep"/>
          <w:sz w:val="20"/>
          <w:vertAlign w:val="baseline"/>
        </w:rPr>
        <w:tab/>
      </w:r>
      <w:r w:rsidRPr="00986E9F">
        <w:rPr>
          <w:lang w:val="fr-FR"/>
        </w:rPr>
        <w:t xml:space="preserve">Il a été convenu que le présent document serait publié après la date normale de publication en raison de circonstances indépendantes de la volonté du </w:t>
      </w:r>
      <w:proofErr w:type="spellStart"/>
      <w:r w:rsidRPr="00986E9F">
        <w:rPr>
          <w:lang w:val="fr-FR"/>
        </w:rPr>
        <w:t>soumetteur</w:t>
      </w:r>
      <w:proofErr w:type="spellEnd"/>
      <w:r w:rsidRPr="00986E9F">
        <w:rPr>
          <w:lang w:val="fr-FR"/>
        </w:rPr>
        <w:t>.</w:t>
      </w:r>
    </w:p>
  </w:footnote>
  <w:footnote w:id="4">
    <w:p w:rsidR="00C25A3A" w:rsidRPr="003C5C10" w:rsidRDefault="00C25A3A" w:rsidP="00C25A3A">
      <w:pPr>
        <w:pStyle w:val="Notedebasdepage"/>
        <w:rPr>
          <w:lang w:val="fr-FR"/>
        </w:rPr>
      </w:pPr>
      <w:r w:rsidRPr="003C5C10">
        <w:rPr>
          <w:lang w:val="fr-FR"/>
        </w:rPr>
        <w:tab/>
      </w:r>
      <w:r w:rsidRPr="00A76616">
        <w:rPr>
          <w:rStyle w:val="Appelnotedebasdep"/>
        </w:rPr>
        <w:footnoteRef/>
      </w:r>
      <w:r w:rsidRPr="003C5C10">
        <w:rPr>
          <w:lang w:val="fr-FR"/>
        </w:rPr>
        <w:tab/>
        <w:t>Telle que définie au paragraphe 2.2 de l</w:t>
      </w:r>
      <w:r w:rsidR="00D023AB">
        <w:rPr>
          <w:lang w:val="fr-FR"/>
        </w:rPr>
        <w:t>’</w:t>
      </w:r>
      <w:r w:rsidRPr="003C5C10">
        <w:rPr>
          <w:lang w:val="fr-FR"/>
        </w:rPr>
        <w:t xml:space="preserve">annexe 18 du Règlement </w:t>
      </w:r>
      <w:r w:rsidRPr="003C5C10">
        <w:rPr>
          <w:rFonts w:eastAsia="MS Mincho"/>
          <w:lang w:val="fr-FR"/>
        </w:rPr>
        <w:t>n</w:t>
      </w:r>
      <w:r w:rsidRPr="003C5C10">
        <w:rPr>
          <w:rFonts w:eastAsia="MS Mincho"/>
          <w:vertAlign w:val="superscript"/>
          <w:lang w:val="fr-FR"/>
        </w:rPr>
        <w:t>o</w:t>
      </w:r>
      <w:r w:rsidRPr="003C5C10">
        <w:rPr>
          <w:lang w:val="fr-FR"/>
        </w:rPr>
        <w:t> 43 relatif à l</w:t>
      </w:r>
      <w:r w:rsidR="00D023AB">
        <w:rPr>
          <w:lang w:val="fr-FR"/>
        </w:rPr>
        <w:t>’</w:t>
      </w:r>
      <w:r w:rsidRPr="003C5C10">
        <w:rPr>
          <w:lang w:val="fr-FR"/>
        </w:rPr>
        <w:t>homologation des vitrages de sécurité et des matériaux pour vitrages.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3A" w:rsidRPr="00C25A3A" w:rsidRDefault="00C25A3A">
    <w:pPr>
      <w:pStyle w:val="En-tte"/>
    </w:pPr>
    <w:fldSimple w:instr=" TITLE  \* MERGEFORMAT ">
      <w:r>
        <w:t>ECE/TRANS/WP.29/2021/22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3A" w:rsidRPr="00C25A3A" w:rsidRDefault="00C25A3A" w:rsidP="00C25A3A">
    <w:pPr>
      <w:pStyle w:val="En-tte"/>
      <w:jc w:val="right"/>
    </w:pPr>
    <w:fldSimple w:instr=" TITLE  \* MERGEFORMAT ">
      <w:r>
        <w:t>ECE/TRANS/WP.29/2021/22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2050"/>
  </w:hdrShapeDefaults>
  <w:footnotePr>
    <w:numStart w:val="5"/>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1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00A54"/>
    <w:rsid w:val="00421996"/>
    <w:rsid w:val="00441C3B"/>
    <w:rsid w:val="00446FE5"/>
    <w:rsid w:val="00452396"/>
    <w:rsid w:val="00477EB2"/>
    <w:rsid w:val="004837D8"/>
    <w:rsid w:val="004E2EED"/>
    <w:rsid w:val="004E468C"/>
    <w:rsid w:val="005505B7"/>
    <w:rsid w:val="00573BE5"/>
    <w:rsid w:val="00586ED3"/>
    <w:rsid w:val="00596AA9"/>
    <w:rsid w:val="0071601D"/>
    <w:rsid w:val="00733481"/>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25A3A"/>
    <w:rsid w:val="00C97039"/>
    <w:rsid w:val="00CB0664"/>
    <w:rsid w:val="00D023AB"/>
    <w:rsid w:val="00D3439C"/>
    <w:rsid w:val="00D7622E"/>
    <w:rsid w:val="00DB1831"/>
    <w:rsid w:val="00DD3BFD"/>
    <w:rsid w:val="00DF6678"/>
    <w:rsid w:val="00E0299A"/>
    <w:rsid w:val="00E85C74"/>
    <w:rsid w:val="00EA6547"/>
    <w:rsid w:val="00ED7237"/>
    <w:rsid w:val="00EF2E22"/>
    <w:rsid w:val="00EF6F1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A9821E"/>
  <w15:docId w15:val="{9DB5C27E-2814-4AE6-B553-7F3B2307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AB07A-6515-4614-89AF-AD9DAE803D5C}"/>
</file>

<file path=customXml/itemProps2.xml><?xml version="1.0" encoding="utf-8"?>
<ds:datastoreItem xmlns:ds="http://schemas.openxmlformats.org/officeDocument/2006/customXml" ds:itemID="{017B29A4-321D-4DA3-9190-D5D2DAD31459}"/>
</file>

<file path=customXml/itemProps3.xml><?xml version="1.0" encoding="utf-8"?>
<ds:datastoreItem xmlns:ds="http://schemas.openxmlformats.org/officeDocument/2006/customXml" ds:itemID="{16985946-ACB2-464A-AD53-5C0F991C2E32}"/>
</file>

<file path=docProps/app.xml><?xml version="1.0" encoding="utf-8"?>
<Properties xmlns="http://schemas.openxmlformats.org/officeDocument/2006/extended-properties" xmlns:vt="http://schemas.openxmlformats.org/officeDocument/2006/docPropsVTypes">
  <Template>ECE_TRANS.dotm</Template>
  <TotalTime>2</TotalTime>
  <Pages>2</Pages>
  <Words>335</Words>
  <Characters>2351</Characters>
  <Application>Microsoft Office Word</Application>
  <DocSecurity>0</DocSecurity>
  <Lines>195</Lines>
  <Paragraphs>107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ECE/TRANS/WP.29/2021/22</vt:lpstr>
      <vt:lpstr>    Proposition de complément 3 à la série 01 d’amendements au Règlement ONU no 12</vt:lpstr>
      <vt:lpstr>        Communication du Groupe de travail des dispositions générales  de sécurité (GR</vt:lpstr>
    </vt:vector>
  </TitlesOfParts>
  <Company>DCM</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ECE/TRANS/WP.29/2021/22</dc:title>
  <dc:subject/>
  <dc:creator>Corinne ROBERT</dc:creator>
  <cp:keywords/>
  <cp:lastModifiedBy>Corinne ROBERT</cp:lastModifiedBy>
  <cp:revision>2</cp:revision>
  <cp:lastPrinted>2014-05-14T10:59:00Z</cp:lastPrinted>
  <dcterms:created xsi:type="dcterms:W3CDTF">2021-01-21T09:07:00Z</dcterms:created>
  <dcterms:modified xsi:type="dcterms:W3CDTF">2021-01-21T09:07:00Z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