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BBBCD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0F0F60" w14:textId="77777777" w:rsidR="002D5AAC" w:rsidRDefault="002D5AAC" w:rsidP="002801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CDA8A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CC9D50" w14:textId="77777777" w:rsidR="002D5AAC" w:rsidRDefault="002801B8" w:rsidP="002801B8">
            <w:pPr>
              <w:jc w:val="right"/>
            </w:pPr>
            <w:r w:rsidRPr="002801B8">
              <w:rPr>
                <w:sz w:val="40"/>
              </w:rPr>
              <w:t>ECE</w:t>
            </w:r>
            <w:r>
              <w:t>/TRANS/WP.29/2021/18</w:t>
            </w:r>
          </w:p>
        </w:tc>
      </w:tr>
      <w:tr w:rsidR="002D5AAC" w:rsidRPr="002801B8" w14:paraId="49163A2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482F1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47808D" wp14:editId="551B8E5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444F9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AD33F6" w14:textId="77777777" w:rsidR="002D5AAC" w:rsidRDefault="002801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AF2661" w14:textId="77777777" w:rsidR="002801B8" w:rsidRDefault="002801B8" w:rsidP="002801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2020</w:t>
            </w:r>
          </w:p>
          <w:p w14:paraId="4860320D" w14:textId="77777777" w:rsidR="002801B8" w:rsidRDefault="002801B8" w:rsidP="002801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6CFC42" w14:textId="77777777" w:rsidR="002801B8" w:rsidRPr="008D53B6" w:rsidRDefault="002801B8" w:rsidP="002801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4C1E3A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465BD3" w14:textId="77777777" w:rsidR="002801B8" w:rsidRPr="00B80C52" w:rsidRDefault="002801B8" w:rsidP="002801B8">
      <w:pPr>
        <w:spacing w:before="120"/>
        <w:rPr>
          <w:rFonts w:asciiTheme="majorBidi" w:hAnsiTheme="majorBidi"/>
          <w:sz w:val="28"/>
          <w:szCs w:val="28"/>
        </w:rPr>
      </w:pPr>
      <w:r w:rsidRPr="00B80C52">
        <w:rPr>
          <w:sz w:val="28"/>
          <w:szCs w:val="28"/>
        </w:rPr>
        <w:t>Комитет по внутреннему транспорту</w:t>
      </w:r>
    </w:p>
    <w:p w14:paraId="1F3D7A4E" w14:textId="77777777" w:rsidR="002801B8" w:rsidRPr="00B80C52" w:rsidRDefault="002801B8" w:rsidP="002801B8">
      <w:pPr>
        <w:spacing w:before="120"/>
        <w:rPr>
          <w:rFonts w:asciiTheme="majorBidi" w:hAnsiTheme="majorBidi"/>
          <w:b/>
          <w:sz w:val="24"/>
          <w:szCs w:val="24"/>
        </w:rPr>
      </w:pPr>
      <w:r w:rsidRPr="00B80C5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80C52">
        <w:rPr>
          <w:b/>
          <w:bCs/>
          <w:sz w:val="24"/>
          <w:szCs w:val="24"/>
        </w:rPr>
        <w:br/>
        <w:t>в области транспортных средств</w:t>
      </w:r>
    </w:p>
    <w:p w14:paraId="1489D536" w14:textId="77777777" w:rsidR="002801B8" w:rsidRPr="00B80C52" w:rsidRDefault="006C2310" w:rsidP="002801B8">
      <w:pPr>
        <w:tabs>
          <w:tab w:val="center" w:pos="4819"/>
        </w:tabs>
        <w:spacing w:before="120"/>
        <w:rPr>
          <w:b/>
        </w:rPr>
      </w:pPr>
      <w:r>
        <w:rPr>
          <w:b/>
        </w:rPr>
        <w:t>Сто восемьдесят треть</w:t>
      </w:r>
      <w:r w:rsidR="002801B8" w:rsidRPr="00B80C52">
        <w:rPr>
          <w:b/>
        </w:rPr>
        <w:t>я сессия</w:t>
      </w:r>
    </w:p>
    <w:p w14:paraId="06C5280D" w14:textId="77777777" w:rsidR="002801B8" w:rsidRPr="00B80C52" w:rsidRDefault="002801B8" w:rsidP="002801B8">
      <w:r w:rsidRPr="00B80C52">
        <w:t>Женева, 9−11 марта 2021 года</w:t>
      </w:r>
    </w:p>
    <w:p w14:paraId="549E2D60" w14:textId="77777777" w:rsidR="002801B8" w:rsidRPr="00B80C52" w:rsidRDefault="002801B8" w:rsidP="002801B8">
      <w:r w:rsidRPr="00B80C52">
        <w:t>Пункт 4.7.7 предварительной повестки дня</w:t>
      </w:r>
    </w:p>
    <w:p w14:paraId="533F8D9F" w14:textId="77777777" w:rsidR="00E12C5F" w:rsidRDefault="002801B8" w:rsidP="002801B8">
      <w:bookmarkStart w:id="0" w:name="_Hlk60756324"/>
      <w:r w:rsidRPr="00B80C52">
        <w:rPr>
          <w:b/>
          <w:bCs/>
        </w:rPr>
        <w:t xml:space="preserve">Соглашение 1958 года: </w:t>
      </w:r>
      <w:r w:rsidRPr="00B80C52">
        <w:rPr>
          <w:b/>
        </w:rPr>
        <w:br/>
      </w:r>
      <w:r w:rsidRPr="00B80C52">
        <w:rPr>
          <w:b/>
          <w:bCs/>
        </w:rPr>
        <w:t xml:space="preserve">рассмотрение проектов поправок к существующим </w:t>
      </w:r>
      <w:r w:rsidRPr="00B80C52">
        <w:rPr>
          <w:b/>
        </w:rPr>
        <w:br/>
      </w:r>
      <w:r w:rsidRPr="00B80C52">
        <w:rPr>
          <w:b/>
          <w:bCs/>
        </w:rPr>
        <w:t xml:space="preserve">правилам ООН, представленных </w:t>
      </w:r>
      <w:bookmarkEnd w:id="0"/>
      <w:r w:rsidRPr="00B80C52">
        <w:rPr>
          <w:b/>
        </w:rPr>
        <w:t>GRVA</w:t>
      </w:r>
    </w:p>
    <w:p w14:paraId="4828ED1F" w14:textId="77777777" w:rsidR="002801B8" w:rsidRPr="00B80C52" w:rsidRDefault="002801B8" w:rsidP="002801B8">
      <w:pPr>
        <w:pStyle w:val="HChG"/>
        <w:ind w:right="850"/>
      </w:pPr>
      <w:r w:rsidRPr="00B80C52">
        <w:tab/>
      </w:r>
      <w:r w:rsidRPr="00B80C52">
        <w:tab/>
        <w:t>Предложение по поправкам серии 02 к Правилам № 152 ООН (САЭТ для транспортных средств категорий М</w:t>
      </w:r>
      <w:r w:rsidRPr="00B80C52">
        <w:rPr>
          <w:vertAlign w:val="subscript"/>
        </w:rPr>
        <w:t>1</w:t>
      </w:r>
      <w:r w:rsidRPr="00B80C52">
        <w:t xml:space="preserve"> и N</w:t>
      </w:r>
      <w:r w:rsidRPr="00B80C52">
        <w:rPr>
          <w:vertAlign w:val="subscript"/>
        </w:rPr>
        <w:t>1</w:t>
      </w:r>
      <w:r w:rsidRPr="00B80C52">
        <w:t>)</w:t>
      </w:r>
    </w:p>
    <w:p w14:paraId="651D885D" w14:textId="77777777" w:rsidR="002801B8" w:rsidRPr="00B80C52" w:rsidRDefault="002801B8" w:rsidP="002801B8">
      <w:pPr>
        <w:pStyle w:val="H1G"/>
        <w:rPr>
          <w:szCs w:val="24"/>
        </w:rPr>
      </w:pPr>
      <w:r w:rsidRPr="00B80C52">
        <w:tab/>
      </w:r>
      <w:r w:rsidRPr="00B80C52">
        <w:tab/>
        <w:t>Представлено Рабочей группой по</w:t>
      </w:r>
      <w:r w:rsidR="006C2310">
        <w:t> </w:t>
      </w:r>
      <w:r w:rsidRPr="00B80C52">
        <w:t>автоматизированным/</w:t>
      </w:r>
      <w:r w:rsidR="006C2310">
        <w:t xml:space="preserve"> </w:t>
      </w:r>
      <w:r w:rsidRPr="00B80C52">
        <w:t>автономным и подключенным транспортным средствам</w:t>
      </w:r>
      <w:r w:rsidRPr="006C231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9054A47" w14:textId="77777777" w:rsidR="002801B8" w:rsidRDefault="002801B8" w:rsidP="002801B8">
      <w:pPr>
        <w:pStyle w:val="SingleTxtG"/>
      </w:pPr>
      <w:bookmarkStart w:id="1" w:name="_Hlk60759939"/>
      <w:r>
        <w:rPr>
          <w:shd w:val="clear" w:color="auto" w:fill="FFFFFF"/>
        </w:rPr>
        <w:tab/>
      </w:r>
      <w:r w:rsidRPr="00B80C52">
        <w:rPr>
          <w:shd w:val="clear" w:color="auto" w:fill="FFFFFF"/>
        </w:rPr>
        <w:t xml:space="preserve">Воспроизведенный ниже текст был принят </w:t>
      </w:r>
      <w:r w:rsidRPr="00B80C52">
        <w:t xml:space="preserve">Рабочей группой по </w:t>
      </w:r>
      <w:bookmarkEnd w:id="1"/>
      <w:r w:rsidRPr="00B80C52">
        <w:t>автоматизированным/автономным и подключенным транспортным средствам</w:t>
      </w:r>
      <w:r w:rsidRPr="00B80C52">
        <w:rPr>
          <w:shd w:val="clear" w:color="auto" w:fill="FFFFFF"/>
        </w:rPr>
        <w:t xml:space="preserve"> (</w:t>
      </w:r>
      <w:r w:rsidRPr="00B80C52">
        <w:t>GRVA</w:t>
      </w:r>
      <w:r w:rsidRPr="00B80C52">
        <w:rPr>
          <w:shd w:val="clear" w:color="auto" w:fill="FFFFFF"/>
        </w:rPr>
        <w:t>) на ее седьмой сессии в сентябре 2020 года (</w:t>
      </w:r>
      <w:r w:rsidRPr="00B80C52">
        <w:rPr>
          <w:bCs/>
        </w:rPr>
        <w:t xml:space="preserve">ECE/TRANS/WP.29/GRVA/7, </w:t>
      </w:r>
      <w:r w:rsidR="006C2310">
        <w:rPr>
          <w:bCs/>
        </w:rPr>
        <w:t>п.</w:t>
      </w:r>
      <w:r w:rsidRPr="00B80C52">
        <w:rPr>
          <w:bCs/>
        </w:rPr>
        <w:t xml:space="preserve"> 55</w:t>
      </w:r>
      <w:r w:rsidRPr="00B80C52">
        <w:rPr>
          <w:shd w:val="clear" w:color="auto" w:fill="FFFFFF"/>
        </w:rPr>
        <w:t xml:space="preserve">). Настоящий текст подготовлен с учетом рекомендаций Всемирного форума для согласования правил в области транспортных средств (WP.29), вынесенных на его сессии в ноябре 2020 года, а также руководящих указаний GRVA, сформулированных на ее сессии в декабре 2020 года. </w:t>
      </w:r>
      <w:bookmarkStart w:id="2" w:name="_Hlk60760105"/>
      <w:r w:rsidRPr="00B80C52">
        <w:rPr>
          <w:shd w:val="clear" w:color="auto" w:fill="FFFFFF"/>
        </w:rPr>
        <w:t>В его основу положен документ ECE/TRANS/WP.29/GRVA/2020/27 с соответствующими</w:t>
      </w:r>
      <w:r w:rsidRPr="00B80C52">
        <w:rPr>
          <w:bCs/>
        </w:rPr>
        <w:t xml:space="preserve"> изменениями.</w:t>
      </w:r>
      <w:r w:rsidRPr="00B80C52">
        <w:rPr>
          <w:shd w:val="clear" w:color="auto" w:fill="FFFFFF"/>
        </w:rPr>
        <w:t xml:space="preserve">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</w:t>
      </w:r>
      <w:bookmarkEnd w:id="2"/>
      <w:r w:rsidRPr="00B80C52">
        <w:rPr>
          <w:shd w:val="clear" w:color="auto" w:fill="FFFFFF"/>
        </w:rPr>
        <w:t>.</w:t>
      </w:r>
    </w:p>
    <w:p w14:paraId="1AFF4E40" w14:textId="77777777" w:rsidR="002801B8" w:rsidRDefault="002801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F69B987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asciiTheme="majorBidi" w:hAnsiTheme="majorBidi"/>
        </w:rPr>
      </w:pPr>
      <w:r w:rsidRPr="00B80C52">
        <w:rPr>
          <w:i/>
          <w:iCs/>
        </w:rPr>
        <w:lastRenderedPageBreak/>
        <w:t>Пункт 1</w:t>
      </w:r>
      <w:r w:rsidRPr="00B80C52">
        <w:t>, включить новый подпункт с) следующего содержания:</w:t>
      </w:r>
    </w:p>
    <w:p w14:paraId="25FF4670" w14:textId="77777777" w:rsidR="002801B8" w:rsidRPr="00B80C52" w:rsidRDefault="002801B8" w:rsidP="002801B8">
      <w:pPr>
        <w:pStyle w:val="H1G"/>
        <w:tabs>
          <w:tab w:val="clear" w:pos="851"/>
          <w:tab w:val="left" w:pos="2268"/>
        </w:tabs>
      </w:pPr>
      <w:r w:rsidRPr="00B80C52">
        <w:tab/>
      </w:r>
      <w:r w:rsidRPr="00B80C52">
        <w:rPr>
          <w:b w:val="0"/>
          <w:bCs/>
          <w:sz w:val="20"/>
        </w:rPr>
        <w:t>«</w:t>
      </w:r>
      <w:r w:rsidRPr="00B80C52">
        <w:t>1.</w:t>
      </w:r>
      <w:r w:rsidRPr="00B80C52">
        <w:tab/>
      </w:r>
      <w:r w:rsidRPr="00B80C52">
        <w:rPr>
          <w:bCs/>
        </w:rPr>
        <w:t>Область применения</w:t>
      </w:r>
    </w:p>
    <w:p w14:paraId="4D3DFAB9" w14:textId="77777777" w:rsidR="002801B8" w:rsidRPr="008D5D57" w:rsidRDefault="002801B8" w:rsidP="002801B8">
      <w:pPr>
        <w:spacing w:after="120"/>
        <w:ind w:left="2268" w:right="1134"/>
        <w:jc w:val="both"/>
        <w:rPr>
          <w:rFonts w:asciiTheme="majorBidi" w:hAnsiTheme="majorBidi"/>
          <w:lang w:val="en-US"/>
        </w:rPr>
      </w:pPr>
      <w:r w:rsidRPr="00B80C52">
        <w:t>Настоящие Правила ООН применяются к официальному утверждению транспортных средств категорий M</w:t>
      </w:r>
      <w:r w:rsidRPr="00B80C52">
        <w:rPr>
          <w:vertAlign w:val="subscript"/>
        </w:rPr>
        <w:t>1</w:t>
      </w:r>
      <w:r w:rsidRPr="00B80C52">
        <w:t xml:space="preserve"> и N</w:t>
      </w:r>
      <w:r w:rsidRPr="00B80C52">
        <w:rPr>
          <w:vertAlign w:val="subscript"/>
        </w:rPr>
        <w:t>1</w:t>
      </w:r>
      <w:r w:rsidRPr="00B80C52">
        <w:rPr>
          <w:rFonts w:asciiTheme="majorBidi" w:hAnsiTheme="majorBidi"/>
          <w:sz w:val="18"/>
          <w:szCs w:val="18"/>
          <w:vertAlign w:val="superscript"/>
        </w:rPr>
        <w:footnoteReference w:id="2"/>
      </w:r>
      <w:r w:rsidRPr="00B80C52">
        <w:t xml:space="preserve"> в отношении бортовой системы с целью: </w:t>
      </w:r>
    </w:p>
    <w:p w14:paraId="5DC86259" w14:textId="77777777" w:rsidR="002801B8" w:rsidRPr="00B80C52" w:rsidRDefault="002801B8" w:rsidP="002801B8">
      <w:pPr>
        <w:spacing w:after="120"/>
        <w:ind w:left="2835" w:right="1134" w:hanging="567"/>
        <w:jc w:val="both"/>
        <w:rPr>
          <w:rFonts w:asciiTheme="majorBidi" w:hAnsiTheme="majorBidi"/>
          <w:b/>
        </w:rPr>
      </w:pPr>
      <w:r w:rsidRPr="00B80C52">
        <w:t>a)</w:t>
      </w:r>
      <w:r w:rsidRPr="00B80C52">
        <w:tab/>
        <w:t>предупреждения наезда сзади пассажирского автомобиля в одной полосе движения либо смягчения последствий такого наезда;</w:t>
      </w:r>
    </w:p>
    <w:p w14:paraId="6B71D3AF" w14:textId="77777777" w:rsidR="002801B8" w:rsidRPr="00B80C52" w:rsidRDefault="002801B8" w:rsidP="002801B8">
      <w:pPr>
        <w:spacing w:after="120"/>
        <w:ind w:left="2835" w:right="1134" w:hanging="567"/>
        <w:jc w:val="both"/>
        <w:rPr>
          <w:rFonts w:asciiTheme="majorBidi" w:hAnsiTheme="majorBidi"/>
        </w:rPr>
      </w:pPr>
      <w:r w:rsidRPr="00B80C52">
        <w:t>b)</w:t>
      </w:r>
      <w:r w:rsidRPr="00B80C52">
        <w:tab/>
        <w:t>предупреждения столкновения с пешеходом либо смягчения последствий такого столкновения;</w:t>
      </w:r>
    </w:p>
    <w:p w14:paraId="08D2DB3C" w14:textId="77777777" w:rsidR="002801B8" w:rsidRPr="00B80C52" w:rsidRDefault="002801B8" w:rsidP="002801B8">
      <w:pPr>
        <w:spacing w:after="120"/>
        <w:ind w:left="2835" w:right="1134" w:hanging="567"/>
        <w:jc w:val="both"/>
        <w:rPr>
          <w:rFonts w:asciiTheme="majorBidi" w:hAnsiTheme="majorBidi"/>
          <w:i/>
          <w:iCs/>
        </w:rPr>
      </w:pPr>
      <w:r w:rsidRPr="00B80C52">
        <w:t>с)</w:t>
      </w:r>
      <w:r w:rsidRPr="00B80C52">
        <w:tab/>
        <w:t>предупреждения столкновения с велосипедом либо смягчения последствий такого столкновения».</w:t>
      </w:r>
    </w:p>
    <w:p w14:paraId="1C314D9D" w14:textId="77777777" w:rsidR="002801B8" w:rsidRPr="00B80C52" w:rsidRDefault="002801B8" w:rsidP="002801B8">
      <w:pPr>
        <w:pStyle w:val="SingleTxtG"/>
        <w:rPr>
          <w:rFonts w:asciiTheme="majorBidi" w:hAnsiTheme="majorBidi"/>
          <w:i/>
          <w:iCs/>
        </w:rPr>
      </w:pPr>
      <w:r w:rsidRPr="00B80C52">
        <w:rPr>
          <w:i/>
          <w:iCs/>
        </w:rPr>
        <w:t>Включить новый пункт 2.9</w:t>
      </w:r>
      <w:r w:rsidRPr="00B80C52">
        <w:t xml:space="preserve"> следующего содержания (и изменить нумерацию последующих пунктов):</w:t>
      </w:r>
    </w:p>
    <w:p w14:paraId="2A7B3815" w14:textId="77777777" w:rsidR="002801B8" w:rsidRPr="008D5D57" w:rsidRDefault="002801B8" w:rsidP="002801B8">
      <w:pPr>
        <w:spacing w:after="120"/>
        <w:ind w:left="2268" w:right="1134" w:hanging="1134"/>
        <w:jc w:val="both"/>
        <w:rPr>
          <w:rFonts w:asciiTheme="majorBidi" w:hAnsiTheme="majorBidi"/>
        </w:rPr>
      </w:pPr>
      <w:r w:rsidRPr="00B80C52">
        <w:t>«2.9</w:t>
      </w:r>
      <w:r w:rsidRPr="00B80C52">
        <w:tab/>
        <w:t>“</w:t>
      </w:r>
      <w:r w:rsidRPr="00B80C52">
        <w:rPr>
          <w:i/>
          <w:iCs/>
        </w:rPr>
        <w:t>объект-велосипед</w:t>
      </w:r>
      <w:r w:rsidRPr="00B80C52">
        <w:t xml:space="preserve">” означает </w:t>
      </w:r>
      <w:r>
        <w:t xml:space="preserve">мягкий </w:t>
      </w:r>
      <w:r w:rsidRPr="00B80C52">
        <w:t>объект, который представляет собой велосипед с велосипедистом;»</w:t>
      </w:r>
    </w:p>
    <w:p w14:paraId="5423525F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asciiTheme="majorBidi" w:hAnsiTheme="majorBidi"/>
        </w:rPr>
      </w:pPr>
      <w:r w:rsidRPr="00B80C52">
        <w:rPr>
          <w:i/>
          <w:iCs/>
        </w:rPr>
        <w:t>Включить новый пункт 5.1.1.4</w:t>
      </w:r>
      <w:r w:rsidRPr="00B80C52">
        <w:t xml:space="preserve"> следующего содержания:</w:t>
      </w:r>
    </w:p>
    <w:p w14:paraId="6A1BF10F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asciiTheme="majorBidi" w:hAnsiTheme="majorBidi"/>
        </w:rPr>
      </w:pPr>
      <w:r w:rsidRPr="00B80C52">
        <w:t>«5.1.1.4</w:t>
      </w:r>
      <w:r w:rsidRPr="00B80C52">
        <w:tab/>
        <w:t>пункте 5.2.3 настоящих Правил для транспортных средств, представленных на официальное утверждение в соответствии со сценарием столкновения автомобиля с велосипедом».</w:t>
      </w:r>
    </w:p>
    <w:p w14:paraId="4CFBB187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asciiTheme="majorBidi" w:hAnsiTheme="majorBidi"/>
          <w:i/>
          <w:iCs/>
        </w:rPr>
      </w:pPr>
      <w:r w:rsidRPr="00B80C52">
        <w:rPr>
          <w:i/>
          <w:iCs/>
        </w:rPr>
        <w:t>Пункт 5.1.5</w:t>
      </w:r>
      <w:r w:rsidRPr="00B80C52">
        <w:t xml:space="preserve"> изменить следующим образом:</w:t>
      </w:r>
    </w:p>
    <w:p w14:paraId="6ED66327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asciiTheme="majorBidi" w:hAnsiTheme="majorBidi"/>
        </w:rPr>
      </w:pPr>
      <w:r w:rsidRPr="00B80C52">
        <w:t>«5.1.5</w:t>
      </w:r>
      <w:r w:rsidRPr="00B80C52">
        <w:tab/>
        <w:t>Экстренное торможение</w:t>
      </w:r>
    </w:p>
    <w:p w14:paraId="31A6CA93" w14:textId="77777777" w:rsidR="002801B8" w:rsidRPr="00B80C52" w:rsidRDefault="002801B8" w:rsidP="002801B8">
      <w:pPr>
        <w:spacing w:after="120"/>
        <w:ind w:left="2268" w:right="1134"/>
        <w:jc w:val="both"/>
        <w:rPr>
          <w:rFonts w:asciiTheme="majorBidi" w:hAnsiTheme="majorBidi"/>
          <w:i/>
          <w:iCs/>
        </w:rPr>
      </w:pPr>
      <w:r w:rsidRPr="00B80C52">
        <w:t>С учетом положений пунктов 5.3.1 и 5.3.2 система должна обеспечивать экстренное торможение, описанное в пунктах 5.2.1.2, 5.2.2.2 и 5.2.3.2, с</w:t>
      </w:r>
      <w:r w:rsidRPr="00B80C52">
        <w:rPr>
          <w:lang w:val="en-US"/>
        </w:rPr>
        <w:t> </w:t>
      </w:r>
      <w:r w:rsidRPr="00B80C52">
        <w:t>целью значительного снижения скорости данного транспортного средства».</w:t>
      </w:r>
    </w:p>
    <w:p w14:paraId="66B64989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  <w:i/>
          <w:iCs/>
        </w:rPr>
      </w:pPr>
      <w:r w:rsidRPr="00B80C52">
        <w:rPr>
          <w:i/>
          <w:iCs/>
        </w:rPr>
        <w:t xml:space="preserve">Включить новый пункт </w:t>
      </w:r>
      <w:r w:rsidRPr="00B80C52">
        <w:rPr>
          <w:rFonts w:asciiTheme="majorBidi" w:hAnsiTheme="majorBidi"/>
          <w:i/>
          <w:iCs/>
        </w:rPr>
        <w:t>5.2.3</w:t>
      </w:r>
      <w:r w:rsidRPr="00B80C52">
        <w:rPr>
          <w:rFonts w:asciiTheme="majorBidi" w:hAnsiTheme="majorBidi"/>
        </w:rPr>
        <w:t xml:space="preserve"> </w:t>
      </w:r>
      <w:r w:rsidRPr="00B80C52">
        <w:rPr>
          <w:rFonts w:asciiTheme="majorBidi" w:hAnsiTheme="majorBidi"/>
          <w:i/>
          <w:iCs/>
        </w:rPr>
        <w:t>(</w:t>
      </w:r>
      <w:r w:rsidRPr="00B80C52">
        <w:rPr>
          <w:i/>
          <w:iCs/>
        </w:rPr>
        <w:t>и подпункты</w:t>
      </w:r>
      <w:r w:rsidRPr="00B80C52">
        <w:rPr>
          <w:rFonts w:asciiTheme="majorBidi" w:hAnsiTheme="majorBidi"/>
          <w:i/>
          <w:iCs/>
        </w:rPr>
        <w:t>)</w:t>
      </w:r>
      <w:r w:rsidRPr="00B80C52">
        <w:rPr>
          <w:rFonts w:asciiTheme="majorBidi" w:hAnsiTheme="majorBidi"/>
        </w:rPr>
        <w:t xml:space="preserve"> </w:t>
      </w:r>
      <w:r w:rsidRPr="00B80C52">
        <w:t>следующего содержания</w:t>
      </w:r>
      <w:r w:rsidRPr="00B80C52">
        <w:rPr>
          <w:rFonts w:asciiTheme="majorBidi" w:hAnsiTheme="majorBidi"/>
        </w:rPr>
        <w:t>:</w:t>
      </w:r>
    </w:p>
    <w:p w14:paraId="7A2FE854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eastAsia="SimSun"/>
        </w:rPr>
      </w:pPr>
      <w:r w:rsidRPr="00B80C52">
        <w:t>«5.2.3</w:t>
      </w:r>
      <w:r w:rsidRPr="00B80C52">
        <w:tab/>
        <w:t>Сценарий столкновения автомобиля с велосипедом</w:t>
      </w:r>
    </w:p>
    <w:p w14:paraId="1AF0DD5F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eastAsia="SimSun"/>
        </w:rPr>
      </w:pPr>
      <w:r w:rsidRPr="00B80C52">
        <w:t>5.2.3.1</w:t>
      </w:r>
      <w:r w:rsidRPr="00B80C52">
        <w:tab/>
        <w:t>Предупреждение об опасности столкновения</w:t>
      </w:r>
    </w:p>
    <w:p w14:paraId="25694CEC" w14:textId="77777777" w:rsidR="002801B8" w:rsidRPr="00B80C52" w:rsidRDefault="002801B8" w:rsidP="002801B8">
      <w:pPr>
        <w:spacing w:after="120"/>
        <w:ind w:left="2268" w:right="1134" w:hanging="20"/>
        <w:jc w:val="both"/>
        <w:rPr>
          <w:rFonts w:eastAsia="SimSun"/>
        </w:rPr>
      </w:pPr>
      <w:r w:rsidRPr="00B80C52">
        <w:t>Когда САЭТ обнаруживает риск столкновения с велосипедом, пересекающим дорогу с постоянной скоростью 15 км/ч, подается предупреждение об опасности столкновения, как указано в пункте 5.5.1, причем не позднее начала экстренного торможения.</w:t>
      </w:r>
    </w:p>
    <w:p w14:paraId="53B8B12E" w14:textId="77777777" w:rsidR="002801B8" w:rsidRPr="00B80C52" w:rsidRDefault="002801B8" w:rsidP="002801B8">
      <w:pPr>
        <w:spacing w:after="120"/>
        <w:ind w:left="2268" w:right="1134" w:hanging="20"/>
        <w:jc w:val="both"/>
        <w:rPr>
          <w:rFonts w:eastAsia="SimSun"/>
        </w:rPr>
      </w:pPr>
      <w:r w:rsidRPr="00B80C52">
        <w:t>Предупреждение об опасности столкновения может быть отменено, если условия, преобладающие при столкновении, перестают существовать.</w:t>
      </w:r>
    </w:p>
    <w:p w14:paraId="6F721B6F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eastAsia="SimSun"/>
        </w:rPr>
      </w:pPr>
      <w:r w:rsidRPr="00B80C52">
        <w:t>5.2.3.2</w:t>
      </w:r>
      <w:r w:rsidRPr="00B80C52">
        <w:tab/>
        <w:t xml:space="preserve">Экстренное торможение </w:t>
      </w:r>
    </w:p>
    <w:p w14:paraId="0793567B" w14:textId="77777777" w:rsidR="002801B8" w:rsidRPr="00B80C52" w:rsidRDefault="002801B8" w:rsidP="002801B8">
      <w:pPr>
        <w:spacing w:after="120"/>
        <w:ind w:left="2268" w:right="1134" w:hanging="20"/>
        <w:jc w:val="both"/>
        <w:rPr>
          <w:rFonts w:eastAsia="SimSun"/>
        </w:rPr>
      </w:pPr>
      <w:r w:rsidRPr="00B80C52">
        <w:t>Если система обнаруживает риск неминуемого столкновения, то системе рабочего тормоза транспортного средства должен передаваться запрос на торможение с замедлением не менее 5,0 м/с².</w:t>
      </w:r>
    </w:p>
    <w:p w14:paraId="3A69688D" w14:textId="77777777" w:rsidR="002801B8" w:rsidRPr="00B80C52" w:rsidRDefault="002801B8" w:rsidP="002801B8">
      <w:pPr>
        <w:spacing w:after="120"/>
        <w:ind w:left="2268" w:right="1134" w:hanging="20"/>
        <w:jc w:val="both"/>
        <w:rPr>
          <w:rFonts w:eastAsia="SimSun"/>
        </w:rPr>
      </w:pPr>
      <w:r w:rsidRPr="00B80C52">
        <w:t>Экстренное торможение может быть отменено, если условия, преобладающие при столкновении, перестают существовать.</w:t>
      </w:r>
    </w:p>
    <w:p w14:paraId="78DCC814" w14:textId="77777777" w:rsidR="002801B8" w:rsidRPr="00B80C52" w:rsidRDefault="002801B8" w:rsidP="002801B8">
      <w:pPr>
        <w:spacing w:after="120"/>
        <w:ind w:left="2268" w:right="1134" w:hanging="582"/>
        <w:jc w:val="both"/>
        <w:rPr>
          <w:rFonts w:eastAsia="SimSun"/>
        </w:rPr>
      </w:pPr>
      <w:r w:rsidRPr="00B80C52">
        <w:tab/>
        <w:t xml:space="preserve">Испытания на соблюдение этих условий проводят в соответствии с пунктом 6.7 настоящих Правил. </w:t>
      </w:r>
    </w:p>
    <w:p w14:paraId="48F4A5D2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eastAsia="SimSun"/>
        </w:rPr>
      </w:pPr>
      <w:r w:rsidRPr="00B80C52">
        <w:lastRenderedPageBreak/>
        <w:t>5.2.3.3</w:t>
      </w:r>
      <w:r w:rsidRPr="00B80C52">
        <w:tab/>
        <w:t>Диапазон скоростей</w:t>
      </w:r>
    </w:p>
    <w:p w14:paraId="6C8A3B2F" w14:textId="77777777" w:rsidR="002801B8" w:rsidRPr="00B80C52" w:rsidRDefault="002801B8" w:rsidP="002801B8">
      <w:pPr>
        <w:spacing w:after="120"/>
        <w:ind w:left="2268" w:right="1134" w:hanging="20"/>
        <w:jc w:val="both"/>
        <w:rPr>
          <w:rFonts w:eastAsia="SimSun"/>
        </w:rPr>
      </w:pPr>
      <w:r w:rsidRPr="00B80C52">
        <w:t>Система должна функционировать по крайней мере в тех случаях, когда скорость транспортного средства находится в диапазоне от 20 км/ч до 60</w:t>
      </w:r>
      <w:r w:rsidR="006F4F54">
        <w:t> </w:t>
      </w:r>
      <w:r w:rsidRPr="00B80C52">
        <w:t>км/ч, а также при всех условиях загрузки транспортного средства, за</w:t>
      </w:r>
      <w:r w:rsidR="006F4F54">
        <w:t> </w:t>
      </w:r>
      <w:r w:rsidRPr="00B80C52">
        <w:t xml:space="preserve">исключением случаев, когда она деактивирована в соответствии с пунктом 5.4. </w:t>
      </w:r>
    </w:p>
    <w:p w14:paraId="0E0D685F" w14:textId="77777777" w:rsidR="002801B8" w:rsidRPr="00B80C52" w:rsidRDefault="002801B8" w:rsidP="002801B8">
      <w:pPr>
        <w:spacing w:after="120"/>
        <w:ind w:left="2268" w:right="1134" w:hanging="1134"/>
        <w:jc w:val="both"/>
        <w:rPr>
          <w:rFonts w:eastAsia="SimSun"/>
        </w:rPr>
      </w:pPr>
      <w:r w:rsidRPr="00B80C52">
        <w:t>5.2.3.4</w:t>
      </w:r>
      <w:r w:rsidRPr="00B80C52">
        <w:tab/>
        <w:t xml:space="preserve">Снижение скорости путем запроса на применение тормоза </w:t>
      </w:r>
    </w:p>
    <w:p w14:paraId="3369C660" w14:textId="77777777" w:rsidR="002801B8" w:rsidRPr="00B80C52" w:rsidRDefault="002801B8" w:rsidP="002801B8">
      <w:pPr>
        <w:spacing w:after="120" w:line="240" w:lineRule="auto"/>
        <w:ind w:left="2268" w:right="1134"/>
        <w:jc w:val="both"/>
      </w:pPr>
      <w:r w:rsidRPr="00B80C52">
        <w:t>При отсутствии со стороны водителя действий, приводящих к вмешательству по смыслу пункта 5.3.2, САЭТ должна обеспечивать возможность достижения скорости при ударе, которая не выше максимальной относительной скорости при ударе, как показано в следующей таблице:</w:t>
      </w:r>
    </w:p>
    <w:p w14:paraId="7BEC1DC0" w14:textId="77777777" w:rsidR="002801B8" w:rsidRPr="00B80C52" w:rsidRDefault="002801B8" w:rsidP="002801B8">
      <w:pPr>
        <w:spacing w:after="120" w:line="240" w:lineRule="auto"/>
        <w:ind w:left="2835" w:right="1134" w:hanging="567"/>
        <w:jc w:val="both"/>
        <w:rPr>
          <w:rFonts w:eastAsia="SimSun"/>
        </w:rPr>
      </w:pPr>
      <w:r w:rsidRPr="00B80C52">
        <w:t>a)</w:t>
      </w:r>
      <w:r w:rsidRPr="00B80C52">
        <w:tab/>
        <w:t>при перпендикулярном пересечении дороги ничем не заслоненными от обзора велосипедами с постоянной скоростью 10−15 км/ч;</w:t>
      </w:r>
    </w:p>
    <w:p w14:paraId="2C3E3687" w14:textId="77777777" w:rsidR="002801B8" w:rsidRPr="00B80C52" w:rsidRDefault="002801B8" w:rsidP="002801B8">
      <w:pPr>
        <w:spacing w:after="120" w:line="240" w:lineRule="auto"/>
        <w:ind w:left="2835" w:right="1134" w:hanging="567"/>
        <w:jc w:val="both"/>
      </w:pPr>
      <w:r w:rsidRPr="00B80C52">
        <w:t>b)</w:t>
      </w:r>
      <w:r w:rsidRPr="00B80C52">
        <w:tab/>
        <w:t xml:space="preserve">в недвусмысленных ситуациях (например, при наличии немногочисленных велосипедов); </w:t>
      </w:r>
    </w:p>
    <w:p w14:paraId="69BEA28C" w14:textId="77777777" w:rsidR="002801B8" w:rsidRPr="00B80C52" w:rsidRDefault="002801B8" w:rsidP="002801B8">
      <w:pPr>
        <w:spacing w:after="120" w:line="240" w:lineRule="auto"/>
        <w:ind w:left="2835" w:right="1134" w:hanging="567"/>
        <w:jc w:val="both"/>
      </w:pPr>
      <w:r w:rsidRPr="00B80C52">
        <w:t>с)</w:t>
      </w:r>
      <w:r w:rsidRPr="00B80C52">
        <w:tab/>
        <w:t>на ровных, горизонтальных и сухих дорогах;</w:t>
      </w:r>
    </w:p>
    <w:p w14:paraId="516EB5F7" w14:textId="77777777" w:rsidR="002801B8" w:rsidRPr="00B80C52" w:rsidRDefault="002801B8" w:rsidP="002801B8">
      <w:pPr>
        <w:spacing w:after="120" w:line="240" w:lineRule="auto"/>
        <w:ind w:left="2835" w:right="1134" w:hanging="567"/>
        <w:jc w:val="both"/>
      </w:pPr>
      <w:r w:rsidRPr="00B80C52">
        <w:t>d)</w:t>
      </w:r>
      <w:r w:rsidRPr="00B80C52">
        <w:tab/>
        <w:t>при максимальной массе и массе в снаряженном состоянии;</w:t>
      </w:r>
    </w:p>
    <w:p w14:paraId="1F47AE28" w14:textId="77777777" w:rsidR="002801B8" w:rsidRPr="00B80C52" w:rsidRDefault="002801B8" w:rsidP="002801B8">
      <w:pPr>
        <w:spacing w:after="120" w:line="240" w:lineRule="auto"/>
        <w:ind w:left="2835" w:right="1134" w:hanging="567"/>
        <w:jc w:val="both"/>
      </w:pPr>
      <w:r w:rsidRPr="00B80C52">
        <w:t>e)</w:t>
      </w:r>
      <w:r w:rsidRPr="00B80C52">
        <w:tab/>
        <w:t xml:space="preserve">в ситуациях, когда ожидаемая точка удара </w:t>
      </w:r>
      <w:bookmarkStart w:id="3" w:name="_Hlk47381858"/>
      <w:r w:rsidRPr="00B80C52">
        <w:t xml:space="preserve">о кривошип </w:t>
      </w:r>
      <w:bookmarkEnd w:id="3"/>
      <w:r w:rsidRPr="00B80C52">
        <w:t>велосипеда смещена не более чем на 0,2 м по отношению к продольной центральной плоскости транспортного средства;</w:t>
      </w:r>
    </w:p>
    <w:p w14:paraId="1BF0FDD0" w14:textId="77777777" w:rsidR="002801B8" w:rsidRPr="00B80C52" w:rsidRDefault="002801B8" w:rsidP="002801B8">
      <w:pPr>
        <w:spacing w:after="120" w:line="240" w:lineRule="auto"/>
        <w:ind w:left="2835" w:right="1134" w:hanging="567"/>
        <w:jc w:val="both"/>
        <w:rPr>
          <w:rFonts w:eastAsia="SimSun"/>
        </w:rPr>
      </w:pPr>
      <w:r w:rsidRPr="00B80C52">
        <w:t>f)</w:t>
      </w:r>
      <w:r w:rsidRPr="00B80C52">
        <w:tab/>
        <w:t xml:space="preserve">в условиях окружающего освещения не менее 2000 люксов без ослепляющего воздействия на датчики (например, без прямого ослепляющего солнечного света); </w:t>
      </w:r>
    </w:p>
    <w:p w14:paraId="0745E0C5" w14:textId="77777777" w:rsidR="002801B8" w:rsidRPr="00B80C52" w:rsidRDefault="002801B8" w:rsidP="002801B8">
      <w:pPr>
        <w:spacing w:after="120" w:line="240" w:lineRule="auto"/>
        <w:ind w:left="2835" w:right="1134" w:hanging="567"/>
        <w:jc w:val="both"/>
      </w:pPr>
      <w:r w:rsidRPr="00B80C52">
        <w:t>g)</w:t>
      </w:r>
      <w:r w:rsidRPr="00B80C52">
        <w:tab/>
        <w:t xml:space="preserve">при отсутствии погодных условий, влияющих на динамические характеристики транспортного средства (например, отсутствие бури, температура не ниже 273,15 K или 0 °C); и </w:t>
      </w:r>
    </w:p>
    <w:p w14:paraId="1ECC8EA1" w14:textId="77777777" w:rsidR="002801B8" w:rsidRPr="00B80C52" w:rsidRDefault="002801B8" w:rsidP="002801B8">
      <w:pPr>
        <w:spacing w:after="120" w:line="240" w:lineRule="auto"/>
        <w:ind w:left="2835" w:right="1134" w:hanging="567"/>
        <w:jc w:val="both"/>
      </w:pPr>
      <w:r w:rsidRPr="00B80C52">
        <w:t>h)</w:t>
      </w:r>
      <w:r w:rsidRPr="00B80C52">
        <w:tab/>
        <w:t>при движении по прямой без искривления траектории и без поворота на перекрестке.</w:t>
      </w:r>
    </w:p>
    <w:p w14:paraId="28887EA5" w14:textId="77777777" w:rsidR="002801B8" w:rsidRPr="00B80C52" w:rsidRDefault="002801B8" w:rsidP="002801B8">
      <w:pPr>
        <w:spacing w:after="120"/>
        <w:ind w:left="2268" w:right="1134"/>
        <w:jc w:val="both"/>
      </w:pPr>
      <w:r w:rsidRPr="00B80C52">
        <w:t>Признается, что эффективность, требуемая в данной таблице, не может быть полностью достигнута в других условиях, отличающихся от тех, которые перечислены выше. Однако система не должна деактивировать или неоправданно реализовывать стратегию управления в таких других условиях. Выполнение данного требования должно быть продемонстрировано в соответствии с приложением 3 к настоящим Правилам.</w:t>
      </w:r>
    </w:p>
    <w:p w14:paraId="176F56B6" w14:textId="77777777" w:rsidR="002801B8" w:rsidRPr="00B80C52" w:rsidRDefault="002801B8" w:rsidP="00061F73">
      <w:pPr>
        <w:spacing w:after="120"/>
        <w:ind w:left="2268" w:right="1134"/>
        <w:jc w:val="both"/>
        <w:rPr>
          <w:kern w:val="2"/>
        </w:rPr>
      </w:pPr>
      <w:r w:rsidRPr="00B80C52">
        <w:t>Максимальная скорость при ударе (км/ч) для транспортных средств категории М</w:t>
      </w:r>
      <w:r w:rsidRPr="00B80C52">
        <w:rPr>
          <w:vertAlign w:val="subscript"/>
        </w:rPr>
        <w:t>1</w:t>
      </w:r>
      <w:r w:rsidRPr="00061F73">
        <w:rPr>
          <w:sz w:val="18"/>
          <w:szCs w:val="18"/>
        </w:rPr>
        <w:t>*</w:t>
      </w:r>
      <w:r w:rsidRPr="00B80C52">
        <w:t xml:space="preserve"> 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567"/>
      </w:tblGrid>
      <w:tr w:rsidR="002801B8" w:rsidRPr="00B80C52" w14:paraId="0AF03C00" w14:textId="77777777" w:rsidTr="004860A9">
        <w:trPr>
          <w:tblHeader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5E44A2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i/>
                <w:kern w:val="2"/>
                <w:sz w:val="16"/>
                <w:szCs w:val="16"/>
              </w:rPr>
            </w:pPr>
            <w:r w:rsidRPr="00B80C52">
              <w:rPr>
                <w:i/>
                <w:iCs/>
                <w:sz w:val="16"/>
                <w:szCs w:val="16"/>
              </w:rPr>
              <w:t>Скорость движения данного транспортного средства (км/ч)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7BBD64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i/>
                <w:kern w:val="2"/>
                <w:sz w:val="16"/>
                <w:szCs w:val="16"/>
              </w:rPr>
            </w:pPr>
            <w:r w:rsidRPr="00B80C52">
              <w:rPr>
                <w:i/>
                <w:iCs/>
                <w:sz w:val="16"/>
                <w:szCs w:val="16"/>
              </w:rPr>
              <w:t>Максимальная масса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1D6432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i/>
                <w:kern w:val="2"/>
                <w:sz w:val="16"/>
                <w:szCs w:val="16"/>
              </w:rPr>
            </w:pPr>
            <w:r w:rsidRPr="00B80C52">
              <w:rPr>
                <w:i/>
                <w:iCs/>
                <w:sz w:val="16"/>
                <w:szCs w:val="16"/>
              </w:rPr>
              <w:t xml:space="preserve">Масса </w:t>
            </w:r>
            <w:r w:rsidRPr="00B80C52">
              <w:rPr>
                <w:i/>
                <w:iCs/>
                <w:sz w:val="16"/>
                <w:szCs w:val="16"/>
              </w:rPr>
              <w:br/>
              <w:t>в снаряженном состоянии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94D9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i/>
                <w:iCs/>
                <w:kern w:val="2"/>
                <w:sz w:val="16"/>
                <w:szCs w:val="16"/>
                <w:lang w:val="fr-FR" w:eastAsia="ja-JP"/>
              </w:rPr>
            </w:pPr>
          </w:p>
        </w:tc>
      </w:tr>
      <w:tr w:rsidR="002801B8" w:rsidRPr="00B80C52" w14:paraId="2B0EB49E" w14:textId="77777777" w:rsidTr="00CF5899"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672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20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90F8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2D7F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02BD7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72831F63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DF3F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6986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A69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31B17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33ADDD47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1798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FB28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1EAB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A911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2D6EEF93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BB2B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3A50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2CC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FBDBE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59C48FF2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42B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A054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6DAA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BE09C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418E5A79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177F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4226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10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6B91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899F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1870FDC7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B943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08FF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25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E751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25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CEF9C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1218C8EF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876C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02B1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0C94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6028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12265B" w14:paraId="357E2B47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299A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C4C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A44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EAF9CE" w14:textId="77777777" w:rsidR="002801B8" w:rsidRPr="00B80C52" w:rsidRDefault="002801B8" w:rsidP="00CF5899">
            <w:pPr>
              <w:widowControl w:val="0"/>
              <w:spacing w:line="240" w:lineRule="auto"/>
              <w:rPr>
                <w:kern w:val="2"/>
                <w:sz w:val="18"/>
                <w:szCs w:val="18"/>
                <w:lang w:eastAsia="ja-JP"/>
              </w:rPr>
            </w:pPr>
            <w:r w:rsidRPr="00B80C52">
              <w:rPr>
                <w:sz w:val="18"/>
                <w:szCs w:val="18"/>
              </w:rPr>
              <w:t xml:space="preserve">Все значения </w:t>
            </w:r>
            <w:r w:rsidRPr="00B80C52">
              <w:rPr>
                <w:sz w:val="18"/>
                <w:szCs w:val="18"/>
              </w:rPr>
              <w:br/>
              <w:t>в км/ч</w:t>
            </w:r>
          </w:p>
        </w:tc>
      </w:tr>
      <w:tr w:rsidR="002801B8" w:rsidRPr="00B80C52" w14:paraId="7884ED28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F1BA8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E4E635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40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60417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40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14:paraId="00BD4822" w14:textId="77777777" w:rsidR="002801B8" w:rsidRPr="00B80C52" w:rsidRDefault="002801B8" w:rsidP="00CF5899">
            <w:pPr>
              <w:widowControl w:val="0"/>
              <w:spacing w:before="40" w:after="40" w:line="240" w:lineRule="auto"/>
              <w:rPr>
                <w:kern w:val="2"/>
                <w:sz w:val="18"/>
                <w:szCs w:val="18"/>
              </w:rPr>
            </w:pPr>
          </w:p>
        </w:tc>
      </w:tr>
    </w:tbl>
    <w:p w14:paraId="1E8B0933" w14:textId="77777777" w:rsidR="002801B8" w:rsidRPr="00B80C52" w:rsidRDefault="002801B8" w:rsidP="002801B8">
      <w:pPr>
        <w:pStyle w:val="af3"/>
        <w:widowControl w:val="0"/>
        <w:spacing w:before="120" w:line="220" w:lineRule="exact"/>
        <w:ind w:left="2268" w:right="1134" w:firstLine="170"/>
        <w:rPr>
          <w:kern w:val="2"/>
          <w:sz w:val="18"/>
          <w:szCs w:val="18"/>
          <w:lang w:val="ru-RU"/>
        </w:rPr>
      </w:pPr>
      <w:r w:rsidRPr="00B80C52">
        <w:rPr>
          <w:sz w:val="18"/>
          <w:szCs w:val="18"/>
          <w:lang w:val="ru-RU"/>
        </w:rPr>
        <w:t>*  В случае скоростей данного транспортного средства в промежутках между перечисленными значениями (например, 53</w:t>
      </w:r>
      <w:r w:rsidRPr="00B80C52">
        <w:rPr>
          <w:sz w:val="18"/>
          <w:szCs w:val="18"/>
          <w:lang w:val="en-US"/>
        </w:rPr>
        <w:t> </w:t>
      </w:r>
      <w:r w:rsidRPr="00B80C52">
        <w:rPr>
          <w:sz w:val="18"/>
          <w:szCs w:val="18"/>
          <w:lang w:val="ru-RU"/>
        </w:rPr>
        <w:t>км/ч) применяется максимальная относительная скорость при ударе (т.</w:t>
      </w:r>
      <w:r w:rsidR="00061F73">
        <w:rPr>
          <w:sz w:val="18"/>
          <w:szCs w:val="18"/>
          <w:lang w:val="ru-RU"/>
        </w:rPr>
        <w:t> </w:t>
      </w:r>
      <w:r w:rsidRPr="00B80C52">
        <w:rPr>
          <w:sz w:val="18"/>
          <w:szCs w:val="18"/>
          <w:lang w:val="ru-RU"/>
        </w:rPr>
        <w:t>е. 35/35 км/ч), предписанная для следующего более высокого значения относительной скорости (т.</w:t>
      </w:r>
      <w:r w:rsidR="00061F73">
        <w:rPr>
          <w:sz w:val="18"/>
          <w:szCs w:val="18"/>
          <w:lang w:val="ru-RU"/>
        </w:rPr>
        <w:t> </w:t>
      </w:r>
      <w:r w:rsidRPr="00B80C52">
        <w:rPr>
          <w:sz w:val="18"/>
          <w:szCs w:val="18"/>
          <w:lang w:val="ru-RU"/>
        </w:rPr>
        <w:t xml:space="preserve">е. 55 км/ч). </w:t>
      </w:r>
    </w:p>
    <w:p w14:paraId="56ECBDAC" w14:textId="77777777" w:rsidR="002801B8" w:rsidRPr="00B80C52" w:rsidRDefault="002801B8" w:rsidP="002801B8">
      <w:pPr>
        <w:pStyle w:val="SingleTxtG"/>
        <w:spacing w:line="220" w:lineRule="exact"/>
        <w:ind w:left="2268" w:firstLine="170"/>
        <w:jc w:val="left"/>
        <w:rPr>
          <w:kern w:val="2"/>
          <w:sz w:val="18"/>
          <w:szCs w:val="18"/>
        </w:rPr>
      </w:pPr>
      <w:r w:rsidRPr="00B80C52">
        <w:rPr>
          <w:sz w:val="18"/>
          <w:szCs w:val="18"/>
        </w:rPr>
        <w:t>Если же масса превышает массу в снаряженном состоянии, то применяется максимальная относительная скорость при ударе, предписанная для максимальной массы.</w:t>
      </w:r>
    </w:p>
    <w:p w14:paraId="533548A6" w14:textId="77777777" w:rsidR="002801B8" w:rsidRPr="00B80C52" w:rsidRDefault="002801B8" w:rsidP="00061F73">
      <w:pPr>
        <w:spacing w:after="120"/>
        <w:ind w:left="2268" w:right="1134"/>
        <w:jc w:val="both"/>
        <w:rPr>
          <w:kern w:val="2"/>
        </w:rPr>
      </w:pPr>
      <w:r w:rsidRPr="00B80C52">
        <w:t>Максимальная скорость при ударе (км/ч) для транспортных средств категории N</w:t>
      </w:r>
      <w:r w:rsidRPr="00B80C52">
        <w:rPr>
          <w:vertAlign w:val="subscript"/>
        </w:rPr>
        <w:t>1</w:t>
      </w:r>
      <w:r w:rsidRPr="00061F73">
        <w:rPr>
          <w:sz w:val="18"/>
          <w:szCs w:val="18"/>
        </w:rPr>
        <w:t>*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850"/>
      </w:tblGrid>
      <w:tr w:rsidR="002801B8" w:rsidRPr="00B80C52" w14:paraId="655E508E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30E7F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i/>
                <w:kern w:val="2"/>
                <w:sz w:val="16"/>
                <w:szCs w:val="16"/>
              </w:rPr>
            </w:pPr>
            <w:r w:rsidRPr="00B80C52">
              <w:rPr>
                <w:i/>
                <w:iCs/>
                <w:sz w:val="16"/>
                <w:szCs w:val="16"/>
              </w:rPr>
              <w:t>Скорость движения данного транспортного средства (км/ч)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40AD06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i/>
                <w:kern w:val="2"/>
                <w:sz w:val="16"/>
                <w:szCs w:val="16"/>
              </w:rPr>
            </w:pPr>
            <w:r w:rsidRPr="00B80C52">
              <w:rPr>
                <w:i/>
                <w:iCs/>
                <w:sz w:val="16"/>
                <w:szCs w:val="16"/>
              </w:rPr>
              <w:t>Максимальная масса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3AB065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i/>
                <w:kern w:val="2"/>
                <w:sz w:val="16"/>
                <w:szCs w:val="16"/>
              </w:rPr>
            </w:pPr>
            <w:r w:rsidRPr="00B80C52">
              <w:rPr>
                <w:i/>
                <w:iCs/>
                <w:sz w:val="16"/>
                <w:szCs w:val="16"/>
              </w:rPr>
              <w:t xml:space="preserve">Масса </w:t>
            </w:r>
            <w:r w:rsidRPr="00B80C52">
              <w:rPr>
                <w:i/>
                <w:iCs/>
                <w:sz w:val="16"/>
                <w:szCs w:val="16"/>
              </w:rPr>
              <w:br/>
              <w:t>в снаряженном состоянии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FE36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i/>
                <w:iCs/>
                <w:kern w:val="2"/>
                <w:sz w:val="16"/>
                <w:szCs w:val="16"/>
                <w:lang w:val="fr-FR" w:eastAsia="ja-JP"/>
              </w:rPr>
            </w:pPr>
          </w:p>
        </w:tc>
      </w:tr>
      <w:tr w:rsidR="002801B8" w:rsidRPr="00B80C52" w14:paraId="0AA9A5EE" w14:textId="77777777" w:rsidTr="00CF5899"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49D9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20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0A1B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ACCF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97CE9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7F1094F1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402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D856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3ADB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B8E57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642E5669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CA0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DF55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851C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F7D16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0255CFA6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D46E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7B72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8514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520B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27303E03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D6BE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FCC9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79A0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0,00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D90F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2646475F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C11A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A4EA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15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6DC3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57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7EBA4CCA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BDC2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A8CC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25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748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401E9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1F5C3C4C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D90B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57FC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21F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25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864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B80C52" w14:paraId="55CD1142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010F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60F0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8B69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2C24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2801B8" w:rsidRPr="0012265B" w14:paraId="7C40C494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2F3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32D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40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974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35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223465" w14:textId="77777777" w:rsidR="002801B8" w:rsidRPr="00B80C52" w:rsidRDefault="002801B8" w:rsidP="00CF5899">
            <w:pPr>
              <w:widowControl w:val="0"/>
              <w:spacing w:line="240" w:lineRule="auto"/>
              <w:rPr>
                <w:kern w:val="2"/>
                <w:sz w:val="18"/>
                <w:szCs w:val="18"/>
                <w:lang w:eastAsia="ja-JP"/>
              </w:rPr>
            </w:pPr>
            <w:r w:rsidRPr="00B80C52">
              <w:rPr>
                <w:sz w:val="18"/>
                <w:szCs w:val="18"/>
              </w:rPr>
              <w:t xml:space="preserve">Все значения </w:t>
            </w:r>
            <w:r w:rsidRPr="00B80C52">
              <w:rPr>
                <w:sz w:val="18"/>
                <w:szCs w:val="18"/>
              </w:rPr>
              <w:br/>
              <w:t>в км/ч</w:t>
            </w:r>
          </w:p>
        </w:tc>
      </w:tr>
      <w:tr w:rsidR="002801B8" w:rsidRPr="00B80C52" w14:paraId="350C8703" w14:textId="77777777" w:rsidTr="00CF589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C26351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68F683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45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C5E280" w14:textId="77777777" w:rsidR="002801B8" w:rsidRPr="00B80C52" w:rsidRDefault="002801B8" w:rsidP="00CF5899">
            <w:pPr>
              <w:widowControl w:val="0"/>
              <w:spacing w:before="40" w:after="40" w:line="240" w:lineRule="auto"/>
              <w:jc w:val="center"/>
              <w:rPr>
                <w:kern w:val="2"/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>40</w:t>
            </w:r>
            <w:r w:rsidRPr="00B80C52">
              <w:rPr>
                <w:sz w:val="18"/>
                <w:szCs w:val="18"/>
                <w:lang w:val="en-US"/>
              </w:rPr>
              <w:t>,</w:t>
            </w:r>
            <w:r w:rsidRPr="00B80C52">
              <w:rPr>
                <w:sz w:val="18"/>
                <w:szCs w:val="18"/>
              </w:rPr>
              <w:t>00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14:paraId="068EF2FD" w14:textId="77777777" w:rsidR="002801B8" w:rsidRPr="00B80C52" w:rsidRDefault="002801B8" w:rsidP="00CF5899">
            <w:pPr>
              <w:widowControl w:val="0"/>
              <w:spacing w:before="40" w:after="40" w:line="240" w:lineRule="auto"/>
              <w:rPr>
                <w:kern w:val="2"/>
                <w:sz w:val="18"/>
                <w:szCs w:val="18"/>
              </w:rPr>
            </w:pPr>
          </w:p>
        </w:tc>
      </w:tr>
    </w:tbl>
    <w:p w14:paraId="3CA45349" w14:textId="77777777" w:rsidR="002801B8" w:rsidRPr="00B80C52" w:rsidRDefault="002801B8" w:rsidP="002801B8">
      <w:pPr>
        <w:pStyle w:val="af3"/>
        <w:widowControl w:val="0"/>
        <w:spacing w:before="120" w:line="220" w:lineRule="exact"/>
        <w:ind w:left="2268" w:right="1134" w:firstLine="170"/>
        <w:rPr>
          <w:kern w:val="2"/>
          <w:sz w:val="18"/>
          <w:szCs w:val="18"/>
          <w:lang w:val="ru-RU"/>
        </w:rPr>
      </w:pPr>
      <w:r w:rsidRPr="00B80C52">
        <w:rPr>
          <w:sz w:val="18"/>
          <w:szCs w:val="18"/>
          <w:lang w:val="ru-RU"/>
        </w:rPr>
        <w:t>*  В случае скоростей данного транспортного средства в промежутках между перечисленными значениями (например, 53 км/ч) применяется максимальная относительная скорость при ударе (т.</w:t>
      </w:r>
      <w:r w:rsidR="00061F73">
        <w:rPr>
          <w:sz w:val="18"/>
          <w:szCs w:val="18"/>
          <w:lang w:val="ru-RU"/>
        </w:rPr>
        <w:t> </w:t>
      </w:r>
      <w:r w:rsidRPr="00B80C52">
        <w:rPr>
          <w:sz w:val="18"/>
          <w:szCs w:val="18"/>
          <w:lang w:val="ru-RU"/>
        </w:rPr>
        <w:t>е. 40/35 км/ч), предписанная для следующего более высокого значения относительной скорости (т.</w:t>
      </w:r>
      <w:r w:rsidR="00061F73">
        <w:rPr>
          <w:sz w:val="18"/>
          <w:szCs w:val="18"/>
          <w:lang w:val="ru-RU"/>
        </w:rPr>
        <w:t> </w:t>
      </w:r>
      <w:r w:rsidRPr="00B80C52">
        <w:rPr>
          <w:sz w:val="18"/>
          <w:szCs w:val="18"/>
          <w:lang w:val="ru-RU"/>
        </w:rPr>
        <w:t xml:space="preserve">е. 55 км/ч). </w:t>
      </w:r>
    </w:p>
    <w:p w14:paraId="071BDF28" w14:textId="77777777" w:rsidR="002801B8" w:rsidRPr="00B80C52" w:rsidRDefault="002801B8" w:rsidP="002801B8">
      <w:pPr>
        <w:pStyle w:val="SingleTxtG"/>
        <w:spacing w:line="220" w:lineRule="exact"/>
        <w:ind w:left="2268" w:firstLine="170"/>
        <w:jc w:val="left"/>
        <w:rPr>
          <w:kern w:val="2"/>
          <w:sz w:val="18"/>
          <w:szCs w:val="18"/>
        </w:rPr>
      </w:pPr>
      <w:r w:rsidRPr="00B80C52">
        <w:rPr>
          <w:sz w:val="18"/>
          <w:szCs w:val="18"/>
        </w:rPr>
        <w:t>Если же масса превышает массу в снаряженном состоянии, то применяется максимальная относительная скорость при ударе, предписанная для максимальной массы</w:t>
      </w:r>
      <w:r w:rsidRPr="00B80C52">
        <w:t>».</w:t>
      </w:r>
    </w:p>
    <w:p w14:paraId="534CA785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rPr>
          <w:i/>
          <w:iCs/>
        </w:rPr>
        <w:t>Пункт 5.5.1</w:t>
      </w:r>
      <w:r w:rsidRPr="00B80C52">
        <w:t xml:space="preserve"> изменить следующим образом:</w:t>
      </w:r>
    </w:p>
    <w:p w14:paraId="3EC376AD" w14:textId="77777777" w:rsidR="002801B8" w:rsidRPr="00B80C52" w:rsidRDefault="002801B8" w:rsidP="00061F73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</w:rPr>
      </w:pPr>
      <w:r w:rsidRPr="00B80C52">
        <w:t xml:space="preserve">«5.5.1 </w:t>
      </w:r>
      <w:r w:rsidRPr="00B80C52">
        <w:tab/>
        <w:t>Предупреждение об опасности столкновения, упомянутое в пунктах 5.2.1.1, 5.2.2.1 и 5.2.3.1, должно обеспечиваться при помощи не менее двух из следующих режимов: акустического, тактильного или оптического».</w:t>
      </w:r>
    </w:p>
    <w:p w14:paraId="6BACB11F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rPr>
          <w:i/>
          <w:iCs/>
        </w:rPr>
        <w:t>Пункт 6.1.5</w:t>
      </w:r>
      <w:r w:rsidRPr="00B80C52">
        <w:t xml:space="preserve"> изменить следующим образом:</w:t>
      </w:r>
    </w:p>
    <w:p w14:paraId="5B13F024" w14:textId="77777777" w:rsidR="002801B8" w:rsidRPr="00B80C52" w:rsidRDefault="002801B8" w:rsidP="00061F73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</w:rPr>
      </w:pPr>
      <w:r w:rsidRPr="00B80C52">
        <w:t>«6.1.5</w:t>
      </w:r>
      <w:r w:rsidRPr="00B80C52">
        <w:tab/>
        <w:t>Естественное окружающее освещение в зоне испытаний должно быть однородным и превышать 1000 люксов в случае сценария столкновения автомобиля с автомобилем, предусмотренного в пункте 5.2.1, 2000</w:t>
      </w:r>
      <w:r w:rsidR="00061F73">
        <w:t> </w:t>
      </w:r>
      <w:r w:rsidRPr="00B80C52">
        <w:t xml:space="preserve">люксов </w:t>
      </w:r>
      <w:r w:rsidR="00061F73">
        <w:t>—</w:t>
      </w:r>
      <w:r w:rsidRPr="00B80C52">
        <w:t xml:space="preserve"> в случае сценария столкновения автомобиля с пешеходом, предусмотренного в пункте 5.2.2, и 2000 люксов </w:t>
      </w:r>
      <w:r w:rsidR="00061F73">
        <w:t>—</w:t>
      </w:r>
      <w:r w:rsidRPr="00B80C52">
        <w:t xml:space="preserve"> в случае сценария столкновения автомобиля с велосипедом, предусмотренного в пункте 5.2.3. Следует обеспечить, чтобы испытания не проводились при движении в направлении солнца или от него под низким углом».</w:t>
      </w:r>
    </w:p>
    <w:p w14:paraId="26F074EA" w14:textId="77777777" w:rsidR="002801B8" w:rsidRPr="00B80C52" w:rsidRDefault="002801B8" w:rsidP="004860A9">
      <w:pPr>
        <w:pStyle w:val="SingleTxtG"/>
        <w:keepNext/>
        <w:keepLines/>
        <w:spacing w:line="234" w:lineRule="atLeast"/>
        <w:ind w:left="2268" w:hanging="1134"/>
        <w:rPr>
          <w:rFonts w:asciiTheme="majorBidi" w:hAnsiTheme="majorBidi"/>
          <w:i/>
          <w:iCs/>
        </w:rPr>
      </w:pPr>
      <w:r w:rsidRPr="00B80C52">
        <w:rPr>
          <w:i/>
          <w:iCs/>
        </w:rPr>
        <w:lastRenderedPageBreak/>
        <w:t>Включить новый пункт 6.3.3</w:t>
      </w:r>
      <w:r w:rsidRPr="00B80C52">
        <w:t xml:space="preserve"> следующего содержания:</w:t>
      </w:r>
    </w:p>
    <w:p w14:paraId="71C1F4B2" w14:textId="77777777" w:rsidR="002801B8" w:rsidRPr="00B80C52" w:rsidRDefault="002801B8" w:rsidP="002801B8">
      <w:pPr>
        <w:spacing w:after="120" w:line="234" w:lineRule="atLeast"/>
        <w:ind w:left="2268" w:right="1134" w:hanging="1134"/>
        <w:jc w:val="both"/>
        <w:rPr>
          <w:rFonts w:eastAsia="SimSun" w:cs="Arial"/>
        </w:rPr>
      </w:pPr>
      <w:r w:rsidRPr="00B80C52">
        <w:t xml:space="preserve">«6.3.3 </w:t>
      </w:r>
      <w:r w:rsidRPr="00B80C52">
        <w:tab/>
        <w:t xml:space="preserve">Объект, используемый в ходе испытания на обнаружение велосипеда, должен представлять собой </w:t>
      </w:r>
      <w:r>
        <w:t xml:space="preserve">мягкий </w:t>
      </w:r>
      <w:r w:rsidRPr="00B80C52">
        <w:t>объект с характерными внешними признаками велосипеда со взрослым велосипедистом, применимыми в</w:t>
      </w:r>
      <w:r w:rsidR="00061F73">
        <w:t> </w:t>
      </w:r>
      <w:r w:rsidRPr="00B80C52">
        <w:t xml:space="preserve">сенсорной системе испытуемой САЭТ в соответствии с ISO </w:t>
      </w:r>
      <w:r w:rsidR="00061F73">
        <w:br/>
      </w:r>
      <w:r w:rsidRPr="00B80C52">
        <w:t>19206-4:2020».</w:t>
      </w:r>
    </w:p>
    <w:p w14:paraId="38D539A4" w14:textId="77777777" w:rsidR="002801B8" w:rsidRPr="00B80C52" w:rsidRDefault="002801B8" w:rsidP="002801B8">
      <w:pPr>
        <w:pStyle w:val="SingleTxtG"/>
        <w:spacing w:line="234" w:lineRule="atLeast"/>
        <w:ind w:left="2268" w:hanging="1134"/>
        <w:rPr>
          <w:rFonts w:asciiTheme="majorBidi" w:hAnsiTheme="majorBidi"/>
        </w:rPr>
      </w:pPr>
      <w:r w:rsidRPr="00B80C52">
        <w:rPr>
          <w:i/>
          <w:iCs/>
        </w:rPr>
        <w:t>Пункт 6.3.3</w:t>
      </w:r>
      <w:r w:rsidRPr="00B80C52">
        <w:t xml:space="preserve"> </w:t>
      </w:r>
      <w:r w:rsidRPr="00B80C52">
        <w:rPr>
          <w:i/>
          <w:iCs/>
        </w:rPr>
        <w:t>(нынешний)</w:t>
      </w:r>
      <w:r w:rsidRPr="00B80C52">
        <w:t>, изменить нумерацию на 6.3.4.</w:t>
      </w:r>
    </w:p>
    <w:p w14:paraId="67110E7C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rPr>
          <w:rFonts w:asciiTheme="majorBidi" w:hAnsiTheme="majorBidi"/>
          <w:i/>
          <w:iCs/>
        </w:rPr>
        <w:t xml:space="preserve">Таблицы в пункте 6.7 и соответствующие подпункты </w:t>
      </w:r>
      <w:r w:rsidRPr="00B80C52">
        <w:t>изменить следующим образом</w:t>
      </w:r>
      <w:r w:rsidRPr="00B80C52">
        <w:rPr>
          <w:rFonts w:asciiTheme="majorBidi" w:hAnsiTheme="majorBidi"/>
        </w:rPr>
        <w:t>:</w:t>
      </w:r>
    </w:p>
    <w:p w14:paraId="146596F2" w14:textId="77777777" w:rsidR="002801B8" w:rsidRPr="00B80C52" w:rsidRDefault="002801B8" w:rsidP="00061F73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</w:rPr>
      </w:pPr>
      <w:r w:rsidRPr="00B80C52">
        <w:t xml:space="preserve">«6.7 </w:t>
      </w:r>
      <w:r w:rsidRPr="00B80C52">
        <w:tab/>
        <w:t>Испытание на предупреждение и включение в случае объекта-велосипеда</w:t>
      </w:r>
    </w:p>
    <w:p w14:paraId="185C8AF9" w14:textId="77777777" w:rsidR="002801B8" w:rsidRPr="00B80C52" w:rsidRDefault="002801B8" w:rsidP="00061F73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</w:rPr>
      </w:pPr>
      <w:r w:rsidRPr="00B80C52">
        <w:t>6.7.1</w:t>
      </w:r>
      <w:r w:rsidRPr="00B80C52">
        <w:tab/>
        <w:t>Данное транспортное средство приближается к точке удара объекта-велосипеда по прямой линии по крайней мере до момента, наступающего за 2 секунды до начала функционального этапа испытания, причем ожидаемое смещение данного транспортного средства по осевой линии точки удара о кривошип велосипеда должно составлять не более 0,1 м.</w:t>
      </w:r>
    </w:p>
    <w:p w14:paraId="314C29C1" w14:textId="77777777" w:rsidR="002801B8" w:rsidRPr="00B80C52" w:rsidRDefault="002801B8" w:rsidP="002801B8">
      <w:pPr>
        <w:pStyle w:val="SingleTxtG"/>
        <w:ind w:left="2268" w:hanging="20"/>
        <w:rPr>
          <w:rFonts w:asciiTheme="majorBidi" w:hAnsiTheme="majorBidi"/>
        </w:rPr>
      </w:pPr>
      <w:r w:rsidRPr="00B80C52">
        <w:t>Функциональный этап испытания начинается в то время, когда данное транспортное средство движется с постоянной скоростью и находится от точки столкновения на расстоянии, соответствующем ВДС, равному по меньшей мере 4 секундам.</w:t>
      </w:r>
    </w:p>
    <w:p w14:paraId="51EAACE6" w14:textId="77777777" w:rsidR="002801B8" w:rsidRPr="00B80C52" w:rsidRDefault="002801B8" w:rsidP="002801B8">
      <w:pPr>
        <w:pStyle w:val="SingleTxtG"/>
        <w:ind w:left="2268" w:hanging="20"/>
        <w:rPr>
          <w:rFonts w:asciiTheme="majorBidi" w:hAnsiTheme="majorBidi"/>
        </w:rPr>
      </w:pPr>
      <w:r w:rsidRPr="00B80C52">
        <w:t xml:space="preserve">Объект-велосипед движется по прямой линии, перпендикулярной направлению движения данного транспортного средства, с постоянной скоростью 15 км/ч </w:t>
      </w:r>
      <w:r w:rsidRPr="00B80C52">
        <w:rPr>
          <w:rFonts w:asciiTheme="majorBidi" w:hAnsiTheme="majorBidi"/>
          <w:bCs/>
        </w:rPr>
        <w:t xml:space="preserve">+0/-1 </w:t>
      </w:r>
      <w:r w:rsidRPr="00B80C52">
        <w:t>км/ч, начиная не ранее начала функционального этапа испытания. Во время этапа ускорения велосипеда, предшествующего функциональному этапу испытания, объект-велосипед должен быть заслонен от обзора. Положение объекта-велосипеда координируется с данным транспортным средством таким образом, чтобы точка удара объекта-велосипеда о переднюю часть данного транспортного средства находилась на продольной осевой линии данного транспортного средства с допуском не более 0,1 м, если данное транспортное средство будет продолжать двигаться с предписанной испытательной скоростью на всем протяжении функционального этапа испытания и не будет тормозить.</w:t>
      </w:r>
    </w:p>
    <w:p w14:paraId="32F7E0F3" w14:textId="77777777" w:rsidR="002801B8" w:rsidRPr="00B80C52" w:rsidRDefault="002801B8" w:rsidP="000A7047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</w:rPr>
      </w:pPr>
      <w:r w:rsidRPr="00B80C52">
        <w:tab/>
        <w:t>Испытания проводят на транспортном средстве, движущемся со скоростью, указанной в приведенных ниже таблицах соответственно для транспортных средств категорий M</w:t>
      </w:r>
      <w:r w:rsidRPr="00B80C52">
        <w:rPr>
          <w:vertAlign w:val="subscript"/>
        </w:rPr>
        <w:t>1</w:t>
      </w:r>
      <w:r w:rsidRPr="00B80C52">
        <w:t xml:space="preserve"> и N</w:t>
      </w:r>
      <w:r w:rsidRPr="00B80C52">
        <w:rPr>
          <w:vertAlign w:val="subscript"/>
        </w:rPr>
        <w:t>1</w:t>
      </w:r>
      <w:r w:rsidRPr="00B80C52">
        <w:t>. Техническая служба может выбрать любые другие значения испытательной скорости, перечисленные в таблице, приведенной в пункте 5.2.3.4, в</w:t>
      </w:r>
      <w:r w:rsidRPr="00B80C52">
        <w:rPr>
          <w:lang w:val="en-US"/>
        </w:rPr>
        <w:t> </w:t>
      </w:r>
      <w:r w:rsidRPr="00B80C52">
        <w:t>пределах предписанного диапазона скоростей, определенного в пункте 5.2.3.3.</w:t>
      </w:r>
    </w:p>
    <w:p w14:paraId="6A7DAB9B" w14:textId="77777777" w:rsidR="002801B8" w:rsidRPr="00B80C52" w:rsidRDefault="002801B8" w:rsidP="002801B8">
      <w:pPr>
        <w:pStyle w:val="SingleTxtG"/>
        <w:ind w:left="2268"/>
        <w:rPr>
          <w:rFonts w:asciiTheme="majorBidi" w:hAnsiTheme="majorBidi"/>
        </w:rPr>
      </w:pPr>
      <w:r w:rsidRPr="00B80C52">
        <w:t>Испытательная скорость данного транспортного средства для транспортных средств категории М</w:t>
      </w:r>
      <w:r w:rsidRPr="00B80C52">
        <w:rPr>
          <w:vertAlign w:val="subscript"/>
        </w:rPr>
        <w:t>1</w:t>
      </w:r>
      <w:r w:rsidRPr="00B80C52">
        <w:t xml:space="preserve"> в сценарии столкновения с объектом-велосипедом</w:t>
      </w:r>
    </w:p>
    <w:tbl>
      <w:tblPr>
        <w:tblW w:w="625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548"/>
        <w:gridCol w:w="1721"/>
      </w:tblGrid>
      <w:tr w:rsidR="002801B8" w:rsidRPr="00B80C52" w14:paraId="17865DF7" w14:textId="77777777" w:rsidTr="000A7047">
        <w:trPr>
          <w:trHeight w:val="26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2D57A3" w14:textId="77777777" w:rsidR="002801B8" w:rsidRPr="00B80C52" w:rsidRDefault="002801B8" w:rsidP="00CF5899">
            <w:pPr>
              <w:widowControl w:val="0"/>
              <w:suppressAutoHyphens w:val="0"/>
              <w:spacing w:before="80" w:after="80" w:line="200" w:lineRule="exact"/>
              <w:jc w:val="center"/>
              <w:rPr>
                <w:bCs/>
                <w:i/>
                <w:iCs/>
                <w:strike/>
                <w:kern w:val="2"/>
                <w:sz w:val="16"/>
                <w:szCs w:val="14"/>
                <w:lang w:val="fr-FR" w:eastAsia="ja-JP"/>
              </w:rPr>
            </w:pPr>
            <w:r w:rsidRPr="00B80C52">
              <w:rPr>
                <w:i/>
                <w:iCs/>
                <w:sz w:val="16"/>
                <w:szCs w:val="16"/>
              </w:rPr>
              <w:t>Максимальная масса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87EB7F" w14:textId="77777777" w:rsidR="002801B8" w:rsidRPr="00B80C52" w:rsidRDefault="002801B8" w:rsidP="00CF5899">
            <w:pPr>
              <w:widowControl w:val="0"/>
              <w:suppressAutoHyphens w:val="0"/>
              <w:spacing w:before="80" w:after="80" w:line="200" w:lineRule="exact"/>
              <w:jc w:val="center"/>
              <w:rPr>
                <w:bCs/>
                <w:i/>
                <w:iCs/>
                <w:strike/>
                <w:kern w:val="2"/>
                <w:sz w:val="16"/>
                <w:szCs w:val="14"/>
                <w:lang w:val="en-US" w:eastAsia="ja-JP"/>
              </w:rPr>
            </w:pPr>
            <w:r w:rsidRPr="00B80C52">
              <w:rPr>
                <w:i/>
                <w:iCs/>
                <w:sz w:val="16"/>
                <w:szCs w:val="16"/>
              </w:rPr>
              <w:t>Масса в снаряженном состоянии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2348B" w14:textId="77777777" w:rsidR="002801B8" w:rsidRPr="00B80C52" w:rsidRDefault="002801B8" w:rsidP="00CF5899">
            <w:pPr>
              <w:widowControl w:val="0"/>
              <w:suppressAutoHyphens w:val="0"/>
              <w:spacing w:before="80" w:after="80" w:line="200" w:lineRule="exact"/>
              <w:jc w:val="center"/>
              <w:rPr>
                <w:bCs/>
                <w:i/>
                <w:iCs/>
                <w:kern w:val="2"/>
                <w:sz w:val="16"/>
                <w:szCs w:val="14"/>
                <w:lang w:eastAsia="ja-JP"/>
              </w:rPr>
            </w:pPr>
            <w:r w:rsidRPr="00B80C52">
              <w:rPr>
                <w:bCs/>
                <w:i/>
                <w:iCs/>
                <w:kern w:val="2"/>
                <w:sz w:val="16"/>
                <w:szCs w:val="14"/>
                <w:lang w:eastAsia="ja-JP"/>
              </w:rPr>
              <w:t>Допуск</w:t>
            </w:r>
          </w:p>
        </w:tc>
      </w:tr>
      <w:tr w:rsidR="002801B8" w:rsidRPr="00B80C52" w14:paraId="66A651FB" w14:textId="77777777" w:rsidTr="000A7047"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7951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20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CED2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20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98D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FR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+2/-0</w:t>
            </w:r>
          </w:p>
        </w:tc>
      </w:tr>
      <w:tr w:rsidR="002801B8" w:rsidRPr="00B80C52" w14:paraId="0963E7D5" w14:textId="77777777" w:rsidTr="000A704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E706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38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86AE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F36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FR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+0/-2</w:t>
            </w:r>
          </w:p>
        </w:tc>
      </w:tr>
      <w:tr w:rsidR="002801B8" w:rsidRPr="00B80C52" w14:paraId="6732C0D2" w14:textId="77777777" w:rsidTr="000A704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C1885B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60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98EAD2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753302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FR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+0/-2</w:t>
            </w:r>
          </w:p>
        </w:tc>
      </w:tr>
    </w:tbl>
    <w:p w14:paraId="211C241D" w14:textId="77777777" w:rsidR="002801B8" w:rsidRPr="00B80C52" w:rsidRDefault="002801B8" w:rsidP="002801B8">
      <w:pPr>
        <w:pStyle w:val="SingleTxtG"/>
        <w:ind w:left="2268"/>
        <w:rPr>
          <w:sz w:val="18"/>
          <w:szCs w:val="18"/>
        </w:rPr>
      </w:pPr>
      <w:r w:rsidRPr="00B80C52">
        <w:rPr>
          <w:sz w:val="18"/>
          <w:szCs w:val="18"/>
        </w:rPr>
        <w:t xml:space="preserve">Все значения в км/ч </w:t>
      </w:r>
    </w:p>
    <w:p w14:paraId="4FA22E9F" w14:textId="77777777" w:rsidR="002801B8" w:rsidRPr="00B80C52" w:rsidRDefault="002801B8" w:rsidP="004860A9">
      <w:pPr>
        <w:pStyle w:val="SingleTxtG"/>
        <w:keepNext/>
        <w:keepLines/>
        <w:ind w:left="2268"/>
      </w:pPr>
      <w:r w:rsidRPr="00B80C52">
        <w:lastRenderedPageBreak/>
        <w:t>Испытательная скорость данного транспортного средства для транспортных средств категории N</w:t>
      </w:r>
      <w:r w:rsidRPr="00B80C52">
        <w:rPr>
          <w:vertAlign w:val="subscript"/>
        </w:rPr>
        <w:t>1</w:t>
      </w:r>
      <w:r w:rsidRPr="00B80C52">
        <w:t xml:space="preserve"> в сценарии столкновения с объектом-велосипедом</w:t>
      </w:r>
    </w:p>
    <w:tbl>
      <w:tblPr>
        <w:tblW w:w="625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547"/>
        <w:gridCol w:w="1722"/>
      </w:tblGrid>
      <w:tr w:rsidR="002801B8" w:rsidRPr="00B80C52" w14:paraId="34F5B32D" w14:textId="77777777" w:rsidTr="000A7047">
        <w:trPr>
          <w:trHeight w:val="26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E36B8C" w14:textId="77777777" w:rsidR="002801B8" w:rsidRPr="00B80C52" w:rsidRDefault="002801B8" w:rsidP="004860A9">
            <w:pPr>
              <w:keepNext/>
              <w:keepLines/>
              <w:widowControl w:val="0"/>
              <w:suppressAutoHyphens w:val="0"/>
              <w:spacing w:before="80" w:after="80" w:line="200" w:lineRule="exact"/>
              <w:jc w:val="center"/>
              <w:rPr>
                <w:bCs/>
                <w:i/>
                <w:iCs/>
                <w:strike/>
                <w:kern w:val="2"/>
                <w:sz w:val="16"/>
                <w:szCs w:val="14"/>
                <w:lang w:val="fr-FR" w:eastAsia="ja-JP"/>
              </w:rPr>
            </w:pPr>
            <w:r w:rsidRPr="00B80C52">
              <w:rPr>
                <w:i/>
                <w:iCs/>
                <w:sz w:val="16"/>
                <w:szCs w:val="16"/>
              </w:rPr>
              <w:t>Максимальная масса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A18EE8" w14:textId="77777777" w:rsidR="002801B8" w:rsidRPr="00B80C52" w:rsidRDefault="002801B8" w:rsidP="004860A9">
            <w:pPr>
              <w:keepNext/>
              <w:keepLines/>
              <w:widowControl w:val="0"/>
              <w:suppressAutoHyphens w:val="0"/>
              <w:spacing w:before="80" w:after="80" w:line="200" w:lineRule="exact"/>
              <w:jc w:val="center"/>
              <w:rPr>
                <w:bCs/>
                <w:i/>
                <w:iCs/>
                <w:strike/>
                <w:kern w:val="2"/>
                <w:sz w:val="16"/>
                <w:szCs w:val="14"/>
                <w:lang w:val="en-US" w:eastAsia="ja-JP"/>
              </w:rPr>
            </w:pPr>
            <w:r w:rsidRPr="00B80C52">
              <w:rPr>
                <w:i/>
                <w:iCs/>
                <w:sz w:val="16"/>
                <w:szCs w:val="16"/>
              </w:rPr>
              <w:t>Масса в снаряженном состоянии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F44B33" w14:textId="77777777" w:rsidR="002801B8" w:rsidRPr="00B80C52" w:rsidRDefault="002801B8" w:rsidP="004860A9">
            <w:pPr>
              <w:keepNext/>
              <w:keepLines/>
              <w:widowControl w:val="0"/>
              <w:suppressAutoHyphens w:val="0"/>
              <w:spacing w:before="80" w:after="80" w:line="200" w:lineRule="exact"/>
              <w:jc w:val="center"/>
              <w:rPr>
                <w:bCs/>
                <w:i/>
                <w:iCs/>
                <w:kern w:val="2"/>
                <w:sz w:val="16"/>
                <w:szCs w:val="14"/>
                <w:lang w:val="fr-FR" w:eastAsia="ja-JP"/>
              </w:rPr>
            </w:pPr>
            <w:r w:rsidRPr="00B80C52">
              <w:rPr>
                <w:bCs/>
                <w:i/>
                <w:iCs/>
                <w:kern w:val="2"/>
                <w:sz w:val="16"/>
                <w:szCs w:val="14"/>
                <w:lang w:eastAsia="ja-JP"/>
              </w:rPr>
              <w:t>Допуск</w:t>
            </w:r>
          </w:p>
        </w:tc>
      </w:tr>
      <w:tr w:rsidR="002801B8" w:rsidRPr="00B80C52" w14:paraId="61725041" w14:textId="77777777" w:rsidTr="000A7047"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268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20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608C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20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2DD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FR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+2/-0</w:t>
            </w:r>
          </w:p>
        </w:tc>
      </w:tr>
      <w:tr w:rsidR="002801B8" w:rsidRPr="00B80C52" w14:paraId="5AB4F7E8" w14:textId="77777777" w:rsidTr="000A704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C1C0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36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D16B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AA6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FR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+0/-2</w:t>
            </w:r>
          </w:p>
        </w:tc>
      </w:tr>
      <w:tr w:rsidR="002801B8" w:rsidRPr="00B80C52" w14:paraId="18D5D095" w14:textId="77777777" w:rsidTr="000A704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9764CF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0337C3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CH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7EF04E" w14:textId="77777777" w:rsidR="002801B8" w:rsidRPr="00B80C52" w:rsidRDefault="002801B8" w:rsidP="004860A9">
            <w:pPr>
              <w:spacing w:before="40" w:after="40"/>
              <w:jc w:val="center"/>
              <w:rPr>
                <w:rFonts w:asciiTheme="majorBidi" w:hAnsiTheme="majorBidi"/>
                <w:bCs/>
                <w:kern w:val="2"/>
                <w:lang w:val="fr-FR"/>
              </w:rPr>
            </w:pPr>
            <w:r w:rsidRPr="00B80C52">
              <w:rPr>
                <w:rFonts w:asciiTheme="majorBidi" w:hAnsiTheme="majorBidi"/>
                <w:bCs/>
                <w:kern w:val="2"/>
                <w:lang w:val="fr-FR"/>
              </w:rPr>
              <w:t>+0/-2</w:t>
            </w:r>
          </w:p>
        </w:tc>
      </w:tr>
    </w:tbl>
    <w:p w14:paraId="5DAF9B59" w14:textId="77777777" w:rsidR="002801B8" w:rsidRPr="00B80C52" w:rsidRDefault="002801B8" w:rsidP="002801B8">
      <w:pPr>
        <w:pStyle w:val="SingleTxtG"/>
        <w:ind w:left="2268"/>
        <w:rPr>
          <w:sz w:val="18"/>
          <w:szCs w:val="18"/>
        </w:rPr>
      </w:pPr>
      <w:r w:rsidRPr="00B80C52">
        <w:rPr>
          <w:sz w:val="18"/>
          <w:szCs w:val="18"/>
        </w:rPr>
        <w:t xml:space="preserve">Все значения в км/ч </w:t>
      </w:r>
    </w:p>
    <w:p w14:paraId="34E7A084" w14:textId="77777777" w:rsidR="002801B8" w:rsidRPr="00B80C52" w:rsidRDefault="002801B8" w:rsidP="002801B8">
      <w:pPr>
        <w:pStyle w:val="SingleTxtG"/>
        <w:ind w:left="2268" w:hanging="20"/>
        <w:rPr>
          <w:rFonts w:asciiTheme="majorBidi" w:hAnsiTheme="majorBidi"/>
        </w:rPr>
      </w:pPr>
      <w:r w:rsidRPr="00B80C52">
        <w:t>С момента начала функционального этапа до тех пор, пока данное транспортное средство не избежит столкновения или пока данное транспортное средство не пройдет точку удара объекта-велосипеда, не</w:t>
      </w:r>
      <w:r w:rsidR="000A7047">
        <w:t> </w:t>
      </w:r>
      <w:r w:rsidRPr="00B80C52">
        <w:t xml:space="preserve">производят никакой корректировки управления данного транспортного средства водителем, помимо незначительной корректировки рулевого управления во избежание любого возможного заноса. </w:t>
      </w:r>
    </w:p>
    <w:p w14:paraId="3505B31B" w14:textId="77777777" w:rsidR="002801B8" w:rsidRPr="00B80C52" w:rsidRDefault="002801B8" w:rsidP="002801B8">
      <w:pPr>
        <w:pStyle w:val="SingleTxtG"/>
        <w:ind w:left="2268" w:hanging="20"/>
        <w:rPr>
          <w:rFonts w:asciiTheme="majorBidi" w:hAnsiTheme="majorBidi"/>
        </w:rPr>
      </w:pPr>
      <w:r w:rsidRPr="00B80C52">
        <w:t xml:space="preserve">Испытание, предписанное выше, проводят с использованием определенного в пункте 6.3.3 </w:t>
      </w:r>
      <w:r>
        <w:t xml:space="preserve">мягкого </w:t>
      </w:r>
      <w:r w:rsidRPr="00B80C52">
        <w:t>объекта-велосипеда.</w:t>
      </w:r>
    </w:p>
    <w:p w14:paraId="36B4F3C4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t>6.7.2</w:t>
      </w:r>
      <w:r w:rsidRPr="00B80C52">
        <w:tab/>
      </w:r>
      <w:r w:rsidRPr="00B80C52">
        <w:tab/>
        <w:t>Оценку скорости при ударе производят исходя их точки фактического соприкосновения объекта и транспортного средства с учетом формы транспортного средства».</w:t>
      </w:r>
    </w:p>
    <w:p w14:paraId="56F881B1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rPr>
          <w:i/>
          <w:iCs/>
        </w:rPr>
        <w:t>Пункт 6.10.1</w:t>
      </w:r>
      <w:r w:rsidRPr="00B80C52">
        <w:t xml:space="preserve"> изменить следующим образом:</w:t>
      </w:r>
    </w:p>
    <w:p w14:paraId="169434D3" w14:textId="77777777" w:rsidR="002801B8" w:rsidRPr="00B80C52" w:rsidRDefault="002801B8" w:rsidP="002801B8">
      <w:pPr>
        <w:spacing w:after="120"/>
        <w:ind w:left="2268" w:right="1134" w:hanging="1134"/>
        <w:jc w:val="both"/>
      </w:pPr>
      <w:r w:rsidRPr="00B80C52">
        <w:t>«6.10.1</w:t>
      </w:r>
      <w:r w:rsidRPr="00B80C52">
        <w:tab/>
      </w:r>
      <w:r w:rsidRPr="00B80C52">
        <w:tab/>
        <w:t>Любой из упомянутых выше сценариев испытаний, когда сценарием предусмотрена одна схема испытания на одной скорости данного транспортного средства при одном условии нагрузки применительно к одной категории (столкновение автомобиля с автомобилем, столкновение автомобиля с пешеходом, столкновение автомобиля с велосипедом), реализуется дважды. Если в ходе одного из двух испытательных прогонов не удается обеспечить требуемых характеристик, то испытание можно повторить еще один раз. Испытание в рамках сценария считается успешно пройденным, если требуемые характеристики обеспечиваются при двух испытательных прогонах. Количество неудачных испытательных прогонов в пределах одной категории не должно превышать:</w:t>
      </w:r>
    </w:p>
    <w:p w14:paraId="4EBB4E1B" w14:textId="77777777" w:rsidR="002801B8" w:rsidRPr="00B80C52" w:rsidRDefault="002801B8" w:rsidP="002801B8">
      <w:pPr>
        <w:spacing w:after="120"/>
        <w:ind w:left="2835" w:right="1134" w:hanging="567"/>
        <w:jc w:val="both"/>
      </w:pPr>
      <w:r w:rsidRPr="00B80C52">
        <w:t>a)</w:t>
      </w:r>
      <w:r w:rsidRPr="00B80C52">
        <w:tab/>
        <w:t>10,0</w:t>
      </w:r>
      <w:r w:rsidR="000A7047">
        <w:t xml:space="preserve"> </w:t>
      </w:r>
      <w:r w:rsidRPr="00B80C52">
        <w:t>% выполненных испытательных прогонов в случае испытаний на столкновение автомобиля с автомобилем;</w:t>
      </w:r>
    </w:p>
    <w:p w14:paraId="02B03848" w14:textId="77777777" w:rsidR="002801B8" w:rsidRPr="00B80C52" w:rsidRDefault="002801B8" w:rsidP="002801B8">
      <w:pPr>
        <w:spacing w:after="120"/>
        <w:ind w:left="2835" w:right="1134" w:hanging="567"/>
        <w:jc w:val="both"/>
      </w:pPr>
      <w:r w:rsidRPr="00B80C52">
        <w:t>b)</w:t>
      </w:r>
      <w:r w:rsidRPr="00B80C52">
        <w:tab/>
        <w:t>10,0</w:t>
      </w:r>
      <w:r w:rsidR="000A7047">
        <w:t xml:space="preserve"> </w:t>
      </w:r>
      <w:r w:rsidRPr="00B80C52">
        <w:t>% выполненных испытательных прогонов в случае испытаний на столкновение автомобиля с пешеходом; и</w:t>
      </w:r>
    </w:p>
    <w:p w14:paraId="3D6BC6CC" w14:textId="77777777" w:rsidR="002801B8" w:rsidRPr="00B80C52" w:rsidRDefault="002801B8" w:rsidP="002801B8">
      <w:pPr>
        <w:spacing w:after="120"/>
        <w:ind w:left="2835" w:right="1134" w:hanging="567"/>
        <w:jc w:val="both"/>
        <w:rPr>
          <w:rFonts w:asciiTheme="majorBidi" w:hAnsiTheme="majorBidi"/>
          <w:i/>
          <w:iCs/>
        </w:rPr>
      </w:pPr>
      <w:r w:rsidRPr="00B80C52">
        <w:t>с)</w:t>
      </w:r>
      <w:r w:rsidRPr="00B80C52">
        <w:tab/>
        <w:t>20,0</w:t>
      </w:r>
      <w:r w:rsidR="000A7047">
        <w:t xml:space="preserve"> </w:t>
      </w:r>
      <w:r w:rsidRPr="00B80C52">
        <w:t>% выполненных испытательных прогонов в случае испытаний на столкновение автомобиля с велосипедом».</w:t>
      </w:r>
    </w:p>
    <w:p w14:paraId="6AB65321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rPr>
          <w:i/>
          <w:iCs/>
        </w:rPr>
        <w:t>Пункт 6.10.2</w:t>
      </w:r>
      <w:r w:rsidRPr="00B80C52">
        <w:t xml:space="preserve"> изменить следующим образом:</w:t>
      </w:r>
    </w:p>
    <w:p w14:paraId="6FA013B8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t>«6.10.2</w:t>
      </w:r>
      <w:r w:rsidRPr="00B80C52">
        <w:tab/>
        <w:t>Коренную причину любого неудачного испытательного прогона анализируют совместно с технической службой, и соответствующие данные прилагают к протоколу испытания. Если коренную причину нельзя отнести на счет отклонения в схеме испытания, техническая служба может провести испытание с любыми другими значениями скорости в пределах диапазона скоростей, определенного в пунктах 5.2.1.3, 5.2.1.4, 5.2.2.3, 5.2.2.4, 5.2.3.3 или 5.2.3.4, в зависимости от того, что применимо».</w:t>
      </w:r>
    </w:p>
    <w:p w14:paraId="6B2167E9" w14:textId="77777777" w:rsidR="002801B8" w:rsidRPr="00B80C52" w:rsidRDefault="002801B8" w:rsidP="002801B8">
      <w:pPr>
        <w:pStyle w:val="SingleTxtG"/>
        <w:keepNext/>
        <w:ind w:left="2268" w:hanging="1134"/>
        <w:rPr>
          <w:rFonts w:asciiTheme="majorBidi" w:hAnsiTheme="majorBidi"/>
        </w:rPr>
      </w:pPr>
      <w:r w:rsidRPr="00B80C52">
        <w:rPr>
          <w:i/>
          <w:iCs/>
        </w:rPr>
        <w:lastRenderedPageBreak/>
        <w:t xml:space="preserve">Пункт </w:t>
      </w:r>
      <w:r w:rsidRPr="00B80C52">
        <w:rPr>
          <w:rFonts w:asciiTheme="majorBidi" w:hAnsiTheme="majorBidi"/>
          <w:i/>
          <w:iCs/>
        </w:rPr>
        <w:t xml:space="preserve">12 </w:t>
      </w:r>
      <w:r w:rsidRPr="00B80C52">
        <w:t>изменить следующим образом</w:t>
      </w:r>
      <w:r w:rsidRPr="00B80C52">
        <w:rPr>
          <w:rFonts w:asciiTheme="majorBidi" w:hAnsiTheme="majorBidi"/>
        </w:rPr>
        <w:t>:</w:t>
      </w:r>
    </w:p>
    <w:p w14:paraId="7B9C4F66" w14:textId="77777777" w:rsidR="002801B8" w:rsidRPr="00B80C52" w:rsidRDefault="002801B8" w:rsidP="002801B8">
      <w:pPr>
        <w:pStyle w:val="HChG"/>
        <w:ind w:left="2268"/>
      </w:pPr>
      <w:r w:rsidRPr="000A7047">
        <w:rPr>
          <w:b w:val="0"/>
          <w:bCs/>
          <w:sz w:val="20"/>
        </w:rPr>
        <w:t>«</w:t>
      </w:r>
      <w:r w:rsidRPr="00B80C52">
        <w:t>12.</w:t>
      </w:r>
      <w:r w:rsidRPr="00B80C52">
        <w:tab/>
        <w:t>Переходные положения</w:t>
      </w:r>
    </w:p>
    <w:p w14:paraId="369F02B4" w14:textId="77777777" w:rsidR="002801B8" w:rsidRPr="00B80C52" w:rsidRDefault="002801B8" w:rsidP="000A7047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</w:rPr>
      </w:pPr>
      <w:r w:rsidRPr="00B80C52">
        <w:rPr>
          <w:rFonts w:asciiTheme="majorBidi" w:hAnsiTheme="majorBidi"/>
        </w:rPr>
        <w:t>12.1</w:t>
      </w:r>
      <w:r w:rsidRPr="00B80C52">
        <w:rPr>
          <w:rFonts w:asciiTheme="majorBidi" w:hAnsiTheme="majorBidi"/>
        </w:rPr>
        <w:tab/>
      </w:r>
      <w:r w:rsidRPr="00B80C52">
        <w:rPr>
          <w:shd w:val="clear" w:color="auto" w:fill="FFFFFF"/>
        </w:rPr>
        <w:t>Переходные положения, применимые к поправкам серии 01</w:t>
      </w:r>
    </w:p>
    <w:p w14:paraId="0D37769B" w14:textId="77777777" w:rsidR="002801B8" w:rsidRPr="00B80C52" w:rsidRDefault="002801B8" w:rsidP="002801B8">
      <w:pPr>
        <w:spacing w:beforeLines="50" w:before="120" w:after="120"/>
        <w:ind w:left="2268" w:right="1134" w:hanging="1134"/>
        <w:jc w:val="both"/>
      </w:pPr>
      <w:r w:rsidRPr="00B80C52">
        <w:t>12.1.1</w:t>
      </w:r>
      <w:r w:rsidRPr="00B80C52">
        <w:tab/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14:paraId="23CDC92A" w14:textId="77777777" w:rsidR="002801B8" w:rsidRPr="00B80C52" w:rsidRDefault="002801B8" w:rsidP="002801B8">
      <w:pPr>
        <w:spacing w:after="120"/>
        <w:ind w:left="2268" w:right="1134" w:hanging="1134"/>
        <w:jc w:val="both"/>
      </w:pPr>
      <w:r w:rsidRPr="00B80C52">
        <w:t>12.1.2</w:t>
      </w:r>
      <w:r w:rsidRPr="00B80C52">
        <w:tab/>
        <w:t xml:space="preserve">Начиная с 1 мая 2024 года Договаривающиеся стороны, применяющие настоящие Правила, не обязаны признавать официальные утверждения типа на основании </w:t>
      </w:r>
      <w:r w:rsidRPr="00B80C52">
        <w:rPr>
          <w:shd w:val="clear" w:color="auto" w:fill="FFFFFF"/>
        </w:rPr>
        <w:t xml:space="preserve">первоначального варианта настоящих Правил, </w:t>
      </w:r>
      <w:r w:rsidRPr="00B80C52">
        <w:t>впервые предоставленные после 1 мая 2024 года.</w:t>
      </w:r>
    </w:p>
    <w:p w14:paraId="28AB1438" w14:textId="77777777" w:rsidR="002801B8" w:rsidRPr="00B80C52" w:rsidRDefault="002801B8" w:rsidP="002801B8">
      <w:pPr>
        <w:spacing w:after="120"/>
        <w:ind w:left="2268" w:right="1134" w:hanging="1134"/>
        <w:jc w:val="both"/>
      </w:pPr>
      <w:r w:rsidRPr="00B80C52">
        <w:t>12.1.3</w:t>
      </w:r>
      <w:r w:rsidRPr="00B80C52">
        <w:tab/>
        <w:t>До 1 мая 2026 года Договаривающиеся стороны, применяющие настоящие Правила, признают официальные утверждения типа на основании первоначального варианта настоящих Правил, впервые предоставленные до 1 мая 2024 года.</w:t>
      </w:r>
    </w:p>
    <w:p w14:paraId="46337884" w14:textId="77777777" w:rsidR="002801B8" w:rsidRPr="00B80C52" w:rsidRDefault="002801B8" w:rsidP="002801B8">
      <w:pPr>
        <w:spacing w:after="120"/>
        <w:ind w:left="2268" w:right="1134" w:hanging="1134"/>
        <w:jc w:val="both"/>
      </w:pPr>
      <w:r w:rsidRPr="00B80C52">
        <w:t>12.1.4</w:t>
      </w:r>
      <w:r w:rsidRPr="00B80C52">
        <w:tab/>
        <w:t xml:space="preserve">Начиная с 1 мая 2026 года Договаривающиеся стороны, применяющие настоящие Правила, не обязаны признавать официальные утверждения типа, предоставленные на основании </w:t>
      </w:r>
      <w:r w:rsidRPr="00B80C52">
        <w:rPr>
          <w:shd w:val="clear" w:color="auto" w:fill="FFFFFF"/>
        </w:rPr>
        <w:t>первоначального варианта настоящих Правил.</w:t>
      </w:r>
    </w:p>
    <w:p w14:paraId="3FA3476E" w14:textId="77777777" w:rsidR="002801B8" w:rsidRPr="00B80C52" w:rsidRDefault="002801B8" w:rsidP="002801B8">
      <w:pPr>
        <w:spacing w:after="120"/>
        <w:ind w:left="2268" w:right="1134" w:hanging="1134"/>
        <w:jc w:val="both"/>
      </w:pPr>
      <w:r w:rsidRPr="00B80C52">
        <w:rPr>
          <w:iCs/>
          <w:lang w:eastAsia="ja-JP"/>
        </w:rPr>
        <w:t>12.1.5</w:t>
      </w:r>
      <w:r w:rsidRPr="00B80C52">
        <w:rPr>
          <w:iCs/>
          <w:lang w:eastAsia="ja-JP"/>
        </w:rPr>
        <w:tab/>
      </w:r>
      <w:r w:rsidRPr="00B80C52">
        <w:t>Независимо от положений пункта 12.1.4 Договаривающиеся стороны, применяющие настоящие Правила, продолжают признавать официальные утверждения типа, предоставленные на основании первоначального варианта настоящих Правил, в отношении транспортных средств, которые не затронуты изменениями, внесенными на основании поправок серии 01.</w:t>
      </w:r>
    </w:p>
    <w:p w14:paraId="75F81AE1" w14:textId="77777777" w:rsidR="002801B8" w:rsidRPr="00B80C52" w:rsidRDefault="002801B8" w:rsidP="000A7047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 w:rsidRPr="00B80C52">
        <w:rPr>
          <w:rFonts w:asciiTheme="majorBidi" w:hAnsiTheme="majorBidi"/>
          <w:bCs/>
        </w:rPr>
        <w:t>12.2</w:t>
      </w:r>
      <w:r w:rsidRPr="00B80C52">
        <w:rPr>
          <w:rFonts w:asciiTheme="majorBidi" w:hAnsiTheme="majorBidi"/>
          <w:bCs/>
        </w:rPr>
        <w:tab/>
      </w:r>
      <w:r w:rsidRPr="00B80C52">
        <w:rPr>
          <w:shd w:val="clear" w:color="auto" w:fill="FFFFFF"/>
        </w:rPr>
        <w:t xml:space="preserve">Переходные положения, применимые к поправкам серии </w:t>
      </w:r>
      <w:r w:rsidRPr="00B80C52">
        <w:rPr>
          <w:rFonts w:asciiTheme="majorBidi" w:hAnsiTheme="majorBidi"/>
          <w:bCs/>
        </w:rPr>
        <w:t>02</w:t>
      </w:r>
    </w:p>
    <w:p w14:paraId="4A2C145C" w14:textId="77777777" w:rsidR="002801B8" w:rsidRPr="00B80C52" w:rsidRDefault="002801B8" w:rsidP="000A7047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 w:rsidRPr="00B80C52">
        <w:rPr>
          <w:rFonts w:asciiTheme="majorBidi" w:hAnsiTheme="majorBidi"/>
          <w:bCs/>
        </w:rPr>
        <w:t>12.2.1</w:t>
      </w:r>
      <w:r w:rsidRPr="00B80C52">
        <w:rPr>
          <w:rFonts w:asciiTheme="majorBidi" w:hAnsiTheme="majorBidi"/>
          <w:bCs/>
        </w:rPr>
        <w:tab/>
      </w:r>
      <w:r w:rsidRPr="00B80C52"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02.</w:t>
      </w:r>
    </w:p>
    <w:p w14:paraId="1815F98C" w14:textId="77777777" w:rsidR="002801B8" w:rsidRPr="00B80C52" w:rsidRDefault="002801B8" w:rsidP="000A7047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 w:rsidRPr="00B80C52">
        <w:rPr>
          <w:rFonts w:asciiTheme="majorBidi" w:hAnsiTheme="majorBidi"/>
          <w:bCs/>
        </w:rPr>
        <w:t>12.2.2</w:t>
      </w:r>
      <w:r w:rsidRPr="00B80C52">
        <w:rPr>
          <w:rFonts w:asciiTheme="majorBidi" w:hAnsiTheme="majorBidi"/>
          <w:bCs/>
        </w:rPr>
        <w:tab/>
      </w:r>
      <w:r w:rsidRPr="00B80C52">
        <w:t xml:space="preserve">Начиная с 1 мая 2024 года Договаривающиеся стороны, применяющие настоящие Правила, не обязаны признавать официальные утверждения типа на основании </w:t>
      </w:r>
      <w:r w:rsidRPr="00B80C52">
        <w:rPr>
          <w:shd w:val="clear" w:color="auto" w:fill="FFFFFF"/>
        </w:rPr>
        <w:t>предыдущих серий поправок к настоящим Правилам,</w:t>
      </w:r>
      <w:r w:rsidRPr="00B80C52">
        <w:t xml:space="preserve"> впервые предоставленные после 1 мая 2024 года.</w:t>
      </w:r>
    </w:p>
    <w:p w14:paraId="1E132775" w14:textId="77777777" w:rsidR="002801B8" w:rsidRPr="00B80C52" w:rsidRDefault="002801B8" w:rsidP="000A7047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 w:rsidRPr="00B80C52">
        <w:rPr>
          <w:rFonts w:asciiTheme="majorBidi" w:hAnsiTheme="majorBidi"/>
          <w:bCs/>
        </w:rPr>
        <w:t>12.2.3</w:t>
      </w:r>
      <w:r w:rsidRPr="00B80C52">
        <w:rPr>
          <w:rFonts w:asciiTheme="majorBidi" w:hAnsiTheme="majorBidi"/>
          <w:bCs/>
        </w:rPr>
        <w:tab/>
      </w:r>
      <w:r w:rsidRPr="00B80C52">
        <w:t xml:space="preserve">До 1 июля 2026 года Договаривающиеся стороны, применяющие настоящие Правила, признают официальные утверждения типа на основании </w:t>
      </w:r>
      <w:r w:rsidRPr="00B80C52">
        <w:rPr>
          <w:shd w:val="clear" w:color="auto" w:fill="FFFFFF"/>
        </w:rPr>
        <w:t>предыдущих серий поправок к настоящим Правилам</w:t>
      </w:r>
      <w:r w:rsidRPr="00B80C52">
        <w:t>, впервые предоставленные до 1 мая 2024 года.</w:t>
      </w:r>
    </w:p>
    <w:p w14:paraId="5FDD84CD" w14:textId="77777777" w:rsidR="002801B8" w:rsidRPr="00B80C52" w:rsidRDefault="002801B8" w:rsidP="000A7047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 w:rsidRPr="00B80C52">
        <w:rPr>
          <w:rFonts w:asciiTheme="majorBidi" w:hAnsiTheme="majorBidi"/>
          <w:bCs/>
        </w:rPr>
        <w:t>12.2.4</w:t>
      </w:r>
      <w:r w:rsidRPr="00B80C52">
        <w:rPr>
          <w:rFonts w:asciiTheme="majorBidi" w:hAnsiTheme="majorBidi"/>
          <w:bCs/>
        </w:rPr>
        <w:tab/>
      </w:r>
      <w:r w:rsidRPr="00B80C52">
        <w:t xml:space="preserve">Начиная с 1 июля 2026 года Договаривающиеся стороны, применяющие настоящие Правила, не обязаны признавать официальные утверждения типа, предоставленные на основании </w:t>
      </w:r>
      <w:r w:rsidRPr="00B80C52">
        <w:rPr>
          <w:shd w:val="clear" w:color="auto" w:fill="FFFFFF"/>
        </w:rPr>
        <w:t>предыдущих серий поправок к настоящим Правилам.</w:t>
      </w:r>
    </w:p>
    <w:p w14:paraId="503C8962" w14:textId="77777777" w:rsidR="002801B8" w:rsidRPr="00B80C52" w:rsidRDefault="002801B8" w:rsidP="000A7047">
      <w:pPr>
        <w:pStyle w:val="SingleTxtG"/>
        <w:tabs>
          <w:tab w:val="clear" w:pos="1701"/>
        </w:tabs>
        <w:ind w:left="2268" w:hanging="1134"/>
      </w:pPr>
      <w:r w:rsidRPr="00B80C52">
        <w:rPr>
          <w:rFonts w:asciiTheme="majorBidi" w:hAnsiTheme="majorBidi"/>
          <w:bCs/>
        </w:rPr>
        <w:t>12.2.5</w:t>
      </w:r>
      <w:r w:rsidRPr="00B80C52">
        <w:rPr>
          <w:rFonts w:asciiTheme="majorBidi" w:hAnsiTheme="majorBidi"/>
          <w:bCs/>
        </w:rPr>
        <w:tab/>
      </w:r>
      <w:r w:rsidRPr="00B80C52">
        <w:t xml:space="preserve">Независимо от положений пункта 12.2.4 Договаривающиеся стороны, применяющие настоящие Правила, продолжают признавать официальные утверждения типа, предоставленные на основании </w:t>
      </w:r>
      <w:r w:rsidRPr="00B80C52">
        <w:rPr>
          <w:shd w:val="clear" w:color="auto" w:fill="FFFFFF"/>
        </w:rPr>
        <w:t xml:space="preserve">предыдущих серий </w:t>
      </w:r>
      <w:r w:rsidRPr="00B80C52">
        <w:t>поправок к настоящим Правилам, в отношении транспортных средств</w:t>
      </w:r>
      <w:bookmarkStart w:id="4" w:name="_GoBack"/>
      <w:bookmarkEnd w:id="4"/>
      <w:r w:rsidRPr="00B80C52">
        <w:t>, которые не затронуты изменениями, внесенными на основании поправок серии 02 (т.</w:t>
      </w:r>
      <w:r w:rsidR="008E2DEE">
        <w:t xml:space="preserve"> </w:t>
      </w:r>
      <w:r w:rsidRPr="00B80C52">
        <w:t xml:space="preserve">е. официальные утверждения на основе сценария столкновения автомобиля с автомобилем и/или </w:t>
      </w:r>
      <w:r w:rsidRPr="00B80C52">
        <w:lastRenderedPageBreak/>
        <w:t>сценария столкновения автомобиля с пешеходом не затрагиваются настоящей новой серией 02).</w:t>
      </w:r>
    </w:p>
    <w:p w14:paraId="3D6F576F" w14:textId="77777777" w:rsidR="002801B8" w:rsidRPr="00B80C52" w:rsidRDefault="002801B8" w:rsidP="008E2DEE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 w:rsidRPr="00B80C52">
        <w:rPr>
          <w:rFonts w:asciiTheme="majorBidi" w:hAnsiTheme="majorBidi"/>
          <w:bCs/>
        </w:rPr>
        <w:t>12.3</w:t>
      </w:r>
      <w:r w:rsidRPr="00B80C52">
        <w:rPr>
          <w:rFonts w:asciiTheme="majorBidi" w:hAnsiTheme="majorBidi"/>
          <w:bCs/>
        </w:rPr>
        <w:tab/>
      </w:r>
      <w:r w:rsidRPr="00B80C52">
        <w:rPr>
          <w:shd w:val="clear" w:color="auto" w:fill="FFFFFF"/>
        </w:rPr>
        <w:t>Общие переходные положения</w:t>
      </w:r>
    </w:p>
    <w:p w14:paraId="737A0733" w14:textId="77777777" w:rsidR="002801B8" w:rsidRPr="00B80C52" w:rsidRDefault="002801B8" w:rsidP="008E2DEE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 w:rsidRPr="00B80C52">
        <w:rPr>
          <w:rFonts w:asciiTheme="majorBidi" w:hAnsiTheme="majorBidi"/>
          <w:bCs/>
        </w:rPr>
        <w:t>12.3.1</w:t>
      </w:r>
      <w:r w:rsidRPr="00B80C52">
        <w:rPr>
          <w:rFonts w:asciiTheme="majorBidi" w:hAnsiTheme="majorBidi"/>
          <w:bCs/>
        </w:rPr>
        <w:tab/>
      </w:r>
      <w:r w:rsidRPr="00B80C52">
        <w:rPr>
          <w:shd w:val="clear" w:color="auto" w:fill="FFFFFF"/>
        </w:rPr>
        <w:t>Договаривающиеся стороны, применяющие настоящие Правила, могут предоставлять или распространять официальные утверждения типа на основании любой предыдущей серии поправок к настоящим Правилам.</w:t>
      </w:r>
    </w:p>
    <w:p w14:paraId="2B73337A" w14:textId="77777777" w:rsidR="002801B8" w:rsidRPr="00B80C52" w:rsidRDefault="002801B8" w:rsidP="008E2DEE">
      <w:pPr>
        <w:pStyle w:val="SingleTxtG"/>
        <w:tabs>
          <w:tab w:val="clear" w:pos="1701"/>
        </w:tabs>
        <w:spacing w:line="240" w:lineRule="auto"/>
        <w:ind w:left="2268" w:hanging="1134"/>
      </w:pPr>
      <w:r w:rsidRPr="00B80C52">
        <w:rPr>
          <w:rFonts w:asciiTheme="majorBidi" w:hAnsiTheme="majorBidi"/>
          <w:bCs/>
        </w:rPr>
        <w:t>12.3.2</w:t>
      </w:r>
      <w:r w:rsidRPr="00B80C52">
        <w:rPr>
          <w:rFonts w:asciiTheme="majorBidi" w:hAnsiTheme="majorBidi"/>
          <w:bCs/>
        </w:rPr>
        <w:tab/>
      </w:r>
      <w:r w:rsidRPr="00B80C52">
        <w:t xml:space="preserve">Договаривающиеся стороны, применяющие настоящие Правила, продолжают </w:t>
      </w:r>
      <w:r w:rsidRPr="00B80C52">
        <w:rPr>
          <w:shd w:val="clear" w:color="auto" w:fill="FFFFFF"/>
        </w:rPr>
        <w:t xml:space="preserve">предоставлять </w:t>
      </w:r>
      <w:r w:rsidRPr="00B80C52">
        <w:t xml:space="preserve">распространение существующих официальных утверждений, предоставленных </w:t>
      </w:r>
      <w:r w:rsidRPr="00B80C52">
        <w:rPr>
          <w:shd w:val="clear" w:color="auto" w:fill="FFFFFF"/>
        </w:rPr>
        <w:t xml:space="preserve">на основании любой предыдущей серии поправок к </w:t>
      </w:r>
      <w:r w:rsidRPr="00B80C52">
        <w:t>настоящим Правилам».</w:t>
      </w:r>
    </w:p>
    <w:p w14:paraId="7D8AA436" w14:textId="77777777" w:rsidR="002801B8" w:rsidRPr="00B80C52" w:rsidRDefault="002801B8" w:rsidP="008E2DEE">
      <w:pPr>
        <w:pStyle w:val="SingleTxtG"/>
        <w:keepNext/>
        <w:keepLines/>
        <w:ind w:left="2268" w:hanging="1134"/>
        <w:rPr>
          <w:rFonts w:asciiTheme="majorBidi" w:hAnsiTheme="majorBidi"/>
        </w:rPr>
      </w:pPr>
      <w:r w:rsidRPr="00B80C52">
        <w:rPr>
          <w:i/>
          <w:iCs/>
        </w:rPr>
        <w:t>Приложение 1</w:t>
      </w:r>
      <w:r w:rsidRPr="00B80C52">
        <w:t>, добавить новый пункт 10.3 следующего содержания:</w:t>
      </w:r>
    </w:p>
    <w:p w14:paraId="4ACAA41A" w14:textId="77777777" w:rsidR="002801B8" w:rsidRPr="00B80C52" w:rsidRDefault="002801B8" w:rsidP="008E2DEE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</w:rPr>
      </w:pPr>
      <w:r w:rsidRPr="00B80C52">
        <w:t>«10.3</w:t>
      </w:r>
      <w:r w:rsidRPr="00B80C52">
        <w:tab/>
        <w:t>по сценарию столкновения автомобиля с велосипедом официальное утверждение предоставлено/в официальном утверждении отказано/</w:t>
      </w:r>
      <w:r w:rsidR="008E2DEE">
        <w:t xml:space="preserve"> </w:t>
      </w:r>
      <w:r w:rsidRPr="00B80C52">
        <w:t>официальное утверждение распространено/официальное утверждение отменено</w:t>
      </w:r>
      <w:r w:rsidRPr="008E2DEE">
        <w:rPr>
          <w:sz w:val="18"/>
          <w:szCs w:val="18"/>
          <w:vertAlign w:val="superscript"/>
        </w:rPr>
        <w:t>2</w:t>
      </w:r>
      <w:r w:rsidRPr="00B80C52">
        <w:t>:»</w:t>
      </w:r>
    </w:p>
    <w:p w14:paraId="5B065648" w14:textId="77777777" w:rsidR="002801B8" w:rsidRPr="00B80C52" w:rsidRDefault="002801B8" w:rsidP="002801B8">
      <w:pPr>
        <w:pStyle w:val="SingleTxtG"/>
      </w:pPr>
      <w:r w:rsidRPr="00B80C52">
        <w:rPr>
          <w:i/>
          <w:iCs/>
        </w:rPr>
        <w:t>Приложение 2</w:t>
      </w:r>
      <w:r w:rsidRPr="00B80C52">
        <w:t xml:space="preserve"> изменить следующим образом (добавление в маркировку литеры «В» и ссылки на нее в текст):</w:t>
      </w:r>
    </w:p>
    <w:p w14:paraId="1D28E405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t>«</w:t>
      </w:r>
    </w:p>
    <w:p w14:paraId="44C061D1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F4993" wp14:editId="3E366A5D">
                <wp:simplePos x="0" y="0"/>
                <wp:positionH relativeFrom="column">
                  <wp:posOffset>2416700</wp:posOffset>
                </wp:positionH>
                <wp:positionV relativeFrom="paragraph">
                  <wp:posOffset>326721</wp:posOffset>
                </wp:positionV>
                <wp:extent cx="1594236" cy="389338"/>
                <wp:effectExtent l="0" t="0" r="635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236" cy="389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3723A" w14:textId="77777777" w:rsidR="002801B8" w:rsidRDefault="002801B8" w:rsidP="002801B8">
                            <w:pPr>
                              <w:rPr>
                                <w:sz w:val="32"/>
                                <w:lang w:eastAsia="ja-JP"/>
                              </w:rPr>
                            </w:pPr>
                            <w:r w:rsidRPr="00773125">
                              <w:rPr>
                                <w:sz w:val="28"/>
                                <w:szCs w:val="28"/>
                              </w:rPr>
                              <w:t>152R-00185-CP</w:t>
                            </w:r>
                            <w:r w:rsidRPr="003B17CA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14:paraId="6B41DCB5" w14:textId="77777777" w:rsidR="002801B8" w:rsidRDefault="002801B8" w:rsidP="002801B8">
                            <w:pPr>
                              <w:rPr>
                                <w:sz w:val="32"/>
                                <w:lang w:val="fr-FR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F49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0.3pt;margin-top:25.75pt;width:125.5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" stroked="f">
                <v:textbox>
                  <w:txbxContent>
                    <w:p w14:paraId="3C03723A" w14:textId="77777777" w:rsidR="002801B8" w:rsidRDefault="002801B8" w:rsidP="002801B8">
                      <w:pPr>
                        <w:rPr>
                          <w:sz w:val="32"/>
                          <w:lang w:eastAsia="ja-JP"/>
                        </w:rPr>
                      </w:pPr>
                      <w:r w:rsidRPr="00773125">
                        <w:rPr>
                          <w:sz w:val="28"/>
                          <w:szCs w:val="28"/>
                        </w:rPr>
                        <w:t>152R-00185-CP</w:t>
                      </w:r>
                      <w:r w:rsidRPr="003B17CA">
                        <w:rPr>
                          <w:sz w:val="28"/>
                          <w:szCs w:val="28"/>
                        </w:rPr>
                        <w:t>B</w:t>
                      </w:r>
                    </w:p>
                    <w:p w14:paraId="6B41DCB5" w14:textId="77777777" w:rsidR="002801B8" w:rsidRDefault="002801B8" w:rsidP="002801B8">
                      <w:pPr>
                        <w:rPr>
                          <w:sz w:val="32"/>
                          <w:lang w:val="fr-FR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0C52">
        <w:rPr>
          <w:rFonts w:asciiTheme="majorBidi" w:hAnsiTheme="majorBidi"/>
          <w:noProof/>
          <w:lang w:val="fr-CH"/>
        </w:rPr>
        <w:drawing>
          <wp:inline distT="0" distB="0" distL="0" distR="0" wp14:anchorId="489B4315" wp14:editId="0769598B">
            <wp:extent cx="4003675" cy="8585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6C23" w14:textId="77777777" w:rsidR="002801B8" w:rsidRPr="00B80C52" w:rsidRDefault="002801B8" w:rsidP="002801B8">
      <w:pPr>
        <w:pStyle w:val="SingleTxtG"/>
        <w:ind w:left="2268" w:hanging="1134"/>
        <w:rPr>
          <w:rFonts w:asciiTheme="majorBidi" w:hAnsiTheme="majorBidi"/>
        </w:rPr>
      </w:pPr>
      <w:r w:rsidRPr="00B80C52">
        <w:t>a = 8 мм мин</w:t>
      </w:r>
    </w:p>
    <w:p w14:paraId="6AC2530E" w14:textId="77777777" w:rsidR="002801B8" w:rsidRDefault="002801B8" w:rsidP="002801B8">
      <w:pPr>
        <w:pStyle w:val="SingleTxtG"/>
      </w:pPr>
      <w:r>
        <w:tab/>
      </w:r>
      <w:r w:rsidRPr="00B80C52"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был официально утвержден в отношении систем автоматического экстренного торможения (САЭТ) в Бельгии (Е 6) на основании Правил № 152 ООН (маркировка в виде литер “С” для сценария столкновения автомобиля с автомобилем, “Р” </w:t>
      </w:r>
      <w:r w:rsidR="008E2DEE">
        <w:t>—</w:t>
      </w:r>
      <w:r w:rsidRPr="00B80C52">
        <w:t xml:space="preserve"> для сценария столкновения автомобиля с пешеходом, “В” </w:t>
      </w:r>
      <w:r w:rsidR="008E2DEE">
        <w:t>—</w:t>
      </w:r>
      <w:r w:rsidRPr="00B80C52">
        <w:t xml:space="preserve"> для сценария столкновения автомобиля с велосипедом). Первые две цифры номера официального утверждения указывают, что официальное утверждение было предоставлено в соответствии с </w:t>
      </w:r>
      <w:proofErr w:type="gramStart"/>
      <w:r w:rsidRPr="00B80C52">
        <w:t>предписаниями Правил</w:t>
      </w:r>
      <w:proofErr w:type="gramEnd"/>
      <w:r w:rsidRPr="00B80C52">
        <w:t xml:space="preserve"> № 152 ООН в их первоначальном виде».</w:t>
      </w:r>
    </w:p>
    <w:p w14:paraId="3BF91FD8" w14:textId="77777777" w:rsidR="002801B8" w:rsidRPr="002801B8" w:rsidRDefault="002801B8" w:rsidP="002801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01B8" w:rsidRPr="002801B8" w:rsidSect="002801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8CEA" w14:textId="77777777" w:rsidR="00116321" w:rsidRPr="00A312BC" w:rsidRDefault="00116321" w:rsidP="00A312BC"/>
  </w:endnote>
  <w:endnote w:type="continuationSeparator" w:id="0">
    <w:p w14:paraId="0153FE0B" w14:textId="77777777" w:rsidR="00116321" w:rsidRPr="00A312BC" w:rsidRDefault="001163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E18E" w14:textId="77777777" w:rsidR="002801B8" w:rsidRPr="002801B8" w:rsidRDefault="002801B8">
    <w:pPr>
      <w:pStyle w:val="a8"/>
    </w:pPr>
    <w:r w:rsidRPr="002801B8">
      <w:rPr>
        <w:b/>
        <w:sz w:val="18"/>
      </w:rPr>
      <w:fldChar w:fldCharType="begin"/>
    </w:r>
    <w:r w:rsidRPr="002801B8">
      <w:rPr>
        <w:b/>
        <w:sz w:val="18"/>
      </w:rPr>
      <w:instrText xml:space="preserve"> PAGE  \* MERGEFORMAT </w:instrText>
    </w:r>
    <w:r w:rsidRPr="002801B8">
      <w:rPr>
        <w:b/>
        <w:sz w:val="18"/>
      </w:rPr>
      <w:fldChar w:fldCharType="separate"/>
    </w:r>
    <w:r w:rsidRPr="002801B8">
      <w:rPr>
        <w:b/>
        <w:noProof/>
        <w:sz w:val="18"/>
      </w:rPr>
      <w:t>2</w:t>
    </w:r>
    <w:r w:rsidRPr="002801B8">
      <w:rPr>
        <w:b/>
        <w:sz w:val="18"/>
      </w:rPr>
      <w:fldChar w:fldCharType="end"/>
    </w:r>
    <w:r>
      <w:rPr>
        <w:b/>
        <w:sz w:val="18"/>
      </w:rPr>
      <w:tab/>
    </w:r>
    <w:r>
      <w:t>GE.20-17595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2A71" w14:textId="77777777" w:rsidR="002801B8" w:rsidRPr="002801B8" w:rsidRDefault="002801B8" w:rsidP="002801B8">
    <w:pPr>
      <w:pStyle w:val="a8"/>
      <w:tabs>
        <w:tab w:val="clear" w:pos="9639"/>
        <w:tab w:val="right" w:pos="9638"/>
      </w:tabs>
      <w:rPr>
        <w:b/>
        <w:sz w:val="18"/>
      </w:rPr>
    </w:pPr>
    <w:r>
      <w:t>GE.20-17595</w:t>
    </w:r>
    <w:r>
      <w:tab/>
    </w:r>
    <w:r w:rsidRPr="002801B8">
      <w:rPr>
        <w:b/>
        <w:sz w:val="18"/>
      </w:rPr>
      <w:fldChar w:fldCharType="begin"/>
    </w:r>
    <w:r w:rsidRPr="002801B8">
      <w:rPr>
        <w:b/>
        <w:sz w:val="18"/>
      </w:rPr>
      <w:instrText xml:space="preserve"> PAGE  \* MERGEFORMAT </w:instrText>
    </w:r>
    <w:r w:rsidRPr="002801B8">
      <w:rPr>
        <w:b/>
        <w:sz w:val="18"/>
      </w:rPr>
      <w:fldChar w:fldCharType="separate"/>
    </w:r>
    <w:r w:rsidRPr="002801B8">
      <w:rPr>
        <w:b/>
        <w:noProof/>
        <w:sz w:val="18"/>
      </w:rPr>
      <w:t>3</w:t>
    </w:r>
    <w:r w:rsidRPr="002801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6BB2" w14:textId="77777777" w:rsidR="00042B72" w:rsidRPr="002801B8" w:rsidRDefault="002801B8" w:rsidP="002801B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A7360E" wp14:editId="28D174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17595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B0C8C2" wp14:editId="2B129EF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D38">
      <w:t xml:space="preserve">  110121  110121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E5F6" w14:textId="77777777" w:rsidR="00116321" w:rsidRPr="001075E9" w:rsidRDefault="001163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EA8469" w14:textId="77777777" w:rsidR="00116321" w:rsidRDefault="001163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68E6BD" w14:textId="77777777" w:rsidR="002801B8" w:rsidRPr="0079619A" w:rsidRDefault="002801B8" w:rsidP="002801B8">
      <w:pPr>
        <w:pStyle w:val="ad"/>
      </w:pPr>
      <w:r>
        <w:rPr>
          <w:sz w:val="20"/>
        </w:rPr>
        <w:tab/>
      </w:r>
      <w:r w:rsidRPr="006C2310">
        <w:rPr>
          <w:rStyle w:val="aa"/>
          <w:sz w:val="20"/>
          <w:vertAlign w:val="baseline"/>
        </w:rPr>
        <w:t>*</w:t>
      </w:r>
      <w:r w:rsidRPr="0079619A"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</w:t>
      </w:r>
      <w:r>
        <w:t>A</w:t>
      </w:r>
      <w:r w:rsidRPr="0079619A">
        <w:t xml:space="preserve">/74/6 (часть </w:t>
      </w:r>
      <w:r>
        <w:t>V</w:t>
      </w:r>
      <w:r w:rsidRPr="0079619A">
        <w:t>, разд</w:t>
      </w:r>
      <w:r w:rsidR="006C2310">
        <w:t>.</w:t>
      </w:r>
      <w:r w:rsidRPr="0079619A">
        <w:t xml:space="preserve"> 20), </w:t>
      </w:r>
      <w:r w:rsidR="006C2310">
        <w:t>п. </w:t>
      </w:r>
      <w:r w:rsidRPr="0079619A">
        <w:t>20.37),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476889F2" w14:textId="77777777" w:rsidR="002801B8" w:rsidRPr="00AC4FBF" w:rsidRDefault="002801B8" w:rsidP="002801B8">
      <w:pPr>
        <w:pStyle w:val="ad"/>
      </w:pPr>
      <w:r w:rsidRPr="007A0622">
        <w:tab/>
      </w:r>
      <w:r>
        <w:rPr>
          <w:rStyle w:val="aa"/>
        </w:rPr>
        <w:footnoteRef/>
      </w:r>
      <w:r w:rsidRPr="00AC4FBF">
        <w:t xml:space="preserve"> </w:t>
      </w:r>
      <w:r w:rsidRPr="00AC4FBF">
        <w:tab/>
        <w:t xml:space="preserve">В соответствии с определениями, содержащимися в Сводной резолюции о конструкции транспортных средств (СР.3.), документ </w:t>
      </w:r>
      <w:r>
        <w:t>ECE</w:t>
      </w:r>
      <w:r w:rsidRPr="00AC4FBF">
        <w:t>/</w:t>
      </w:r>
      <w:r>
        <w:t>TRANS</w:t>
      </w:r>
      <w:r w:rsidRPr="00AC4FBF">
        <w:t>/</w:t>
      </w:r>
      <w:r>
        <w:t>WP</w:t>
      </w:r>
      <w:r w:rsidRPr="00AC4FBF">
        <w:t>.29/78/</w:t>
      </w:r>
      <w:r>
        <w:t>Rev</w:t>
      </w:r>
      <w:r w:rsidRPr="00AC4FBF">
        <w:t xml:space="preserve">.6, </w:t>
      </w:r>
      <w:r w:rsidR="006F4F54">
        <w:t>п.</w:t>
      </w:r>
      <w:r w:rsidRPr="00AC4FBF">
        <w:t xml:space="preserve"> 2 </w:t>
      </w:r>
      <w:r w:rsidR="006F4F54">
        <w:t>—</w:t>
      </w:r>
      <w:r w:rsidRPr="00AC4FBF">
        <w:t xml:space="preserve"> </w:t>
      </w:r>
      <w:hyperlink r:id="rId1" w:history="1">
        <w:r w:rsidRPr="0017165F">
          <w:rPr>
            <w:rStyle w:val="af1"/>
          </w:rPr>
          <w:t>www</w:t>
        </w:r>
        <w:r w:rsidRPr="00AC4FBF">
          <w:rPr>
            <w:rStyle w:val="af1"/>
          </w:rPr>
          <w:t>.</w:t>
        </w:r>
        <w:r w:rsidRPr="0017165F">
          <w:rPr>
            <w:rStyle w:val="af1"/>
          </w:rPr>
          <w:t>unece</w:t>
        </w:r>
        <w:r w:rsidRPr="00AC4FBF">
          <w:rPr>
            <w:rStyle w:val="af1"/>
          </w:rPr>
          <w:t>.</w:t>
        </w:r>
        <w:r w:rsidRPr="0017165F">
          <w:rPr>
            <w:rStyle w:val="af1"/>
          </w:rPr>
          <w:t>org</w:t>
        </w:r>
        <w:r w:rsidRPr="00AC4FBF">
          <w:rPr>
            <w:rStyle w:val="af1"/>
          </w:rPr>
          <w:t>/</w:t>
        </w:r>
        <w:r w:rsidRPr="0017165F">
          <w:rPr>
            <w:rStyle w:val="af1"/>
          </w:rPr>
          <w:t>trans</w:t>
        </w:r>
        <w:r w:rsidRPr="00AC4FBF">
          <w:rPr>
            <w:rStyle w:val="af1"/>
          </w:rPr>
          <w:t>/</w:t>
        </w:r>
        <w:r w:rsidRPr="0017165F">
          <w:rPr>
            <w:rStyle w:val="af1"/>
          </w:rPr>
          <w:t>main</w:t>
        </w:r>
        <w:r w:rsidRPr="00AC4FBF">
          <w:rPr>
            <w:rStyle w:val="af1"/>
          </w:rPr>
          <w:t>/</w:t>
        </w:r>
        <w:r w:rsidRPr="0017165F">
          <w:rPr>
            <w:rStyle w:val="af1"/>
          </w:rPr>
          <w:t>wp</w:t>
        </w:r>
        <w:r w:rsidRPr="00AC4FBF">
          <w:rPr>
            <w:rStyle w:val="af1"/>
          </w:rPr>
          <w:t>29/</w:t>
        </w:r>
        <w:r w:rsidRPr="0017165F">
          <w:rPr>
            <w:rStyle w:val="af1"/>
          </w:rPr>
          <w:t>wp</w:t>
        </w:r>
        <w:r w:rsidRPr="00AC4FBF">
          <w:rPr>
            <w:rStyle w:val="af1"/>
          </w:rPr>
          <w:t>29</w:t>
        </w:r>
        <w:r w:rsidRPr="0017165F">
          <w:rPr>
            <w:rStyle w:val="af1"/>
          </w:rPr>
          <w:t>wgs</w:t>
        </w:r>
        <w:r w:rsidRPr="00AC4FBF">
          <w:rPr>
            <w:rStyle w:val="af1"/>
          </w:rPr>
          <w:t>/</w:t>
        </w:r>
        <w:r w:rsidRPr="0017165F">
          <w:rPr>
            <w:rStyle w:val="af1"/>
          </w:rPr>
          <w:t>wp</w:t>
        </w:r>
        <w:r w:rsidRPr="00AC4FBF">
          <w:rPr>
            <w:rStyle w:val="af1"/>
          </w:rPr>
          <w:t>29</w:t>
        </w:r>
        <w:r w:rsidRPr="0017165F">
          <w:rPr>
            <w:rStyle w:val="af1"/>
          </w:rPr>
          <w:t>gen</w:t>
        </w:r>
        <w:r w:rsidRPr="00AC4FBF">
          <w:rPr>
            <w:rStyle w:val="af1"/>
          </w:rPr>
          <w:t>/</w:t>
        </w:r>
        <w:r w:rsidRPr="0017165F">
          <w:rPr>
            <w:rStyle w:val="af1"/>
          </w:rPr>
          <w:t>wp</w:t>
        </w:r>
        <w:r w:rsidRPr="00AC4FBF">
          <w:rPr>
            <w:rStyle w:val="af1"/>
          </w:rPr>
          <w:t>29</w:t>
        </w:r>
        <w:r w:rsidRPr="0017165F">
          <w:rPr>
            <w:rStyle w:val="af1"/>
          </w:rPr>
          <w:t>resolutions</w:t>
        </w:r>
        <w:r w:rsidRPr="00AC4FBF">
          <w:rPr>
            <w:rStyle w:val="af1"/>
          </w:rPr>
          <w:t>.</w:t>
        </w:r>
        <w:r w:rsidRPr="0017165F">
          <w:rPr>
            <w:rStyle w:val="af1"/>
          </w:rPr>
          <w:t>html</w:t>
        </w:r>
      </w:hyperlink>
      <w:r w:rsidRPr="00AC4FB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4FFB" w14:textId="3BE2DE55" w:rsidR="002801B8" w:rsidRPr="002801B8" w:rsidRDefault="002801B8">
    <w:pPr>
      <w:pStyle w:val="a5"/>
    </w:pPr>
    <w:fldSimple w:instr=" TITLE  \* MERGEFORMAT ">
      <w:r w:rsidR="00A16E5A">
        <w:t>ECE/TRANS/WP.29/2021/18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B55F" w14:textId="64A451AD" w:rsidR="002801B8" w:rsidRPr="002801B8" w:rsidRDefault="002801B8" w:rsidP="002801B8">
    <w:pPr>
      <w:pStyle w:val="a5"/>
      <w:jc w:val="right"/>
    </w:pPr>
    <w:fldSimple w:instr=" TITLE  \* MERGEFORMAT ">
      <w:r w:rsidR="00A16E5A">
        <w:t>ECE/TRANS/WP.29/2021/18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21"/>
    <w:rsid w:val="00033EE1"/>
    <w:rsid w:val="00042B72"/>
    <w:rsid w:val="000558BD"/>
    <w:rsid w:val="00061F73"/>
    <w:rsid w:val="000A7047"/>
    <w:rsid w:val="000B57E7"/>
    <w:rsid w:val="000B6373"/>
    <w:rsid w:val="000E4E5B"/>
    <w:rsid w:val="000F09DF"/>
    <w:rsid w:val="000F61B2"/>
    <w:rsid w:val="001075E9"/>
    <w:rsid w:val="00116321"/>
    <w:rsid w:val="0014152F"/>
    <w:rsid w:val="00166D38"/>
    <w:rsid w:val="00180183"/>
    <w:rsid w:val="0018024D"/>
    <w:rsid w:val="0018649F"/>
    <w:rsid w:val="00196389"/>
    <w:rsid w:val="001B3EF6"/>
    <w:rsid w:val="001C7A89"/>
    <w:rsid w:val="00255343"/>
    <w:rsid w:val="0027151D"/>
    <w:rsid w:val="002801B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860A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2310"/>
    <w:rsid w:val="006D461A"/>
    <w:rsid w:val="006F35EE"/>
    <w:rsid w:val="006F4F54"/>
    <w:rsid w:val="007021FF"/>
    <w:rsid w:val="00712895"/>
    <w:rsid w:val="00734ACB"/>
    <w:rsid w:val="00757357"/>
    <w:rsid w:val="00792497"/>
    <w:rsid w:val="007A4D0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5D57"/>
    <w:rsid w:val="008E2DEE"/>
    <w:rsid w:val="008F71E8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6E5A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615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87DD7B"/>
  <w15:docId w15:val="{93FC8E9E-B642-43A8-9099-749BAFF3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2801B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801B8"/>
    <w:rPr>
      <w:lang w:val="ru-RU" w:eastAsia="en-US"/>
    </w:rPr>
  </w:style>
  <w:style w:type="paragraph" w:styleId="af3">
    <w:name w:val="List Paragraph"/>
    <w:basedOn w:val="a"/>
    <w:uiPriority w:val="34"/>
    <w:qFormat/>
    <w:rsid w:val="002801B8"/>
    <w:pPr>
      <w:ind w:left="720"/>
      <w:contextualSpacing/>
    </w:pPr>
    <w:rPr>
      <w:rFonts w:eastAsia="MS Mincho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FFD67-8755-4872-A77B-F98AEB1A5A50}"/>
</file>

<file path=customXml/itemProps2.xml><?xml version="1.0" encoding="utf-8"?>
<ds:datastoreItem xmlns:ds="http://schemas.openxmlformats.org/officeDocument/2006/customXml" ds:itemID="{011BBF39-330D-44D7-993E-407DF1AB728E}"/>
</file>

<file path=customXml/itemProps3.xml><?xml version="1.0" encoding="utf-8"?>
<ds:datastoreItem xmlns:ds="http://schemas.openxmlformats.org/officeDocument/2006/customXml" ds:itemID="{0D8ADB3F-BE2F-4A60-96DE-E088BA67279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2232</Words>
  <Characters>15290</Characters>
  <Application>Microsoft Office Word</Application>
  <DocSecurity>0</DocSecurity>
  <Lines>449</Lines>
  <Paragraphs>233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ECE/TRANS/WP.29/2021/18</vt:lpstr>
      <vt:lpstr>A/</vt:lpstr>
      <vt:lpstr>A/</vt:lpstr>
    </vt:vector>
  </TitlesOfParts>
  <Company>DCM</Company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ECE/TRANS/WP.29/2021/18</dc:title>
  <dc:subject/>
  <dc:creator>Marina KOROTKOVA</dc:creator>
  <cp:keywords/>
  <cp:lastModifiedBy>Marina KOROTKOVA</cp:lastModifiedBy>
  <cp:revision>3</cp:revision>
  <cp:lastPrinted>2021-01-11T13:38:00Z</cp:lastPrinted>
  <dcterms:created xsi:type="dcterms:W3CDTF">2021-01-11T13:38:00Z</dcterms:created>
  <dcterms:modified xsi:type="dcterms:W3CDTF">2021-01-11T13:39:00Z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