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14:paraId="79E8A0A1" w14:textId="77777777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14:paraId="31D0B565" w14:textId="77777777" w:rsidR="002D5AAC" w:rsidRDefault="002D5AAC" w:rsidP="00FF4D73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14:paraId="2ECBAE79" w14:textId="77777777"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14:paraId="56F11612" w14:textId="77777777" w:rsidR="002D5AAC" w:rsidRDefault="00FF4D73" w:rsidP="00FF4D73">
            <w:pPr>
              <w:jc w:val="right"/>
            </w:pPr>
            <w:r w:rsidRPr="00FF4D73">
              <w:rPr>
                <w:sz w:val="40"/>
              </w:rPr>
              <w:t>ECE</w:t>
            </w:r>
            <w:r>
              <w:t>/TRANS/2021/6</w:t>
            </w:r>
          </w:p>
        </w:tc>
      </w:tr>
      <w:tr w:rsidR="002D5AAC" w:rsidRPr="00C06FC8" w14:paraId="3A6E2ECD" w14:textId="77777777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6C67367F" w14:textId="77777777"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val="fr-CH" w:eastAsia="fr-CH"/>
              </w:rPr>
              <w:drawing>
                <wp:inline distT="0" distB="0" distL="0" distR="0" wp14:anchorId="7BC867C8" wp14:editId="524254DF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4EA2A9A3" w14:textId="77777777" w:rsidR="002D5AAC" w:rsidRPr="00033EE1" w:rsidRDefault="008A37C8" w:rsidP="00387CD4">
            <w:pPr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14:paraId="5152A3A9" w14:textId="77777777" w:rsidR="002D5AAC" w:rsidRDefault="00FF4D73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14:paraId="6A5D753D" w14:textId="77777777" w:rsidR="00FF4D73" w:rsidRDefault="00FF4D73" w:rsidP="00FF4D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15 December 2020</w:t>
            </w:r>
          </w:p>
          <w:p w14:paraId="1E67A61D" w14:textId="77777777" w:rsidR="00FF4D73" w:rsidRDefault="00FF4D73" w:rsidP="00FF4D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14:paraId="095C712B" w14:textId="77777777" w:rsidR="00FF4D73" w:rsidRPr="008D53B6" w:rsidRDefault="00FF4D73" w:rsidP="00FF4D73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14:paraId="30064072" w14:textId="77777777"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14:paraId="7AE3244F" w14:textId="77777777" w:rsidR="00FF4D73" w:rsidRPr="00B27A9D" w:rsidRDefault="00FF4D73" w:rsidP="00FF4D73">
      <w:pPr>
        <w:spacing w:before="120"/>
        <w:rPr>
          <w:sz w:val="28"/>
          <w:szCs w:val="28"/>
        </w:rPr>
      </w:pPr>
      <w:r w:rsidRPr="00B27A9D">
        <w:rPr>
          <w:sz w:val="28"/>
          <w:szCs w:val="28"/>
        </w:rPr>
        <w:t>Комитет по внутреннему транспорту</w:t>
      </w:r>
    </w:p>
    <w:p w14:paraId="76F4F52A" w14:textId="77777777" w:rsidR="00FF4D73" w:rsidRPr="00C7768B" w:rsidRDefault="00FF4D73" w:rsidP="00FF4D73">
      <w:pPr>
        <w:spacing w:before="120"/>
        <w:rPr>
          <w:b/>
          <w:bCs/>
        </w:rPr>
      </w:pPr>
      <w:r>
        <w:rPr>
          <w:b/>
          <w:bCs/>
        </w:rPr>
        <w:t>Восемьдесят третья сессия</w:t>
      </w:r>
    </w:p>
    <w:p w14:paraId="2E6E3FE0" w14:textId="77777777" w:rsidR="00FF4D73" w:rsidRDefault="00FF4D73" w:rsidP="00FF4D73">
      <w:pPr>
        <w:ind w:right="4239"/>
      </w:pPr>
      <w:r>
        <w:t>Женева, 23</w:t>
      </w:r>
      <w:r w:rsidRPr="00B27A9D">
        <w:t>–</w:t>
      </w:r>
      <w:r>
        <w:t>26 февраля 2021 года</w:t>
      </w:r>
    </w:p>
    <w:p w14:paraId="56953257" w14:textId="77777777" w:rsidR="00FF4D73" w:rsidRDefault="00FF4D73" w:rsidP="00FF4D73">
      <w:pPr>
        <w:ind w:right="4239"/>
      </w:pPr>
      <w:r>
        <w:t>Пункт 5 а) предварительной повестки дня</w:t>
      </w:r>
    </w:p>
    <w:p w14:paraId="34B915C3" w14:textId="77777777" w:rsidR="00FF4D73" w:rsidRDefault="00FF4D73" w:rsidP="00FF4D73">
      <w:pPr>
        <w:ind w:right="1133"/>
      </w:pPr>
      <w:r>
        <w:rPr>
          <w:b/>
          <w:bCs/>
        </w:rPr>
        <w:t xml:space="preserve">Вопросы управления и важнейшие решения, касающиеся </w:t>
      </w:r>
      <w:r>
        <w:rPr>
          <w:b/>
          <w:bCs/>
        </w:rPr>
        <w:br/>
        <w:t xml:space="preserve">ведения деятельности КВТ и его вспомогательных органов: </w:t>
      </w:r>
      <w:r>
        <w:rPr>
          <w:b/>
          <w:bCs/>
        </w:rPr>
        <w:br/>
        <w:t xml:space="preserve">решения, касающиеся вспомогательных органов </w:t>
      </w:r>
      <w:r>
        <w:rPr>
          <w:b/>
          <w:bCs/>
        </w:rPr>
        <w:br/>
        <w:t>и структуры Комитета</w:t>
      </w:r>
    </w:p>
    <w:p w14:paraId="3B84B1BB" w14:textId="77777777" w:rsidR="00FF4D73" w:rsidRDefault="00FF4D73" w:rsidP="00FF4D73">
      <w:pPr>
        <w:pStyle w:val="HChG"/>
      </w:pPr>
      <w:r>
        <w:tab/>
      </w:r>
      <w:r>
        <w:tab/>
      </w:r>
      <w:r>
        <w:rPr>
          <w:bCs/>
        </w:rPr>
        <w:t>Решения, касающиеся вспомогательных органов и структуры Комитета</w:t>
      </w:r>
    </w:p>
    <w:p w14:paraId="6CA32F3E" w14:textId="77777777" w:rsidR="00FF4D73" w:rsidRPr="00C7768B" w:rsidRDefault="00FF4D73" w:rsidP="00FF4D73">
      <w:pPr>
        <w:pStyle w:val="H1G"/>
      </w:pPr>
      <w:r>
        <w:tab/>
      </w:r>
      <w:r>
        <w:tab/>
      </w:r>
      <w:r>
        <w:rPr>
          <w:bCs/>
        </w:rPr>
        <w:t>Записка секретариата</w:t>
      </w:r>
    </w:p>
    <w:p w14:paraId="4B585555" w14:textId="77777777" w:rsidR="00FF4D73" w:rsidRPr="00C7768B" w:rsidRDefault="00FF4D73" w:rsidP="00FF4D73">
      <w:pPr>
        <w:pStyle w:val="HChG"/>
      </w:pPr>
      <w:r>
        <w:tab/>
        <w:t>I.</w:t>
      </w:r>
      <w:r>
        <w:tab/>
      </w:r>
      <w:r>
        <w:rPr>
          <w:bCs/>
        </w:rPr>
        <w:t>Решения, касающиеся Рабочих групп</w:t>
      </w:r>
    </w:p>
    <w:p w14:paraId="16CE88CE" w14:textId="77777777" w:rsidR="00FF4D73" w:rsidRPr="00C7768B" w:rsidRDefault="00FF4D73" w:rsidP="006758AE">
      <w:pPr>
        <w:pStyle w:val="SingleTxtG"/>
      </w:pPr>
      <w:r>
        <w:t>1.</w:t>
      </w:r>
      <w:r>
        <w:tab/>
        <w:t xml:space="preserve">Комитету </w:t>
      </w:r>
      <w:r>
        <w:rPr>
          <w:b/>
          <w:bCs/>
        </w:rPr>
        <w:t xml:space="preserve">предлагается утвердить </w:t>
      </w:r>
      <w:r>
        <w:t xml:space="preserve">пересмотренный круг ведения (КВ) Рабочей группы по железнодорожному транспорту (SC.2) в соответствии с просьбой SC.2 (ECE/TRANS/SC.2/234). Пересмотренный КВ, содержащийся в </w:t>
      </w:r>
      <w:r>
        <w:rPr>
          <w:b/>
          <w:bCs/>
        </w:rPr>
        <w:t xml:space="preserve">приложении I </w:t>
      </w:r>
      <w:r>
        <w:t xml:space="preserve">к настоящему документу, был подготовлен в </w:t>
      </w:r>
      <w:r w:rsidRPr="006758AE">
        <w:t>соответствии</w:t>
      </w:r>
      <w:r>
        <w:t xml:space="preserve"> со Стратегией Комитета по внутреннему транспорту (КВТ) на период до 2030 года.</w:t>
      </w:r>
    </w:p>
    <w:p w14:paraId="0C630208" w14:textId="77777777" w:rsidR="00FF4D73" w:rsidRPr="00C7768B" w:rsidRDefault="00FF4D73" w:rsidP="00FF4D73">
      <w:pPr>
        <w:pStyle w:val="HChG"/>
      </w:pPr>
      <w:r>
        <w:tab/>
        <w:t>II.</w:t>
      </w:r>
      <w:r>
        <w:tab/>
      </w:r>
      <w:r>
        <w:rPr>
          <w:bCs/>
        </w:rPr>
        <w:t>Решения, касающиеся Групп экспертов</w:t>
      </w:r>
    </w:p>
    <w:p w14:paraId="4D51B36A" w14:textId="77777777" w:rsidR="00FF4D73" w:rsidRPr="00C7768B" w:rsidRDefault="00FF4D73" w:rsidP="006758AE">
      <w:pPr>
        <w:pStyle w:val="SingleTxtG"/>
      </w:pPr>
      <w:r>
        <w:t>2.</w:t>
      </w:r>
      <w:r>
        <w:tab/>
        <w:t xml:space="preserve">Комитет, </w:t>
      </w:r>
      <w:r>
        <w:rPr>
          <w:b/>
          <w:bCs/>
        </w:rPr>
        <w:t xml:space="preserve">возможно, пожелает подчеркнуть </w:t>
      </w:r>
      <w:r>
        <w:t xml:space="preserve">важность групп экспертов как эффективных и действенных платформ для выполнения его мандатов, </w:t>
      </w:r>
      <w:r>
        <w:rPr>
          <w:b/>
          <w:bCs/>
        </w:rPr>
        <w:t xml:space="preserve">отметив </w:t>
      </w:r>
      <w:r>
        <w:t xml:space="preserve">при этом, что они создаются и функционируют в соответствии с </w:t>
      </w:r>
      <w:r w:rsidRPr="006758AE">
        <w:t>Руководящими</w:t>
      </w:r>
      <w:r>
        <w:t xml:space="preserve"> принципами создания и функционирования групп специалистов в рамках ЕЭК ООН (ECE/EX/2/Rev.1). В связи с этим Комитет, </w:t>
      </w:r>
      <w:r>
        <w:rPr>
          <w:b/>
          <w:bCs/>
        </w:rPr>
        <w:t xml:space="preserve">возможно, пожелает проинформировать все заинтересованные стороны </w:t>
      </w:r>
      <w:r>
        <w:t>о том, что для создания или продления мандатов групп экспертов, контроль за деятельностью которых осуществляется КВТ или его вспомогательными органами (контрольными органами), требуется положительное решение Комитета, которое затем представляется на утверждение Исполкому.</w:t>
      </w:r>
    </w:p>
    <w:p w14:paraId="525CC06D" w14:textId="77777777" w:rsidR="00FF4D73" w:rsidRDefault="00FF4D73" w:rsidP="00FF4D73">
      <w:pPr>
        <w:pStyle w:val="H1G"/>
      </w:pPr>
      <w:r>
        <w:tab/>
        <w:t>A.</w:t>
      </w:r>
      <w:r>
        <w:tab/>
      </w:r>
      <w:r>
        <w:rPr>
          <w:bCs/>
        </w:rPr>
        <w:t>Решения, касающиеся создания новых групп экспертов</w:t>
      </w:r>
    </w:p>
    <w:p w14:paraId="4B4EE40C" w14:textId="77777777" w:rsidR="00FF4D73" w:rsidRPr="00C7768B" w:rsidRDefault="00FF4D73" w:rsidP="00FF4D73">
      <w:pPr>
        <w:pStyle w:val="H23G"/>
      </w:pPr>
      <w:r>
        <w:tab/>
        <w:t>1.</w:t>
      </w:r>
      <w:r>
        <w:tab/>
      </w:r>
      <w:r>
        <w:rPr>
          <w:bCs/>
        </w:rPr>
        <w:t>Новая группа экспертов по разработке нового правового документа о международных узлах железнодорожных пассажирских перевозок</w:t>
      </w:r>
    </w:p>
    <w:p w14:paraId="2C8F8105" w14:textId="77777777" w:rsidR="00FF4D73" w:rsidRDefault="00FF4D73" w:rsidP="006758AE">
      <w:pPr>
        <w:pStyle w:val="SingleTxtG"/>
      </w:pPr>
      <w:r>
        <w:t>3.</w:t>
      </w:r>
      <w:r>
        <w:tab/>
        <w:t xml:space="preserve">Комитет, возможно, пожелает </w:t>
      </w:r>
      <w:r>
        <w:rPr>
          <w:b/>
          <w:bCs/>
        </w:rPr>
        <w:t xml:space="preserve">одобрить учреждение </w:t>
      </w:r>
      <w:r>
        <w:t xml:space="preserve">новой группы экспертов по разработке нового правового документа о международных узлах </w:t>
      </w:r>
      <w:r w:rsidRPr="006758AE">
        <w:t>железнодорожных</w:t>
      </w:r>
      <w:r>
        <w:t xml:space="preserve"> </w:t>
      </w:r>
      <w:r>
        <w:lastRenderedPageBreak/>
        <w:t xml:space="preserve">пассажирских перевозок в соответствии с просьбой SC.2 (ECE/TRANS/SC.2/234). КВ новой группы экспертов содержится в </w:t>
      </w:r>
      <w:r>
        <w:rPr>
          <w:b/>
          <w:bCs/>
        </w:rPr>
        <w:t>приложении II к настоящему документу</w:t>
      </w:r>
      <w:r>
        <w:t>.</w:t>
      </w:r>
    </w:p>
    <w:p w14:paraId="18555C6F" w14:textId="77777777" w:rsidR="00FF4D73" w:rsidRPr="00C7768B" w:rsidRDefault="00FF4D73" w:rsidP="00FF4D73">
      <w:pPr>
        <w:pStyle w:val="H23G"/>
      </w:pPr>
      <w:r>
        <w:tab/>
        <w:t>2.</w:t>
      </w:r>
      <w:r>
        <w:tab/>
      </w:r>
      <w:r>
        <w:rPr>
          <w:bCs/>
        </w:rPr>
        <w:t>Новая группа экспертов по разработке нового правового документа об использовании автоматизированных транспортных средств в дорожном движении</w:t>
      </w:r>
    </w:p>
    <w:p w14:paraId="1DC7C9F8" w14:textId="77777777" w:rsidR="00FF4D73" w:rsidRDefault="00FF4D73" w:rsidP="00FF4D73">
      <w:pPr>
        <w:pStyle w:val="SingleTxtG"/>
      </w:pPr>
      <w:r>
        <w:t>4.</w:t>
      </w:r>
      <w:r>
        <w:tab/>
        <w:t>Комитет, возможно, пожелает напомнить о том, что на своей восемьдесят второй сессии он приветствовал инициативу WP.1 о необходимости разработки нового правового документа об использовании автоматизированных транспортных средств в дорожном движении и в целях ускорения процедур уполномочил свое Бюро рассмотреть и одобрить просьбу об учреждении новой группы экспертов после утверждения ее КВ Рабочей группой WP.1 (ECE/TRANS/294, пункт 54).</w:t>
      </w:r>
    </w:p>
    <w:p w14:paraId="149BF90D" w14:textId="77777777" w:rsidR="00FF4D73" w:rsidRPr="00C7768B" w:rsidRDefault="00FF4D73" w:rsidP="00FF4D73">
      <w:pPr>
        <w:pStyle w:val="SingleTxtG"/>
        <w:rPr>
          <w:rFonts w:asciiTheme="majorBidi" w:hAnsiTheme="majorBidi" w:cstheme="majorBidi"/>
        </w:rPr>
      </w:pPr>
      <w:r>
        <w:t>5.</w:t>
      </w:r>
      <w:r>
        <w:tab/>
        <w:t xml:space="preserve">КВ новой группы экспертов был принят WP.1 на ее восемьдесят первой сессии (ECE/TRANS/WP.1/173, пункт 27) в том виде, в каком он приведен в документе ECE/TRANS/WP.1/2020/2/Rev.1. Он воспроизводится в </w:t>
      </w:r>
      <w:r>
        <w:rPr>
          <w:b/>
          <w:bCs/>
        </w:rPr>
        <w:t xml:space="preserve">приложении III </w:t>
      </w:r>
      <w:r>
        <w:t>к настоящему документу со следующей технической поправкой: в пунктах 3 и 9 принятого КВ используется термин «вышестоящий орган», который был заменен на «контрольный орган», с тем чтобы привести его в соответствие с политикой ЕЭК.</w:t>
      </w:r>
    </w:p>
    <w:p w14:paraId="3EAE25EA" w14:textId="77777777" w:rsidR="00FF4D73" w:rsidRDefault="00FF4D73" w:rsidP="00FF4D73">
      <w:pPr>
        <w:pStyle w:val="SingleTxtG"/>
      </w:pPr>
      <w:r>
        <w:t>6.</w:t>
      </w:r>
      <w:r>
        <w:tab/>
        <w:t xml:space="preserve">Бюро, </w:t>
      </w:r>
      <w:r>
        <w:rPr>
          <w:b/>
          <w:bCs/>
        </w:rPr>
        <w:t xml:space="preserve">сославшись </w:t>
      </w:r>
      <w:r>
        <w:t xml:space="preserve">на решение пленарной сессии КВТ, уполномочившего его рассмотреть и одобрить просьбу об учреждении новой группы экспертов по разработке нового правового документа об использовании автоматизированных транспортных средств в дорожном движении после принятия его КВ его контрольным органом (WP.1), и </w:t>
      </w:r>
      <w:r>
        <w:rPr>
          <w:b/>
          <w:bCs/>
        </w:rPr>
        <w:t>отметив</w:t>
      </w:r>
      <w:r>
        <w:t xml:space="preserve">, что КВ новой группы был принят, но только на английском языке, </w:t>
      </w:r>
      <w:r>
        <w:rPr>
          <w:b/>
          <w:bCs/>
        </w:rPr>
        <w:t xml:space="preserve">постановило рекомендовать Комитету одобрить </w:t>
      </w:r>
      <w:r>
        <w:t xml:space="preserve">учреждение новой группы на основе КВ, воспроизведенного </w:t>
      </w:r>
      <w:r>
        <w:rPr>
          <w:b/>
          <w:bCs/>
        </w:rPr>
        <w:t xml:space="preserve">в приложении III </w:t>
      </w:r>
      <w:r>
        <w:t xml:space="preserve">к настоящему документу, и </w:t>
      </w:r>
      <w:r>
        <w:rPr>
          <w:b/>
          <w:bCs/>
        </w:rPr>
        <w:t xml:space="preserve">поручило </w:t>
      </w:r>
      <w:r>
        <w:t>секретариату организовать его своевременное представление 83-й ежегодной сессии КВТ с его письменным переводом на три официальных языка ЕЭК с учетом следующих соображений:</w:t>
      </w:r>
    </w:p>
    <w:p w14:paraId="39F152B5" w14:textId="77777777" w:rsidR="00FF4D73" w:rsidRPr="00C7768B" w:rsidRDefault="00FF4D73" w:rsidP="00FF4D73">
      <w:pPr>
        <w:pStyle w:val="Bullet1G"/>
        <w:numPr>
          <w:ilvl w:val="0"/>
          <w:numId w:val="22"/>
        </w:numPr>
      </w:pPr>
      <w:r>
        <w:t>Эта группа экспертов не должна подменять собой существующие неофициальные группы, работающие над этим вопросом в рамках других рабочих групп КВТ.</w:t>
      </w:r>
    </w:p>
    <w:p w14:paraId="79FEB547" w14:textId="77777777" w:rsidR="00FF4D73" w:rsidRPr="00C7768B" w:rsidRDefault="00FF4D73" w:rsidP="00FF4D73">
      <w:pPr>
        <w:pStyle w:val="Bullet1G"/>
        <w:numPr>
          <w:ilvl w:val="0"/>
          <w:numId w:val="22"/>
        </w:numPr>
        <w:rPr>
          <w:rFonts w:asciiTheme="majorBidi" w:hAnsiTheme="majorBidi" w:cstheme="majorBidi"/>
        </w:rPr>
      </w:pPr>
      <w:r>
        <w:t>Крайне важно, чтобы эта группа учитывала в своих обсуждениях мнения НПО и представляемые ими материалы.</w:t>
      </w:r>
    </w:p>
    <w:p w14:paraId="3B7D6898" w14:textId="77777777" w:rsidR="00FF4D73" w:rsidRPr="00C7768B" w:rsidRDefault="00FF4D73" w:rsidP="00FF4D73">
      <w:pPr>
        <w:pStyle w:val="SingleTxtG"/>
        <w:rPr>
          <w:rStyle w:val="SingleTxtGChar"/>
        </w:rPr>
      </w:pPr>
      <w:r>
        <w:t>7.</w:t>
      </w:r>
      <w:r>
        <w:tab/>
        <w:t xml:space="preserve">Комитету </w:t>
      </w:r>
      <w:r>
        <w:rPr>
          <w:b/>
          <w:bCs/>
        </w:rPr>
        <w:t xml:space="preserve">будет предложено одобрить </w:t>
      </w:r>
      <w:r>
        <w:t>учреждение новой группы экспертов по разработке нового правового документа об использовании автоматизированных транспортных средств в дорожном движении в соответствии с просьбой WP.1 (ECE/TRANS/WP.1/173, пункт 27; ECE/TRANS/WP.1/2020/2/Rev.1; и ECE/TRANS/</w:t>
      </w:r>
      <w:r w:rsidR="00250C41">
        <w:t xml:space="preserve"> </w:t>
      </w:r>
      <w:r>
        <w:t xml:space="preserve">2021/7, приложение III, решение № 16). Круг ведения новой группы экспертов содержится в </w:t>
      </w:r>
      <w:r>
        <w:rPr>
          <w:b/>
          <w:bCs/>
        </w:rPr>
        <w:t>приложении III к настоящему документу</w:t>
      </w:r>
      <w:r>
        <w:t>.</w:t>
      </w:r>
    </w:p>
    <w:p w14:paraId="5522562D" w14:textId="1A50D9E1" w:rsidR="00FF4D73" w:rsidRDefault="00FF4D73" w:rsidP="00FF4D73">
      <w:pPr>
        <w:pStyle w:val="H1G"/>
      </w:pPr>
      <w:r>
        <w:tab/>
        <w:t>B.</w:t>
      </w:r>
      <w:r>
        <w:tab/>
      </w:r>
      <w:r>
        <w:rPr>
          <w:bCs/>
        </w:rPr>
        <w:t>Решения, касающиеся продления мандатов групп экспертов</w:t>
      </w:r>
    </w:p>
    <w:p w14:paraId="2150D6B7" w14:textId="77777777" w:rsidR="00FF4D73" w:rsidRDefault="00FF4D73" w:rsidP="00FF4D73">
      <w:pPr>
        <w:pStyle w:val="SingleTxtG"/>
      </w:pPr>
      <w:r>
        <w:t>8.</w:t>
      </w:r>
      <w:r>
        <w:tab/>
        <w:t xml:space="preserve">Комитету </w:t>
      </w:r>
      <w:r>
        <w:rPr>
          <w:b/>
          <w:bCs/>
        </w:rPr>
        <w:t xml:space="preserve">будет предложено утвердить </w:t>
      </w:r>
      <w:r>
        <w:t>продление мандатов следующих групп экспертов:</w:t>
      </w:r>
    </w:p>
    <w:p w14:paraId="3549E034" w14:textId="77777777" w:rsidR="00FF4D73" w:rsidRDefault="00FF4D73" w:rsidP="00FF4D73">
      <w:pPr>
        <w:pStyle w:val="Bullet1G"/>
        <w:numPr>
          <w:ilvl w:val="0"/>
          <w:numId w:val="22"/>
        </w:numPr>
      </w:pPr>
      <w:r>
        <w:t>Группы экспертов по дорожным знакам и сигналам</w:t>
      </w:r>
      <w:r w:rsidR="00250C41">
        <w:t xml:space="preserve"> </w:t>
      </w:r>
      <w:r>
        <w:t>— до 31 де</w:t>
      </w:r>
      <w:bookmarkStart w:id="0" w:name="_GoBack"/>
      <w:bookmarkEnd w:id="0"/>
      <w:r>
        <w:t>кабря 2022 года в соответствии с просьбой WP.1 (ECE/TRANS/WP.1/173, пункт 31; и ECE/TRANS/2021/7, приложение III, решение № 17), с тем чтобы позволить этой группе завершить работу над «дополнительными» дорожными знаками, т. е. знаками, которые можно было бы рассмотреть на предмет включения в Конвенцию 1968 года в будущем;</w:t>
      </w:r>
    </w:p>
    <w:p w14:paraId="6E2B0DCB" w14:textId="77777777" w:rsidR="00FF4D73" w:rsidRPr="00C7768B" w:rsidRDefault="00FF4D73" w:rsidP="00FF4D73">
      <w:pPr>
        <w:pStyle w:val="Bullet1G"/>
        <w:numPr>
          <w:ilvl w:val="0"/>
          <w:numId w:val="22"/>
        </w:numPr>
      </w:pPr>
      <w:r>
        <w:t>Группы экспертов по Европейскому соглашению, касающемуся работы экипажей транспортных средств, производящих международные автомобильные перевозки (ЕСТР),</w:t>
      </w:r>
      <w:r w:rsidR="00250C41">
        <w:t xml:space="preserve"> </w:t>
      </w:r>
      <w:r>
        <w:t>— до конца июня 2023 года в соответствии с просьбой SC.1 (ECE/TRANS/SC.1/414, пункт 8);</w:t>
      </w:r>
    </w:p>
    <w:p w14:paraId="04BD1BF6" w14:textId="77777777" w:rsidR="00FF4D73" w:rsidRDefault="00FF4D73" w:rsidP="00FF4D73">
      <w:pPr>
        <w:pStyle w:val="Bullet1G"/>
        <w:numPr>
          <w:ilvl w:val="0"/>
          <w:numId w:val="22"/>
        </w:numPr>
      </w:pPr>
      <w:r>
        <w:lastRenderedPageBreak/>
        <w:t>Группы экспертов по сопоставительному анализу затрат на строительство транспортной инфраструктуры</w:t>
      </w:r>
      <w:r w:rsidR="00250C41">
        <w:t xml:space="preserve"> </w:t>
      </w:r>
      <w:r>
        <w:t>— еще на один год в соответствии с просьбой WP.5 (ECE/TRANS/WP.5/68, пункт 34), с тем чтобы она могла продолжить и активизировать свои усилия по сбору данных по всем видам транспорта, что позволит подготовить к 2021 году более насыщенный данными заключительный доклад.</w:t>
      </w:r>
    </w:p>
    <w:p w14:paraId="65E65F8B" w14:textId="77777777" w:rsidR="00FF4D73" w:rsidRPr="00C7768B" w:rsidRDefault="00FF4D73" w:rsidP="00FF4D73">
      <w:pPr>
        <w:suppressAutoHyphens w:val="0"/>
        <w:spacing w:line="240" w:lineRule="auto"/>
      </w:pPr>
      <w:r w:rsidRPr="00C7768B">
        <w:br w:type="page"/>
      </w:r>
    </w:p>
    <w:p w14:paraId="51EC33A8" w14:textId="77777777" w:rsidR="00FF4D73" w:rsidRPr="00C7768B" w:rsidRDefault="00FF4D73" w:rsidP="00FF4D73">
      <w:pPr>
        <w:pStyle w:val="HChG"/>
        <w:spacing w:before="240" w:after="200"/>
      </w:pPr>
      <w:r>
        <w:rPr>
          <w:bCs/>
        </w:rPr>
        <w:lastRenderedPageBreak/>
        <w:t>Приложение I</w:t>
      </w:r>
    </w:p>
    <w:p w14:paraId="6D869DE7" w14:textId="77777777" w:rsidR="00FF4D73" w:rsidRPr="00C7768B" w:rsidRDefault="00FF4D73" w:rsidP="00FF4D73">
      <w:pPr>
        <w:pStyle w:val="HChG"/>
        <w:spacing w:before="240"/>
      </w:pPr>
      <w:r>
        <w:tab/>
      </w:r>
      <w:r>
        <w:tab/>
      </w:r>
      <w:r>
        <w:rPr>
          <w:bCs/>
        </w:rPr>
        <w:t>Пересмотренный круг ведения Рабочей группы по</w:t>
      </w:r>
      <w:r w:rsidR="00250C41">
        <w:rPr>
          <w:bCs/>
        </w:rPr>
        <w:t> </w:t>
      </w:r>
      <w:r>
        <w:rPr>
          <w:bCs/>
        </w:rPr>
        <w:t>железнодорожному транспорту</w:t>
      </w:r>
      <w:r w:rsidRPr="002A30F0">
        <w:rPr>
          <w:rStyle w:val="aa"/>
          <w:b w:val="0"/>
          <w:bCs/>
        </w:rPr>
        <w:footnoteReference w:id="1"/>
      </w:r>
    </w:p>
    <w:p w14:paraId="60649A02" w14:textId="77777777" w:rsidR="00FF4D73" w:rsidRDefault="00FF4D73" w:rsidP="006758AE">
      <w:pPr>
        <w:pStyle w:val="SingleTxtG"/>
      </w:pPr>
      <w:r>
        <w:t>1.</w:t>
      </w:r>
      <w:r>
        <w:tab/>
        <w:t xml:space="preserve">Рабочая группа по железнодорожному транспорту будет действовать в рамках общего курса Организации Объединенных Наций и </w:t>
      </w:r>
      <w:r w:rsidRPr="006758AE">
        <w:t>Европейской</w:t>
      </w:r>
      <w:r>
        <w:t xml:space="preserve"> экономической комиссии (далее</w:t>
      </w:r>
      <w:r w:rsidR="00250C41">
        <w:t xml:space="preserve"> </w:t>
      </w:r>
      <w:r>
        <w:t>— ЕЭК ООН) под общим наблюдением Комитета по внутреннему транспорту (далее</w:t>
      </w:r>
      <w:r w:rsidR="00250C41">
        <w:t xml:space="preserve"> </w:t>
      </w:r>
      <w:r>
        <w:t>— КВТ) и в соответствии с кругом ведения ЕЭК ООН (Е/ЕСЕ/778/Rev.5).</w:t>
      </w:r>
    </w:p>
    <w:p w14:paraId="0E751892" w14:textId="77777777" w:rsidR="00FF4D73" w:rsidRPr="00C7768B" w:rsidRDefault="00FF4D73" w:rsidP="006758AE">
      <w:pPr>
        <w:pStyle w:val="SingleTxtG"/>
      </w:pPr>
      <w:r>
        <w:t>2.</w:t>
      </w:r>
      <w:r>
        <w:tab/>
        <w:t xml:space="preserve">SC.2 будет действовать в соответствии с Руководящими принципами создания и функционирования рабочих групп в рамках ЕЭК ООН, одобренными Исполнительным комитетом ЕЭК ООН на его четвертом совещании 14 июля 2006 года (ECE/EX/1). Эти Руководящие принципы касаются ее статуса и </w:t>
      </w:r>
      <w:r w:rsidRPr="006758AE">
        <w:t>характеристик</w:t>
      </w:r>
      <w:r>
        <w:t xml:space="preserve">, включая рассмотрение мандата и вопроса о его продлении каждые пять лет, членского состава и должностных лиц, методов работы и </w:t>
      </w:r>
      <w:proofErr w:type="spellStart"/>
      <w:r>
        <w:t>секретариатского</w:t>
      </w:r>
      <w:proofErr w:type="spellEnd"/>
      <w:r>
        <w:t xml:space="preserve"> обслуживания, обеспечиваемого Отделом устойчивого транспорта ЕЭК ООН.</w:t>
      </w:r>
    </w:p>
    <w:p w14:paraId="3D3C4459" w14:textId="77777777" w:rsidR="00FF4D73" w:rsidRPr="00C7768B" w:rsidRDefault="00FF4D73" w:rsidP="006758AE">
      <w:pPr>
        <w:pStyle w:val="SingleTxtG"/>
      </w:pPr>
      <w:r>
        <w:t>3.</w:t>
      </w:r>
      <w:r>
        <w:tab/>
        <w:t xml:space="preserve">Указанные ниже виды деятельности соответствуют цели подпрограммы ЕЭК ООН по устойчивому транспорту, которая заключается в облегчении международных пассажирских и грузовых перевозок разными видами внутреннего </w:t>
      </w:r>
      <w:r w:rsidRPr="006758AE">
        <w:t>транспорта</w:t>
      </w:r>
      <w:r>
        <w:t xml:space="preserve"> и повышении уровня безопасности, охраны окружающей среды, энергоэффективности и общей безопасности в транспортном секторе до показателей, которые реально способствуют обеспечению устойчивости транспорта. Они также согласуются со Стратегией КВТ на период до 2030 года, в которой определены следующие четыре основных направления деятельности, связанные с укреплением в дальнейшем его роли в соответствующем качестве:</w:t>
      </w:r>
    </w:p>
    <w:p w14:paraId="4C16E3B9" w14:textId="77777777" w:rsidR="00FF4D73" w:rsidRPr="00C7768B" w:rsidRDefault="00FF4D73" w:rsidP="006758AE">
      <w:pPr>
        <w:pStyle w:val="Bullet1G"/>
      </w:pPr>
      <w:r>
        <w:rPr>
          <w:b/>
          <w:bCs/>
        </w:rPr>
        <w:t>Направление А: платформа ООН для региональных и глобальных конвенций по внутреннему транспорту.</w:t>
      </w:r>
      <w:r>
        <w:t xml:space="preserve"> Комитет будет укреплять свою роль в качестве платформы конвенций ООН по внутреннему транспорту для всех государств</w:t>
      </w:r>
      <w:r w:rsidR="006758AE">
        <w:t xml:space="preserve"> </w:t>
      </w:r>
      <w:r>
        <w:t xml:space="preserve">— членов ООН и сохранять ведущую роль в </w:t>
      </w:r>
      <w:r w:rsidRPr="006758AE">
        <w:t>глобальных</w:t>
      </w:r>
      <w:r>
        <w:t xml:space="preserve"> усилиях по преодолению кризиса в сфере безопасности дорожного движения благодаря комплексному подходу к этим вопросам, по снижению уровня выбросов путем введения и продвижения стандартов для транспортных средств, а также по устранению трансграничных препятствий с помощью целого ряда конвенций по упрощению процедур пересечения границ.</w:t>
      </w:r>
    </w:p>
    <w:p w14:paraId="252AFE6F" w14:textId="77777777" w:rsidR="00FF4D73" w:rsidRPr="00C7768B" w:rsidRDefault="00FF4D73" w:rsidP="006758AE">
      <w:pPr>
        <w:pStyle w:val="Bullet1G"/>
        <w:rPr>
          <w:b/>
          <w:bCs/>
        </w:rPr>
      </w:pPr>
      <w:r>
        <w:rPr>
          <w:b/>
          <w:bCs/>
        </w:rPr>
        <w:t>Направление В: платформа ООН по поддержке новых технологий и инноваций во внутреннем транспорте.</w:t>
      </w:r>
      <w:r>
        <w:t xml:space="preserve"> Комитет будет обеспечивать, чтобы i) при выполнении регулирующих функций он не отставал от передовых </w:t>
      </w:r>
      <w:r>
        <w:rPr>
          <w:b/>
          <w:bCs/>
        </w:rPr>
        <w:t>технологий</w:t>
      </w:r>
      <w:r>
        <w:t xml:space="preserve">, лежащих в основе транспортных инноваций, особенно в области интеллектуальных транспортных систем, автономных транспортных </w:t>
      </w:r>
      <w:r w:rsidRPr="006758AE">
        <w:t>средств</w:t>
      </w:r>
      <w:r>
        <w:t xml:space="preserve"> и цифровизации, что позволит повысить безопасность дорожного движения, экологические показатели, энергоэффективность, безопасность внутреннего транспорта и эффективность предоставления услуг в транспортном секторе; </w:t>
      </w:r>
      <w:proofErr w:type="spellStart"/>
      <w:r>
        <w:t>ii</w:t>
      </w:r>
      <w:proofErr w:type="spellEnd"/>
      <w:r>
        <w:t xml:space="preserve">) разнообразные процессы внесения поправок в различные конвенции не приводили к раздробленности и </w:t>
      </w:r>
      <w:proofErr w:type="spellStart"/>
      <w:r>
        <w:t>iii</w:t>
      </w:r>
      <w:proofErr w:type="spellEnd"/>
      <w:r>
        <w:t>) слишком раннее регулирование не сдерживало прогресс.</w:t>
      </w:r>
    </w:p>
    <w:p w14:paraId="7D6FB413" w14:textId="77777777" w:rsidR="00FF4D73" w:rsidRDefault="00FF4D73" w:rsidP="00FF4D73">
      <w:pPr>
        <w:pStyle w:val="Bullet1G"/>
        <w:numPr>
          <w:ilvl w:val="0"/>
          <w:numId w:val="22"/>
        </w:numPr>
      </w:pPr>
      <w:r>
        <w:rPr>
          <w:b/>
          <w:bCs/>
        </w:rPr>
        <w:t>Направление С: платформа ООН для регионального, межрегионального и глобального диалога по вопросам политики в области внутреннего транспорта.</w:t>
      </w:r>
      <w:r>
        <w:t xml:space="preserve"> В ходе своей ежегодной сессии Комитет будет служить платформой для диалога по вопросам политики в целях рассмотрения возникающих проблем в сфере </w:t>
      </w:r>
      <w:r>
        <w:rPr>
          <w:b/>
          <w:bCs/>
        </w:rPr>
        <w:t xml:space="preserve">внутреннего </w:t>
      </w:r>
      <w:r>
        <w:t>транспорта, а также предложений по совершенствованию инфраструктуры и функционирования.</w:t>
      </w:r>
    </w:p>
    <w:p w14:paraId="415C2F3E" w14:textId="77777777" w:rsidR="00FF4D73" w:rsidRPr="00C7768B" w:rsidRDefault="00FF4D73" w:rsidP="00FF4D73">
      <w:pPr>
        <w:pStyle w:val="Bullet1G"/>
        <w:numPr>
          <w:ilvl w:val="0"/>
          <w:numId w:val="22"/>
        </w:numPr>
      </w:pPr>
      <w:r>
        <w:rPr>
          <w:b/>
          <w:bCs/>
        </w:rPr>
        <w:lastRenderedPageBreak/>
        <w:t>Направление D: платформа ООН по поддержке устойчивого регионального и межрегионального сообщения и мобильности на внутреннем транспорте.</w:t>
      </w:r>
      <w:r>
        <w:t xml:space="preserve"> Комитет обеспечивает соответствующим образом всеобъемлющую и согласованную нормативно-правовую основу и по мере необходимости служит организационным ориентиром для поддержки международной транспортной стыкуемости и разработки новых или развития существующих инициатив, соглашений и коридоров.</w:t>
      </w:r>
    </w:p>
    <w:p w14:paraId="088D3E8F" w14:textId="77777777" w:rsidR="00FF4D73" w:rsidRPr="00C7768B" w:rsidRDefault="00FF4D73" w:rsidP="006758AE">
      <w:pPr>
        <w:pStyle w:val="SingleTxtG"/>
      </w:pPr>
      <w:r>
        <w:t>4.</w:t>
      </w:r>
      <w:r>
        <w:tab/>
        <w:t xml:space="preserve">На будущее намечена следующая </w:t>
      </w:r>
      <w:r w:rsidRPr="006758AE">
        <w:t>деятельность</w:t>
      </w:r>
      <w:r>
        <w:t>:</w:t>
      </w:r>
    </w:p>
    <w:p w14:paraId="2DA5B00B" w14:textId="77777777" w:rsidR="00FF4D73" w:rsidRPr="00C7768B" w:rsidRDefault="006758AE" w:rsidP="006758AE">
      <w:pPr>
        <w:pStyle w:val="SingleTxtG"/>
      </w:pPr>
      <w:r>
        <w:tab/>
      </w:r>
      <w:r w:rsidR="00FF4D73">
        <w:t>a)</w:t>
      </w:r>
      <w:r w:rsidR="00FF4D73">
        <w:tab/>
        <w:t xml:space="preserve">обновление географического охвата сети Европейского соглашения о международных магистральных железнодорожных линиях (СМЖЛ), увеличение числа договаривающихся сторон Соглашения СМЖЛ, рассмотрение Соглашения СМЖЛ в целях возможного применения и в тех случаях, когда это выполнимо, совершенствования существующих стандартов и эксплуатационных параметров; более широкое рассмотрение согласованности между параметрами СМЖЛ и стандартами в области инфраструктуры, установленными в рамках Европейского союза (ЕС), Евразийского экономического союза и других стран региона ЕЭК, в целях их соответствующей гармонизации </w:t>
      </w:r>
      <w:r w:rsidR="00FF4D73">
        <w:rPr>
          <w:b/>
          <w:bCs/>
        </w:rPr>
        <w:t>(направление А)</w:t>
      </w:r>
      <w:r w:rsidR="00FF4D73">
        <w:t>;</w:t>
      </w:r>
    </w:p>
    <w:p w14:paraId="485F6366" w14:textId="77777777" w:rsidR="00FF4D73" w:rsidRPr="00C7768B" w:rsidRDefault="006758AE" w:rsidP="006758AE">
      <w:pPr>
        <w:pStyle w:val="SingleTxtG"/>
      </w:pPr>
      <w:r>
        <w:tab/>
      </w:r>
      <w:r w:rsidR="00FF4D73">
        <w:t>b)</w:t>
      </w:r>
      <w:r w:rsidR="00FF4D73">
        <w:tab/>
        <w:t>выявление потребности в новых правовых документах в секторе железнодорожного транспорта для пассажирских и грузовых перевозок, направленных на поощрение дальнейшего перехода к использованию железнодорожных перевозок как наиболее устойчивого вида транспорта и удовлетворение потребностей экономики стран региона в соответствии с концептуальным сдвигом, который начался в транспортном секторе в результате эпидемии COVID-19 (</w:t>
      </w:r>
      <w:r w:rsidR="00FF4D73" w:rsidRPr="00C52A8C">
        <w:rPr>
          <w:b/>
          <w:bCs/>
        </w:rPr>
        <w:t>направление А</w:t>
      </w:r>
      <w:r w:rsidR="00FF4D73">
        <w:t>);</w:t>
      </w:r>
    </w:p>
    <w:p w14:paraId="0E750BE3" w14:textId="77777777" w:rsidR="00FF4D73" w:rsidRPr="00C7768B" w:rsidRDefault="006758AE" w:rsidP="006758AE">
      <w:pPr>
        <w:pStyle w:val="SingleTxtG"/>
      </w:pPr>
      <w:r>
        <w:tab/>
      </w:r>
      <w:r w:rsidR="00FF4D73">
        <w:t>c)</w:t>
      </w:r>
      <w:r w:rsidR="00FF4D73">
        <w:tab/>
        <w:t xml:space="preserve">разработка, </w:t>
      </w:r>
      <w:r w:rsidR="00FF4D73" w:rsidRPr="006758AE">
        <w:t>совершенствование</w:t>
      </w:r>
      <w:r w:rsidR="00FF4D73">
        <w:t xml:space="preserve"> и поддержание постоянно обновляемых онлайновых инструментов, таких как веб-инструмент, разработанный для мониторинга сети СМЖЛ и Европейского соглашения о важнейших линиях международных комбинированных перевозок и соответствующих объектах (СЛКП) и ее стандартов в области инфраструктуры, а также центр мониторинга железнодорожной безопасности (</w:t>
      </w:r>
      <w:r w:rsidR="00FF4D73">
        <w:rPr>
          <w:b/>
          <w:bCs/>
        </w:rPr>
        <w:t>направление В</w:t>
      </w:r>
      <w:r w:rsidR="00FF4D73">
        <w:t>);</w:t>
      </w:r>
    </w:p>
    <w:p w14:paraId="3B55B00C" w14:textId="77777777" w:rsidR="00FF4D73" w:rsidRDefault="006758AE" w:rsidP="006758AE">
      <w:pPr>
        <w:pStyle w:val="SingleTxtG"/>
      </w:pPr>
      <w:r>
        <w:tab/>
      </w:r>
      <w:r w:rsidR="00FF4D73">
        <w:t>d)</w:t>
      </w:r>
      <w:r w:rsidR="00FF4D73">
        <w:tab/>
        <w:t>улучшение интермодальной координации и интеграции железных дорог с другими видами транспорта в целях содействия развитию общеевропейских устойчивых транспортных систем, осуществляемое с учетом взаимосвязи сетей ЕЭК ООН категории Е и в тесном сотрудничестве с Рабочей группой по интермодальным перевозкам и логистике (WP.24) (</w:t>
      </w:r>
      <w:r w:rsidR="00FF4D73">
        <w:rPr>
          <w:b/>
          <w:bCs/>
        </w:rPr>
        <w:t>направление D</w:t>
      </w:r>
      <w:r w:rsidR="00FF4D73">
        <w:t>);</w:t>
      </w:r>
    </w:p>
    <w:p w14:paraId="614F991E" w14:textId="77777777" w:rsidR="00FF4D73" w:rsidRPr="00B27A9D" w:rsidRDefault="006758AE" w:rsidP="006758AE">
      <w:pPr>
        <w:pStyle w:val="SingleTxtG"/>
      </w:pPr>
      <w:r>
        <w:tab/>
      </w:r>
      <w:r w:rsidR="00FF4D73">
        <w:t>e)</w:t>
      </w:r>
      <w:r w:rsidR="00FF4D73">
        <w:tab/>
      </w:r>
      <w:r w:rsidR="00FF4D73" w:rsidRPr="006758AE">
        <w:t>содействие</w:t>
      </w:r>
      <w:r w:rsidR="00FF4D73">
        <w:t xml:space="preserve"> развитию «зеленого» транспорта путем проведения обзора технического прогресса в области железнодорожного транспорта, направленного на повышение эффективности транспортных операций (</w:t>
      </w:r>
      <w:r w:rsidR="00FF4D73">
        <w:rPr>
          <w:b/>
          <w:bCs/>
        </w:rPr>
        <w:t>направление B</w:t>
      </w:r>
      <w:r w:rsidR="00FF4D73">
        <w:t>);</w:t>
      </w:r>
    </w:p>
    <w:p w14:paraId="45B20F28" w14:textId="77777777" w:rsidR="00FF4D73" w:rsidRPr="00C7768B" w:rsidRDefault="006758AE" w:rsidP="006758AE">
      <w:pPr>
        <w:pStyle w:val="SingleTxtG"/>
      </w:pPr>
      <w:r>
        <w:tab/>
      </w:r>
      <w:r w:rsidR="00FF4D73">
        <w:t>f)</w:t>
      </w:r>
      <w:r w:rsidR="00FF4D73">
        <w:tab/>
        <w:t xml:space="preserve">оказание помощи в разработке согласованных </w:t>
      </w:r>
      <w:r w:rsidR="00FF4D73" w:rsidRPr="006758AE">
        <w:t>подходов</w:t>
      </w:r>
      <w:r w:rsidR="00FF4D73">
        <w:t xml:space="preserve"> в области безопасности по всему сектору посредством постоянного обсуждения вопросов безопасности на железнодорожном транспорте (</w:t>
      </w:r>
      <w:r w:rsidR="00FF4D73">
        <w:rPr>
          <w:b/>
          <w:bCs/>
        </w:rPr>
        <w:t>направление C</w:t>
      </w:r>
      <w:r w:rsidR="00FF4D73">
        <w:t>);</w:t>
      </w:r>
    </w:p>
    <w:p w14:paraId="5AFC43A7" w14:textId="77777777" w:rsidR="00FF4D73" w:rsidRPr="00C7768B" w:rsidRDefault="006758AE" w:rsidP="006758AE">
      <w:pPr>
        <w:pStyle w:val="SingleTxtG"/>
      </w:pPr>
      <w:r>
        <w:tab/>
      </w:r>
      <w:r w:rsidR="00FF4D73">
        <w:t>g)</w:t>
      </w:r>
      <w:r w:rsidR="00FF4D73">
        <w:tab/>
        <w:t xml:space="preserve">стимулирование развития безопасной </w:t>
      </w:r>
      <w:r w:rsidR="00FF4D73" w:rsidRPr="006758AE">
        <w:t>железнодорожной</w:t>
      </w:r>
      <w:r w:rsidR="00FF4D73">
        <w:t xml:space="preserve"> системы посредством обмена передовым опытом в этой области (</w:t>
      </w:r>
      <w:r w:rsidR="00FF4D73" w:rsidRPr="00C52A8C">
        <w:rPr>
          <w:b/>
          <w:bCs/>
        </w:rPr>
        <w:t>направление D</w:t>
      </w:r>
      <w:r w:rsidR="00FF4D73">
        <w:t>);</w:t>
      </w:r>
    </w:p>
    <w:p w14:paraId="1ABC3A82" w14:textId="77777777" w:rsidR="00FF4D73" w:rsidRPr="00C7768B" w:rsidRDefault="006758AE" w:rsidP="006758AE">
      <w:pPr>
        <w:pStyle w:val="SingleTxtG"/>
      </w:pPr>
      <w:r>
        <w:tab/>
      </w:r>
      <w:r w:rsidR="00FF4D73">
        <w:t>h)</w:t>
      </w:r>
      <w:r w:rsidR="00FF4D73">
        <w:tab/>
      </w:r>
      <w:r w:rsidR="00FF4D73" w:rsidRPr="006758AE">
        <w:t>отслеживание</w:t>
      </w:r>
      <w:r w:rsidR="00FF4D73">
        <w:t xml:space="preserve"> изменений в рамках проекта Трансъевропейской железнодорожной магистрали (ТЕЖ) ЕЭК ООН и изучение дополнительных возможностей для взаимодействия между работой ТЕЖ и SC.2 (</w:t>
      </w:r>
      <w:r w:rsidR="00FF4D73" w:rsidRPr="00C52A8C">
        <w:rPr>
          <w:b/>
          <w:bCs/>
        </w:rPr>
        <w:t>направление D</w:t>
      </w:r>
      <w:r w:rsidR="00FF4D73">
        <w:t>);</w:t>
      </w:r>
    </w:p>
    <w:p w14:paraId="421D42BA" w14:textId="77777777" w:rsidR="00FF4D73" w:rsidRPr="00C7768B" w:rsidRDefault="006758AE" w:rsidP="006758AE">
      <w:pPr>
        <w:pStyle w:val="SingleTxtG"/>
      </w:pPr>
      <w:r>
        <w:tab/>
      </w:r>
      <w:r w:rsidR="00FF4D73">
        <w:t>i)</w:t>
      </w:r>
      <w:r w:rsidR="00FF4D73">
        <w:tab/>
        <w:t xml:space="preserve">оценка, </w:t>
      </w:r>
      <w:r w:rsidR="00FF4D73" w:rsidRPr="006758AE">
        <w:t>исследование</w:t>
      </w:r>
      <w:r w:rsidR="00FF4D73">
        <w:t xml:space="preserve"> и обзор тенденций, изменений и возможностей евро-азиатских железнодорожных перевозок и изучение возможностей для дальнейшего содействия реализации проекта по евро-азиатским транспортным связям (ЕАТС) и сотрудничества с ним, а также подготовка соответствующих выводов и рекомендаций в сотрудничестве с Рабочей группой по тенденциям и экономике; (</w:t>
      </w:r>
      <w:r w:rsidR="00FF4D73" w:rsidRPr="001133CC">
        <w:rPr>
          <w:b/>
          <w:bCs/>
        </w:rPr>
        <w:t>направление C</w:t>
      </w:r>
      <w:r w:rsidR="00FF4D73">
        <w:t>);</w:t>
      </w:r>
    </w:p>
    <w:p w14:paraId="7795A791" w14:textId="77777777" w:rsidR="00FF4D73" w:rsidRPr="00C7768B" w:rsidRDefault="006758AE" w:rsidP="006758AE">
      <w:pPr>
        <w:pStyle w:val="SingleTxtG"/>
      </w:pPr>
      <w:r>
        <w:tab/>
      </w:r>
      <w:r w:rsidR="00FF4D73">
        <w:t>j)</w:t>
      </w:r>
      <w:r w:rsidR="00FF4D73">
        <w:tab/>
        <w:t xml:space="preserve">облегчение </w:t>
      </w:r>
      <w:r w:rsidR="00FF4D73" w:rsidRPr="006758AE">
        <w:t>международных</w:t>
      </w:r>
      <w:r w:rsidR="00FF4D73">
        <w:t xml:space="preserve"> железнодорожных перевозок в общеевропейском регионе посредством усовершенствования процедур пересечения границ и гармонизации технических требований различных железнодорожных систем </w:t>
      </w:r>
      <w:r w:rsidR="00FF4D73">
        <w:lastRenderedPageBreak/>
        <w:t>и их функционирования на границах в свете сотрудничества в Контактной группе между ОСЖД и Европейским железнодорожным агентством (</w:t>
      </w:r>
      <w:r w:rsidR="00FF4D73" w:rsidRPr="001133CC">
        <w:rPr>
          <w:b/>
          <w:bCs/>
        </w:rPr>
        <w:t>направление А</w:t>
      </w:r>
      <w:r w:rsidR="00FF4D73">
        <w:t>);</w:t>
      </w:r>
    </w:p>
    <w:p w14:paraId="434A6940" w14:textId="77777777" w:rsidR="00FF4D73" w:rsidRPr="00C7768B" w:rsidRDefault="006758AE" w:rsidP="006758AE">
      <w:pPr>
        <w:pStyle w:val="SingleTxtG"/>
      </w:pPr>
      <w:r>
        <w:tab/>
      </w:r>
      <w:r w:rsidR="00FF4D73">
        <w:t>k)</w:t>
      </w:r>
      <w:r w:rsidR="00FF4D73">
        <w:tab/>
        <w:t xml:space="preserve">оказание поддержки в реализации программ групп </w:t>
      </w:r>
      <w:r w:rsidR="00FF4D73" w:rsidRPr="006758AE">
        <w:t>экспертов</w:t>
      </w:r>
      <w:r w:rsidR="00FF4D73">
        <w:t xml:space="preserve"> и целевых групп, учрежденных Рабочей группой и Комитетом по внутреннему транспорту для рассмотрения технических и правовых вопросов, касающихся железнодорожного транспорта, и обзор рыночных тенденций, потребностей и вызовов в секторе железнодорожных перевозок, при необходимости посредством создания специальных групп экспертов и проведения исследований (</w:t>
      </w:r>
      <w:r w:rsidR="00FF4D73" w:rsidRPr="00F660FF">
        <w:rPr>
          <w:b/>
          <w:bCs/>
        </w:rPr>
        <w:t>направление А</w:t>
      </w:r>
      <w:r w:rsidR="00FF4D73">
        <w:t>);</w:t>
      </w:r>
    </w:p>
    <w:p w14:paraId="18B49498" w14:textId="77777777" w:rsidR="00FF4D73" w:rsidRPr="00C7768B" w:rsidRDefault="006758AE" w:rsidP="006758AE">
      <w:pPr>
        <w:pStyle w:val="SingleTxtG"/>
      </w:pPr>
      <w:r>
        <w:tab/>
      </w:r>
      <w:r w:rsidR="00FF4D73">
        <w:t>l)</w:t>
      </w:r>
      <w:r w:rsidR="00FF4D73">
        <w:tab/>
        <w:t>отслеживание изменений в общеевропейских железнодорожных транспортных коридорах в сотрудничестве с Европейской комиссией (</w:t>
      </w:r>
      <w:r w:rsidR="00FF4D73" w:rsidRPr="00F660FF">
        <w:rPr>
          <w:b/>
          <w:bCs/>
        </w:rPr>
        <w:t>направление</w:t>
      </w:r>
      <w:r w:rsidR="00FF4D73">
        <w:rPr>
          <w:b/>
          <w:bCs/>
        </w:rPr>
        <w:t> </w:t>
      </w:r>
      <w:r w:rsidR="00FF4D73" w:rsidRPr="00F660FF">
        <w:rPr>
          <w:b/>
          <w:bCs/>
        </w:rPr>
        <w:t>C</w:t>
      </w:r>
      <w:r w:rsidR="00FF4D73">
        <w:t>);</w:t>
      </w:r>
    </w:p>
    <w:p w14:paraId="62B5449D" w14:textId="77777777" w:rsidR="00FF4D73" w:rsidRPr="00C7768B" w:rsidRDefault="006758AE" w:rsidP="006758AE">
      <w:pPr>
        <w:pStyle w:val="SingleTxtG"/>
      </w:pPr>
      <w:r>
        <w:tab/>
      </w:r>
      <w:r w:rsidR="00FF4D73">
        <w:t>m)</w:t>
      </w:r>
      <w:r w:rsidR="00FF4D73">
        <w:tab/>
        <w:t xml:space="preserve">обзор общих </w:t>
      </w:r>
      <w:r w:rsidR="00FF4D73" w:rsidRPr="006758AE">
        <w:t>тенденций</w:t>
      </w:r>
      <w:r w:rsidR="00FF4D73">
        <w:t xml:space="preserve"> на железнодорожном транспорте и политики в области железнодорожного транспорта, анализ конкретных экономических аспектов железнодорожных перевозок, оказание помощи в сборе, компиляции и распространении статистических данных о железнодорожном транспорте в сотрудничестве с Рабочей группой по статистике транспорта (WP.6), другими правительственными и неправительственными организациями, группами экспертов и целевыми группами и подготовка докладов, обзоров и публикаций по вопросам развития железнодорожного транспорта и оптимальной практике (</w:t>
      </w:r>
      <w:r w:rsidR="00FF4D73">
        <w:rPr>
          <w:b/>
          <w:bCs/>
        </w:rPr>
        <w:t>направление C</w:t>
      </w:r>
      <w:r w:rsidR="00FF4D73">
        <w:t>).</w:t>
      </w:r>
    </w:p>
    <w:p w14:paraId="5F161A1E" w14:textId="77777777" w:rsidR="00FF4D73" w:rsidRPr="00C7768B" w:rsidRDefault="00FF4D73" w:rsidP="006758AE">
      <w:pPr>
        <w:pStyle w:val="SingleTxtG"/>
      </w:pPr>
      <w:r>
        <w:t>5.</w:t>
      </w:r>
      <w:r>
        <w:tab/>
        <w:t xml:space="preserve">SC.2 будет стимулировать и обеспечивать </w:t>
      </w:r>
      <w:r w:rsidRPr="006758AE">
        <w:t>техническое</w:t>
      </w:r>
      <w:r>
        <w:t xml:space="preserve"> сотрудничество и наращивание потенциала в области железнодорожного транспорта.</w:t>
      </w:r>
    </w:p>
    <w:p w14:paraId="6DF4DDFE" w14:textId="77777777" w:rsidR="00FF4D73" w:rsidRPr="00C7768B" w:rsidRDefault="00FF4D73" w:rsidP="006758AE">
      <w:pPr>
        <w:pStyle w:val="SingleTxtG"/>
      </w:pPr>
      <w:r>
        <w:t>6.</w:t>
      </w:r>
      <w:r>
        <w:tab/>
        <w:t xml:space="preserve">SC.2 будет поощрять участие в ее работе путем стимулирования сотрудничества и взаимодействия с Европейской комиссией, межправительственными и неправительственными организациями и другими региональными </w:t>
      </w:r>
      <w:r w:rsidRPr="006758AE">
        <w:t>комиссиями</w:t>
      </w:r>
      <w:r>
        <w:t xml:space="preserve"> Организации Объединенных Наций, а также организациями и органами системы Организации Объединенных Наций.</w:t>
      </w:r>
    </w:p>
    <w:p w14:paraId="65F54518" w14:textId="77777777" w:rsidR="00FF4D73" w:rsidRDefault="00FF4D73" w:rsidP="006758AE">
      <w:pPr>
        <w:pStyle w:val="SingleTxtG"/>
      </w:pPr>
      <w:r>
        <w:t>7.</w:t>
      </w:r>
      <w:r>
        <w:tab/>
        <w:t xml:space="preserve">SC.2 будет тесно сотрудничать с другими </w:t>
      </w:r>
      <w:r w:rsidRPr="006758AE">
        <w:t>вспомогательными</w:t>
      </w:r>
      <w:r>
        <w:t xml:space="preserve"> органами КВТ и другими органами ЕЭК ООН по вопросам, представляющим общий интерес.</w:t>
      </w:r>
    </w:p>
    <w:p w14:paraId="0D68923F" w14:textId="77777777" w:rsidR="006758AE" w:rsidRDefault="006758AE" w:rsidP="006758AE">
      <w:pPr>
        <w:pStyle w:val="SingleTxtG"/>
      </w:pPr>
    </w:p>
    <w:p w14:paraId="7FBF3D45" w14:textId="77777777" w:rsidR="003C6FB1" w:rsidRDefault="003C6FB1" w:rsidP="006758AE">
      <w:pPr>
        <w:pStyle w:val="SingleTxtG"/>
        <w:sectPr w:rsidR="003C6FB1" w:rsidSect="00FF4D73">
          <w:headerReference w:type="even" r:id="rId8"/>
          <w:headerReference w:type="default" r:id="rId9"/>
          <w:footerReference w:type="even" r:id="rId10"/>
          <w:footerReference w:type="default" r:id="rId11"/>
          <w:footerReference w:type="first" r:id="rId12"/>
          <w:endnotePr>
            <w:numFmt w:val="decimal"/>
          </w:endnotePr>
          <w:pgSz w:w="11906" w:h="16838" w:code="9"/>
          <w:pgMar w:top="1418" w:right="1134" w:bottom="1134" w:left="1134" w:header="851" w:footer="567" w:gutter="0"/>
          <w:cols w:space="708"/>
          <w:titlePg/>
          <w:docGrid w:linePitch="360"/>
        </w:sectPr>
      </w:pPr>
    </w:p>
    <w:p w14:paraId="669E7DB8" w14:textId="77777777" w:rsidR="003C6FB1" w:rsidRPr="00C7768B" w:rsidRDefault="003C6FB1" w:rsidP="003C6FB1">
      <w:pPr>
        <w:pStyle w:val="HChG"/>
        <w:pageBreakBefore/>
      </w:pPr>
      <w:r>
        <w:rPr>
          <w:bCs/>
        </w:rPr>
        <w:lastRenderedPageBreak/>
        <w:t>Приложение II</w:t>
      </w:r>
    </w:p>
    <w:p w14:paraId="6949ED35" w14:textId="77777777" w:rsidR="003C6FB1" w:rsidRPr="00C7768B" w:rsidRDefault="003C6FB1" w:rsidP="003C6FB1">
      <w:pPr>
        <w:pStyle w:val="HChG"/>
        <w:spacing w:before="280"/>
      </w:pPr>
      <w:r>
        <w:tab/>
      </w:r>
      <w:r>
        <w:tab/>
      </w:r>
      <w:r>
        <w:tab/>
      </w:r>
      <w:r>
        <w:rPr>
          <w:bCs/>
        </w:rPr>
        <w:t>Круг ведения Группы экспертов по международным узлам железнодорожных пассажирских перевозок</w:t>
      </w:r>
      <w:r w:rsidRPr="00EE47A1">
        <w:rPr>
          <w:rStyle w:val="aa"/>
          <w:b w:val="0"/>
          <w:bCs/>
        </w:rPr>
        <w:footnoteReference w:id="2"/>
      </w:r>
    </w:p>
    <w:p w14:paraId="541E03A3" w14:textId="77777777" w:rsidR="003C6FB1" w:rsidRPr="00C7768B" w:rsidRDefault="003C6FB1" w:rsidP="003C6FB1">
      <w:pPr>
        <w:pStyle w:val="H23G"/>
      </w:pPr>
      <w:r>
        <w:tab/>
      </w:r>
      <w:r>
        <w:tab/>
      </w:r>
      <w:r>
        <w:rPr>
          <w:bCs/>
        </w:rPr>
        <w:t>Круг вопросов и ожидаемые результаты</w:t>
      </w:r>
    </w:p>
    <w:p w14:paraId="1E7E67F2" w14:textId="77777777" w:rsidR="003C6FB1" w:rsidRPr="00C7768B" w:rsidRDefault="003C6FB1" w:rsidP="003C6FB1">
      <w:pPr>
        <w:pStyle w:val="SingleTxtG"/>
      </w:pPr>
      <w:r>
        <w:t>1.</w:t>
      </w:r>
      <w:r>
        <w:tab/>
        <w:t>Группа экспертов сосредоточит свою деятельность на следующих вопросах:</w:t>
      </w:r>
    </w:p>
    <w:p w14:paraId="72667FAF" w14:textId="77777777" w:rsidR="003C6FB1" w:rsidRPr="00C7768B" w:rsidRDefault="003C6FB1" w:rsidP="003C6FB1">
      <w:pPr>
        <w:pStyle w:val="SingleTxtG"/>
      </w:pPr>
      <w:r>
        <w:tab/>
        <w:t>a)</w:t>
      </w:r>
      <w:r>
        <w:tab/>
        <w:t>выявлении технических и эксплуатационных параметров, необходимых для определения понятия «международный узел или международные узлы железнодорожных пассажирских перевозок»;</w:t>
      </w:r>
    </w:p>
    <w:p w14:paraId="613D556F" w14:textId="77777777" w:rsidR="003C6FB1" w:rsidRPr="00C7768B" w:rsidRDefault="003C6FB1" w:rsidP="003C6FB1">
      <w:pPr>
        <w:pStyle w:val="SingleTxtG"/>
      </w:pPr>
      <w:r>
        <w:tab/>
        <w:t>b)</w:t>
      </w:r>
      <w:r>
        <w:tab/>
        <w:t>выявлении станций сети СМЖЛ, которые следует определить как «международные узлы железнодорожных пассажирских перевозок», и определении в соответствующих случаях их типа;</w:t>
      </w:r>
    </w:p>
    <w:p w14:paraId="09035CB8" w14:textId="77777777" w:rsidR="003C6FB1" w:rsidRPr="00C7768B" w:rsidRDefault="003C6FB1" w:rsidP="003C6FB1">
      <w:pPr>
        <w:pStyle w:val="SingleTxtG"/>
      </w:pPr>
      <w:r>
        <w:tab/>
        <w:t>c)</w:t>
      </w:r>
      <w:r>
        <w:tab/>
        <w:t>определении того, какой правовой документ или инструмент следует использовать для выявления и создания таких «международных узлов железнодорожных пассажирских перевозок», и разработке необходимых правовых положений;</w:t>
      </w:r>
    </w:p>
    <w:p w14:paraId="6108A6B4" w14:textId="77777777" w:rsidR="003C6FB1" w:rsidRPr="00C7768B" w:rsidRDefault="004237A7" w:rsidP="004237A7">
      <w:pPr>
        <w:pStyle w:val="SingleTxtG"/>
      </w:pPr>
      <w:r>
        <w:tab/>
      </w:r>
      <w:r w:rsidR="003C6FB1">
        <w:t>d)</w:t>
      </w:r>
      <w:r w:rsidR="003C6FB1">
        <w:tab/>
      </w:r>
      <w:r w:rsidR="003C6FB1" w:rsidRPr="004237A7">
        <w:t>анализе</w:t>
      </w:r>
      <w:r w:rsidR="003C6FB1">
        <w:t xml:space="preserve"> нормативно-правовой базы, регулирующей международные пассажирские перевозки, с целью выявления ограничений, препятствующих развитию международных пассажирских перевозок железнодорожным транспортом в сообщении Восток</w:t>
      </w:r>
      <w:r>
        <w:t xml:space="preserve"> </w:t>
      </w:r>
      <w:r w:rsidR="003C6FB1">
        <w:t>— Запад, и подготовке рекомендаций по ее совершенствованию;</w:t>
      </w:r>
    </w:p>
    <w:p w14:paraId="23F03982" w14:textId="77777777" w:rsidR="003C6FB1" w:rsidRPr="00C7768B" w:rsidRDefault="004237A7" w:rsidP="004237A7">
      <w:pPr>
        <w:pStyle w:val="SingleTxtG"/>
      </w:pPr>
      <w:r>
        <w:tab/>
      </w:r>
      <w:r w:rsidR="003C6FB1">
        <w:t>e)</w:t>
      </w:r>
      <w:r w:rsidR="003C6FB1">
        <w:tab/>
        <w:t xml:space="preserve">подготовке </w:t>
      </w:r>
      <w:r w:rsidR="003C6FB1" w:rsidRPr="004237A7">
        <w:t>документа</w:t>
      </w:r>
      <w:r w:rsidR="003C6FB1">
        <w:t xml:space="preserve"> (рекомендации, совместный план действий, резолюция КВТ ЕЭК) о мерах по поддержке международных железнодорожных перевозчиков в контексте кризиса, вызванного пандемией новой </w:t>
      </w:r>
      <w:proofErr w:type="spellStart"/>
      <w:r w:rsidR="003C6FB1">
        <w:t>коронавирусной</w:t>
      </w:r>
      <w:proofErr w:type="spellEnd"/>
      <w:r w:rsidR="003C6FB1">
        <w:t xml:space="preserve"> инфекции COVID-19;</w:t>
      </w:r>
    </w:p>
    <w:p w14:paraId="51DAFC34" w14:textId="77777777" w:rsidR="003C6FB1" w:rsidRPr="00C7768B" w:rsidRDefault="003C6FB1" w:rsidP="003C6FB1">
      <w:pPr>
        <w:pStyle w:val="SingleTxtG"/>
      </w:pPr>
      <w:r>
        <w:tab/>
        <w:t>f)</w:t>
      </w:r>
      <w:r>
        <w:tab/>
        <w:t>представлении предложений о дальнейших путях работы в форме доклада, рассматриваемого Рабочей группой по железнодорожному транспорту.</w:t>
      </w:r>
    </w:p>
    <w:p w14:paraId="590A37C6" w14:textId="77777777" w:rsidR="003C6FB1" w:rsidRPr="00C7768B" w:rsidRDefault="004237A7" w:rsidP="004237A7">
      <w:pPr>
        <w:pStyle w:val="H23G"/>
      </w:pPr>
      <w:r>
        <w:tab/>
      </w:r>
      <w:r>
        <w:tab/>
      </w:r>
      <w:r w:rsidR="003C6FB1">
        <w:t>Методы работы</w:t>
      </w:r>
    </w:p>
    <w:p w14:paraId="780A7B72" w14:textId="77777777" w:rsidR="003C6FB1" w:rsidRPr="00C7768B" w:rsidRDefault="003C6FB1" w:rsidP="003C6FB1">
      <w:pPr>
        <w:pStyle w:val="SingleTxtG"/>
      </w:pPr>
      <w:r>
        <w:t>2.</w:t>
      </w:r>
      <w:r>
        <w:tab/>
        <w:t>Группе экспертов следует принять во внимание уже действующие правовые документы, стандарты и руководства по определению различных типов станций, разработанные Европейским железнодорожным агентством, ОСЖД, МСЖД, операторами железных дорог и управляющими железнодорожной инфраструктурой, а также отраслевыми экспертами. Кроме того, ей следует рассмотреть примеры передовой практики в других секторах с уделением особого внимания сектору воздушного транспорта.</w:t>
      </w:r>
    </w:p>
    <w:p w14:paraId="452EC06C" w14:textId="77777777" w:rsidR="003C6FB1" w:rsidRPr="00C7768B" w:rsidRDefault="003C6FB1" w:rsidP="003C6FB1">
      <w:pPr>
        <w:pStyle w:val="SingleTxtG"/>
      </w:pPr>
      <w:r>
        <w:t>3.</w:t>
      </w:r>
      <w:r>
        <w:tab/>
        <w:t>Группа экспертов учреждается и будет функционировать в соответствии с Руководящими принципами создания и функционирования групп специалистов в рамках ЕЭК, утвержденными Исполнительным комитетом ЕЭК 31 марта 2010 года (ECE/EX/2/Rev.1). На своем первом совещании Группа экспертов утвердит план работы, в котором будут четко установлены цели и виды деятельности, включая сроки их выполнения.</w:t>
      </w:r>
    </w:p>
    <w:p w14:paraId="2D98BA64" w14:textId="77777777" w:rsidR="003C6FB1" w:rsidRPr="00C7768B" w:rsidRDefault="003C6FB1" w:rsidP="003C6FB1">
      <w:pPr>
        <w:pStyle w:val="SingleTxtG"/>
      </w:pPr>
      <w:r>
        <w:t>4.</w:t>
      </w:r>
      <w:r>
        <w:tab/>
        <w:t>Предполагается, что Группа экспертов проведет два совещания в 2021 году, по крайней мере два совещания в 2022 году и по крайней мере два совещания в 2023 году во Дворце Наций в Женеве (при необходимости также в смешанной форме), перед тем как завершить свою деятельность путем представления доклада Рабочей группе по железнодорожному транспорту на ее семьдесят седьмой сессии (ноябрь 2023 года, Женева).</w:t>
      </w:r>
    </w:p>
    <w:p w14:paraId="573348EC" w14:textId="77777777" w:rsidR="003C6FB1" w:rsidRPr="00C7768B" w:rsidRDefault="003C6FB1" w:rsidP="003C6FB1">
      <w:pPr>
        <w:pStyle w:val="SingleTxtG"/>
      </w:pPr>
      <w:r>
        <w:lastRenderedPageBreak/>
        <w:t>5.</w:t>
      </w:r>
      <w:r>
        <w:tab/>
        <w:t>Подготовка документов (по крайней мере четыре документа на каждую сессию), письменный перевод документов на официальные языки ЕЭК и синхронный перевод на английский, русский и французский языки будут осуществляться силами ЕЭК для всех сессий Группы, проводимых во Дворце Наций в Женеве.</w:t>
      </w:r>
    </w:p>
    <w:p w14:paraId="65816138" w14:textId="77777777" w:rsidR="003C6FB1" w:rsidRPr="00C7768B" w:rsidRDefault="003C6FB1" w:rsidP="003C6FB1">
      <w:pPr>
        <w:pStyle w:val="SingleTxtG"/>
      </w:pPr>
      <w:r>
        <w:t>6.</w:t>
      </w:r>
      <w:r>
        <w:tab/>
        <w:t xml:space="preserve">Участие в работе Группы экспертов открыто для всех заинтересованных </w:t>
      </w:r>
      <w:r w:rsidR="004237A7">
        <w:br/>
      </w:r>
      <w:r>
        <w:t>стран</w:t>
      </w:r>
      <w:r w:rsidR="004237A7">
        <w:t xml:space="preserve"> </w:t>
      </w:r>
      <w:r>
        <w:t>— членов Организации Объединенных Наций и экспертов. В ее работе предлагается принять участие заинтересованным межправительственным и неправительственным организациям, а также заинтересованным органам железнодорожных администраций и компаний, ассоциациям пассажиров и связанным с ними организациям, которые могут представлять свои экспертные мнения в соответствии с правилами и существующей практикой Организации Объединенных Наций.</w:t>
      </w:r>
    </w:p>
    <w:p w14:paraId="2F7B993B" w14:textId="77777777" w:rsidR="003C6FB1" w:rsidRPr="00C7768B" w:rsidRDefault="004237A7" w:rsidP="004237A7">
      <w:pPr>
        <w:pStyle w:val="H23G"/>
      </w:pPr>
      <w:r>
        <w:tab/>
      </w:r>
      <w:r>
        <w:tab/>
      </w:r>
      <w:r w:rsidR="003C6FB1">
        <w:t>Секретариат</w:t>
      </w:r>
    </w:p>
    <w:p w14:paraId="33B237E3" w14:textId="77777777" w:rsidR="006758AE" w:rsidRDefault="003C6FB1" w:rsidP="003C6FB1">
      <w:pPr>
        <w:pStyle w:val="SingleTxtG"/>
      </w:pPr>
      <w:r>
        <w:t>7.</w:t>
      </w:r>
      <w:r>
        <w:tab/>
      </w:r>
      <w:proofErr w:type="spellStart"/>
      <w:r>
        <w:t>Секретариатское</w:t>
      </w:r>
      <w:proofErr w:type="spellEnd"/>
      <w:r>
        <w:t xml:space="preserve"> обслуживание Группы экспертов будет обеспечивать ЕЭК.</w:t>
      </w:r>
    </w:p>
    <w:p w14:paraId="5716D5EE" w14:textId="77777777" w:rsidR="003C6FB1" w:rsidRDefault="003C6FB1" w:rsidP="003C6FB1">
      <w:pPr>
        <w:suppressAutoHyphens w:val="0"/>
        <w:spacing w:line="240" w:lineRule="auto"/>
        <w:rPr>
          <w:rFonts w:eastAsia="Times New Roman" w:cs="Times New Roman"/>
          <w:szCs w:val="20"/>
        </w:rPr>
      </w:pPr>
    </w:p>
    <w:p w14:paraId="2219FCD4" w14:textId="77777777" w:rsidR="004237A7" w:rsidRDefault="004237A7" w:rsidP="003C6FB1">
      <w:pPr>
        <w:suppressAutoHyphens w:val="0"/>
        <w:spacing w:line="240" w:lineRule="auto"/>
        <w:rPr>
          <w:rFonts w:eastAsia="Times New Roman" w:cs="Times New Roman"/>
          <w:szCs w:val="20"/>
        </w:rPr>
        <w:sectPr w:rsidR="004237A7" w:rsidSect="003C6FB1">
          <w:headerReference w:type="even" r:id="rId13"/>
          <w:footerReference w:type="even" r:id="rId14"/>
          <w:headerReference w:type="first" r:id="rId15"/>
          <w:footerReference w:type="first" r:id="rId16"/>
          <w:footnotePr>
            <w:numRestart w:val="eachSect"/>
          </w:footnotePr>
          <w:endnotePr>
            <w:numFmt w:val="decimal"/>
          </w:endnotePr>
          <w:pgSz w:w="11906" w:h="16838" w:code="9"/>
          <w:pgMar w:top="1417" w:right="1134" w:bottom="1134" w:left="1134" w:header="850" w:footer="567" w:gutter="0"/>
          <w:cols w:space="708"/>
          <w:docGrid w:linePitch="360"/>
        </w:sectPr>
      </w:pPr>
    </w:p>
    <w:p w14:paraId="5A052409" w14:textId="77777777" w:rsidR="004237A7" w:rsidRPr="00C7768B" w:rsidRDefault="004237A7" w:rsidP="004237A7">
      <w:pPr>
        <w:pStyle w:val="HChG"/>
        <w:pageBreakBefore/>
      </w:pPr>
      <w:r>
        <w:rPr>
          <w:bCs/>
        </w:rPr>
        <w:lastRenderedPageBreak/>
        <w:t>Приложение III</w:t>
      </w:r>
    </w:p>
    <w:p w14:paraId="12445101" w14:textId="77777777" w:rsidR="004237A7" w:rsidRPr="00C7768B" w:rsidRDefault="004237A7" w:rsidP="004237A7">
      <w:pPr>
        <w:pStyle w:val="HChG"/>
      </w:pPr>
      <w:r>
        <w:tab/>
      </w:r>
      <w:r>
        <w:tab/>
        <w:t xml:space="preserve">Круг </w:t>
      </w:r>
      <w:r w:rsidRPr="004237A7">
        <w:t>ведения</w:t>
      </w:r>
      <w:r>
        <w:t xml:space="preserve"> Группы экспертов по разработке </w:t>
      </w:r>
      <w:r>
        <w:br/>
        <w:t xml:space="preserve">нового правового документа об использовании автоматизированных транспортных средств </w:t>
      </w:r>
      <w:r>
        <w:br/>
        <w:t>в дорожном движении</w:t>
      </w:r>
      <w:r w:rsidRPr="00D15B22">
        <w:rPr>
          <w:rStyle w:val="aa"/>
          <w:b w:val="0"/>
          <w:bCs/>
        </w:rPr>
        <w:footnoteReference w:id="3"/>
      </w:r>
    </w:p>
    <w:p w14:paraId="61E43DC5" w14:textId="77777777" w:rsidR="004237A7" w:rsidRPr="00C7768B" w:rsidRDefault="004237A7" w:rsidP="004237A7">
      <w:pPr>
        <w:pStyle w:val="SingleTxtG"/>
      </w:pPr>
      <w:r>
        <w:t>1.</w:t>
      </w:r>
      <w:r>
        <w:tab/>
        <w:t>Эта Группа экспертов учреждена для подготовки проекта нового правового документа об использовании автоматизированных транспортных средств в условиях внутреннего и международного дорожного движения.</w:t>
      </w:r>
    </w:p>
    <w:p w14:paraId="0C22A76E" w14:textId="77777777" w:rsidR="004237A7" w:rsidRPr="00C7768B" w:rsidRDefault="004237A7" w:rsidP="004237A7">
      <w:pPr>
        <w:pStyle w:val="SingleTxtG"/>
      </w:pPr>
      <w:r>
        <w:t>2.</w:t>
      </w:r>
      <w:r>
        <w:tab/>
        <w:t>Группа экспертов учреждена в соответствии с «Руководящими принципами создания и функционирования групп специалистов» (ECE/EX/2/Rev.1).</w:t>
      </w:r>
    </w:p>
    <w:p w14:paraId="287DD9EA" w14:textId="77777777" w:rsidR="004237A7" w:rsidRDefault="004237A7" w:rsidP="004237A7">
      <w:pPr>
        <w:pStyle w:val="SingleTxtG"/>
      </w:pPr>
      <w:r>
        <w:t>3.</w:t>
      </w:r>
      <w:r>
        <w:tab/>
      </w:r>
      <w:r>
        <w:rPr>
          <w:strike/>
        </w:rPr>
        <w:t>Вышестоящим</w:t>
      </w:r>
      <w:r>
        <w:t xml:space="preserve"> </w:t>
      </w:r>
      <w:r>
        <w:rPr>
          <w:b/>
          <w:bCs/>
        </w:rPr>
        <w:t xml:space="preserve">Контрольным </w:t>
      </w:r>
      <w:r>
        <w:t xml:space="preserve">органом Группы является Глобальный форум по безопасности дорожного движения (WP.1). </w:t>
      </w:r>
      <w:proofErr w:type="spellStart"/>
      <w:r>
        <w:t>Секретариатское</w:t>
      </w:r>
      <w:proofErr w:type="spellEnd"/>
      <w:r>
        <w:t xml:space="preserve"> обслуживание будет обеспечивать секретариат ЕЭК согласно соответствующим правилам и положениям ЕЭК. Рабочими языками Группы являются английский, русский и французский. Вместе с тем это зависит от предоставления таких услуг, обеспечиваемых в рамках </w:t>
      </w:r>
      <w:proofErr w:type="spellStart"/>
      <w:r>
        <w:t>конференционного</w:t>
      </w:r>
      <w:proofErr w:type="spellEnd"/>
      <w:r>
        <w:t xml:space="preserve"> управления ЮНОГ, как обработка документов и синхронный перевод.</w:t>
      </w:r>
    </w:p>
    <w:p w14:paraId="7F1DAD43" w14:textId="77777777" w:rsidR="004237A7" w:rsidRDefault="004237A7" w:rsidP="004237A7">
      <w:pPr>
        <w:pStyle w:val="SingleTxtG"/>
      </w:pPr>
      <w:r>
        <w:t>4.</w:t>
      </w:r>
      <w:r>
        <w:tab/>
        <w:t>Главный результат работы Группы экспертов заключается в подготовке проекта нового правового документа, который, как предполагается, дополнит Конвенции о дорожном движении 1949 и 1968 годов. Помимо типовых разделов, касающихся определений и заключительных положений, он будет включать набор правовых положений относительно внедрения автоматизированных транспортных средств в практику международного дорожного движения. Эти положения будут конкретно нацелены на обеспечение безопасности дорожного движения, в частности безопасности уязвимых участников дорожного движения.</w:t>
      </w:r>
    </w:p>
    <w:p w14:paraId="308CD994" w14:textId="77777777" w:rsidR="004237A7" w:rsidRPr="00C7768B" w:rsidRDefault="004237A7" w:rsidP="004237A7">
      <w:pPr>
        <w:pStyle w:val="SingleTxtG"/>
      </w:pPr>
      <w:r>
        <w:t>5.</w:t>
      </w:r>
      <w:r>
        <w:tab/>
        <w:t>Группа экспертов будет функционировать в течение двух лет (с возможным продлением этого срока) начиная с 1 июля 2021 года. Правила процедуры Группы содержатся в «Руководящих принципах создания и функционирования групп специалистов» (ECE/EX/2/Rev.1), а также в других применимых документах ЕЭК.</w:t>
      </w:r>
    </w:p>
    <w:p w14:paraId="2683CE85" w14:textId="77777777" w:rsidR="004237A7" w:rsidRDefault="004237A7" w:rsidP="004237A7">
      <w:pPr>
        <w:pStyle w:val="SingleTxtG"/>
      </w:pPr>
      <w:r>
        <w:t>6.</w:t>
      </w:r>
      <w:r>
        <w:tab/>
        <w:t xml:space="preserve">Учреждение Группы экспертов не потребует дополнительных ресурсов. Вспомогательная работа будет проводиться в рамках существующих возможностей секретариата ЕЭК. Ресурсы ЮНОГ будут использоваться для обеспечения синхронного перевода, письменного перевода документов и </w:t>
      </w:r>
      <w:proofErr w:type="spellStart"/>
      <w:r>
        <w:t>конференционного</w:t>
      </w:r>
      <w:proofErr w:type="spellEnd"/>
      <w:r>
        <w:t xml:space="preserve"> обслуживания.</w:t>
      </w:r>
    </w:p>
    <w:p w14:paraId="2996904C" w14:textId="77777777" w:rsidR="004237A7" w:rsidRPr="00C7768B" w:rsidRDefault="004237A7" w:rsidP="004237A7">
      <w:pPr>
        <w:pStyle w:val="SingleTxtG"/>
      </w:pPr>
      <w:r>
        <w:t>7.</w:t>
      </w:r>
      <w:r>
        <w:tab/>
        <w:t>Группа экспертов должна периодически проводить консультации с Глобальным форумом по безопасности дорожного движения (WP.1). Число официальных консультаций будет составлять не менее двух в год (они будут совпадать с очередными сессиями WP.1).</w:t>
      </w:r>
    </w:p>
    <w:p w14:paraId="102A6E22" w14:textId="77777777" w:rsidR="004237A7" w:rsidRPr="00C7768B" w:rsidRDefault="004237A7" w:rsidP="004237A7">
      <w:pPr>
        <w:pStyle w:val="SingleTxtG"/>
      </w:pPr>
      <w:r>
        <w:t>8.</w:t>
      </w:r>
      <w:r>
        <w:tab/>
        <w:t>Группа будет проводить не менее двух официальных пленарных совещаний в год в помещениях ЕЭК в Женеве. В промежутках между официальными сессиями Группа может выбирать свои собственные методы работы.</w:t>
      </w:r>
    </w:p>
    <w:p w14:paraId="46CFBC82" w14:textId="77777777" w:rsidR="004237A7" w:rsidRPr="00C7768B" w:rsidRDefault="004237A7" w:rsidP="004237A7">
      <w:pPr>
        <w:pStyle w:val="SingleTxtG"/>
      </w:pPr>
      <w:r>
        <w:t>9.</w:t>
      </w:r>
      <w:r>
        <w:tab/>
        <w:t xml:space="preserve">По завершении выполнения своей задачи Группа экспертов представит своему </w:t>
      </w:r>
      <w:r>
        <w:rPr>
          <w:strike/>
        </w:rPr>
        <w:t>вышестоящему</w:t>
      </w:r>
      <w:r>
        <w:t xml:space="preserve"> </w:t>
      </w:r>
      <w:r>
        <w:rPr>
          <w:b/>
          <w:bCs/>
        </w:rPr>
        <w:t>контрольному</w:t>
      </w:r>
      <w:r>
        <w:t xml:space="preserve"> органу полный проект нового правового документа для рассмотрения и принятия решения.</w:t>
      </w:r>
    </w:p>
    <w:p w14:paraId="2A7F9CDF" w14:textId="77777777" w:rsidR="004237A7" w:rsidRDefault="004237A7" w:rsidP="004237A7">
      <w:pPr>
        <w:pStyle w:val="SingleTxtG"/>
      </w:pPr>
      <w:r>
        <w:t>10.</w:t>
      </w:r>
      <w:r>
        <w:tab/>
        <w:t xml:space="preserve">В соответствии с «Руководящими принципами создания и функционирования групп специалистов» (ECE/EX/2/Rev.1) участие в работе Группы будет обычно </w:t>
      </w:r>
      <w:r>
        <w:lastRenderedPageBreak/>
        <w:t>ограничено представителями, которые официально назначены правительствами Договаривающихся сторон Конвенции о дорожном движении 1968 года и Конвенции о дорожном движении 1949 года.</w:t>
      </w:r>
    </w:p>
    <w:p w14:paraId="7CB1E216" w14:textId="77777777" w:rsidR="004237A7" w:rsidRPr="00C7768B" w:rsidRDefault="004237A7" w:rsidP="004237A7">
      <w:pPr>
        <w:pStyle w:val="SingleTxtG"/>
      </w:pPr>
      <w:r>
        <w:t>11.</w:t>
      </w:r>
      <w:r>
        <w:tab/>
        <w:t>Настоятельно рекомендуется обеспечить, чтобы представители, назначаемые в соответствии с пунктом 10, обладали профессиональным опытом в области безопасности дорожного движения, дорожного права и/или транспортной политики. Приемлемо также назначение представителей с опытом академической и/или исследовательской деятельности в области безопасности дорожного движения, дорожного права и/или транспортной политики. Кроме того, правительства могут рассмотреть вопрос о назначении специалистов, располагающих специальными знаниями в дополнение к квалификации, упомянутой в настоящем пункте.</w:t>
      </w:r>
      <w:bookmarkStart w:id="1" w:name="_Hlk44406906"/>
      <w:bookmarkEnd w:id="1"/>
    </w:p>
    <w:p w14:paraId="4F3B6658" w14:textId="77777777" w:rsidR="004237A7" w:rsidRPr="00C7768B" w:rsidRDefault="004237A7" w:rsidP="004237A7">
      <w:pPr>
        <w:pStyle w:val="SingleTxtG"/>
      </w:pPr>
      <w:r>
        <w:t>12.</w:t>
      </w:r>
      <w:r>
        <w:tab/>
        <w:t>Председатель этой Группы экспертов может иногда приглашать представителей любых межправительственных организаций, научных кругов или научно-исследовательских институтов принять участие в консультативном качестве в рассмотрении любого вопроса, представляющего особый интерес для данной структуры.</w:t>
      </w:r>
    </w:p>
    <w:p w14:paraId="34D21DA7" w14:textId="77777777" w:rsidR="004237A7" w:rsidRPr="00C7768B" w:rsidRDefault="004237A7" w:rsidP="004237A7">
      <w:pPr>
        <w:spacing w:before="240"/>
        <w:jc w:val="center"/>
        <w:rPr>
          <w:u w:val="single"/>
        </w:rPr>
      </w:pPr>
      <w:r w:rsidRPr="00C7768B">
        <w:rPr>
          <w:u w:val="single"/>
        </w:rPr>
        <w:tab/>
      </w:r>
      <w:r w:rsidRPr="00C7768B">
        <w:rPr>
          <w:u w:val="single"/>
        </w:rPr>
        <w:tab/>
      </w:r>
      <w:r w:rsidRPr="00C7768B">
        <w:rPr>
          <w:u w:val="single"/>
        </w:rPr>
        <w:tab/>
      </w:r>
    </w:p>
    <w:sectPr w:rsidR="004237A7" w:rsidRPr="00C7768B" w:rsidSect="004237A7">
      <w:headerReference w:type="even" r:id="rId17"/>
      <w:headerReference w:type="default" r:id="rId18"/>
      <w:footerReference w:type="even" r:id="rId19"/>
      <w:footerReference w:type="default" r:id="rId20"/>
      <w:footnotePr>
        <w:numRestart w:val="eachSect"/>
      </w:footnotePr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2C3FD1" w14:textId="77777777" w:rsidR="00697265" w:rsidRPr="00A312BC" w:rsidRDefault="00697265" w:rsidP="00A312BC"/>
  </w:endnote>
  <w:endnote w:type="continuationSeparator" w:id="0">
    <w:p w14:paraId="2622558D" w14:textId="77777777" w:rsidR="00697265" w:rsidRPr="00A312BC" w:rsidRDefault="00697265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85A844" w14:textId="77777777" w:rsidR="00FF4D73" w:rsidRPr="00FF4D73" w:rsidRDefault="00FF4D73">
    <w:pPr>
      <w:pStyle w:val="a8"/>
    </w:pPr>
    <w:r w:rsidRPr="00FF4D73">
      <w:rPr>
        <w:b/>
        <w:sz w:val="18"/>
      </w:rPr>
      <w:fldChar w:fldCharType="begin"/>
    </w:r>
    <w:r w:rsidRPr="00FF4D73">
      <w:rPr>
        <w:b/>
        <w:sz w:val="18"/>
      </w:rPr>
      <w:instrText xml:space="preserve"> PAGE  \* MERGEFORMAT </w:instrText>
    </w:r>
    <w:r w:rsidRPr="00FF4D73">
      <w:rPr>
        <w:b/>
        <w:sz w:val="18"/>
      </w:rPr>
      <w:fldChar w:fldCharType="separate"/>
    </w:r>
    <w:r w:rsidRPr="00FF4D73">
      <w:rPr>
        <w:b/>
        <w:noProof/>
        <w:sz w:val="18"/>
      </w:rPr>
      <w:t>2</w:t>
    </w:r>
    <w:r w:rsidRPr="00FF4D73">
      <w:rPr>
        <w:b/>
        <w:sz w:val="18"/>
      </w:rPr>
      <w:fldChar w:fldCharType="end"/>
    </w:r>
    <w:r>
      <w:rPr>
        <w:b/>
        <w:sz w:val="18"/>
      </w:rPr>
      <w:tab/>
    </w:r>
    <w:r>
      <w:t>GE.20-16935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62EDC9" w14:textId="77777777" w:rsidR="00FF4D73" w:rsidRPr="003C6FB1" w:rsidRDefault="003C6FB1" w:rsidP="003C6FB1">
    <w:pPr>
      <w:pStyle w:val="a8"/>
      <w:rPr>
        <w:b/>
        <w:sz w:val="18"/>
      </w:rPr>
    </w:pPr>
    <w:r>
      <w:t>GE.</w:t>
    </w:r>
    <w:r w:rsidRPr="003C6FB1">
      <w:t>20</w:t>
    </w:r>
    <w:r>
      <w:t>-</w:t>
    </w:r>
    <w:r w:rsidRPr="003C6FB1">
      <w:t>16935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7</w:t>
    </w:r>
    <w:r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E071E1" w14:textId="67199DBC" w:rsidR="00042B72" w:rsidRPr="00FF4D73" w:rsidRDefault="00FF4D73" w:rsidP="00FF4D73">
    <w:pPr>
      <w:spacing w:before="120" w:line="240" w:lineRule="auto"/>
      <w:rPr>
        <w:lang w:val="en-US"/>
      </w:rPr>
    </w:pPr>
    <w:r>
      <w:t>GE.</w:t>
    </w:r>
    <w:r w:rsidR="00DF71B9">
      <w:rPr>
        <w:b/>
        <w:noProof/>
        <w:lang w:val="fr-CH" w:eastAsia="fr-CH"/>
      </w:rPr>
      <w:drawing>
        <wp:anchor distT="0" distB="0" distL="114300" distR="114300" simplePos="0" relativeHeight="251658240" behindDoc="0" locked="0" layoutInCell="1" allowOverlap="1" wp14:anchorId="6C260120" wp14:editId="09061ABF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16935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4A3CC4B6" wp14:editId="18536438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171220  1</w:t>
    </w:r>
    <w:r w:rsidR="00C06FC8">
      <w:rPr>
        <w:lang w:val="en-US"/>
      </w:rPr>
      <w:t>8</w:t>
    </w:r>
    <w:r>
      <w:rPr>
        <w:lang w:val="en-US"/>
      </w:rPr>
      <w:t>1220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C84A" w14:textId="77777777" w:rsidR="003C6FB1" w:rsidRPr="003C6FB1" w:rsidRDefault="003C6FB1" w:rsidP="003C6FB1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8</w:t>
    </w:r>
    <w:r>
      <w:rPr>
        <w:b/>
        <w:sz w:val="18"/>
      </w:rPr>
      <w:fldChar w:fldCharType="end"/>
    </w:r>
    <w:r>
      <w:rPr>
        <w:b/>
        <w:sz w:val="18"/>
      </w:rPr>
      <w:tab/>
    </w:r>
    <w:r w:rsidRPr="003C6FB1">
      <w:t>GE.20-16935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1D276F" w14:textId="77777777" w:rsidR="003C6FB1" w:rsidRPr="00FF4D73" w:rsidRDefault="003C6FB1" w:rsidP="00FF4D73">
    <w:pPr>
      <w:spacing w:before="120" w:line="240" w:lineRule="auto"/>
      <w:rPr>
        <w:lang w:val="en-US"/>
      </w:rPr>
    </w:pPr>
    <w:r>
      <w:t>GE.</w:t>
    </w:r>
    <w:r>
      <w:rPr>
        <w:b/>
        <w:noProof/>
        <w:lang w:val="fr-CH" w:eastAsia="fr-CH"/>
      </w:rPr>
      <w:drawing>
        <wp:anchor distT="0" distB="0" distL="114300" distR="114300" simplePos="0" relativeHeight="251661312" behindDoc="0" locked="0" layoutInCell="1" allowOverlap="1" wp14:anchorId="5C037DE1" wp14:editId="0D010452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4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20-</w:t>
    </w:r>
    <w:proofErr w:type="gramStart"/>
    <w:r>
      <w:t>16935  (</w:t>
    </w:r>
    <w:proofErr w:type="gramEnd"/>
    <w:r>
      <w:t>R)</w:t>
    </w:r>
    <w:r>
      <w:rPr>
        <w:noProof/>
      </w:rPr>
      <w:drawing>
        <wp:anchor distT="0" distB="0" distL="114300" distR="114300" simplePos="0" relativeHeight="251662336" behindDoc="0" locked="0" layoutInCell="1" allowOverlap="1" wp14:anchorId="7B0F809F" wp14:editId="1CC654DE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561975" cy="561975"/>
          <wp:effectExtent l="0" t="0" r="9525" b="9525"/>
          <wp:wrapNone/>
          <wp:docPr id="5" name="Рисунок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 xml:space="preserve">  171220  171220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4CF798" w14:textId="77777777" w:rsidR="004237A7" w:rsidRPr="004237A7" w:rsidRDefault="004237A7" w:rsidP="004237A7">
    <w:pPr>
      <w:pStyle w:val="a8"/>
      <w:rPr>
        <w:b/>
        <w:sz w:val="18"/>
      </w:rPr>
    </w:pP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10</w:t>
    </w:r>
    <w:r>
      <w:rPr>
        <w:b/>
        <w:sz w:val="18"/>
      </w:rPr>
      <w:fldChar w:fldCharType="end"/>
    </w:r>
    <w:r>
      <w:rPr>
        <w:b/>
        <w:sz w:val="18"/>
      </w:rPr>
      <w:tab/>
    </w:r>
    <w:r w:rsidRPr="004237A7">
      <w:t>GE.20-16935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6494FA" w14:textId="77777777" w:rsidR="004237A7" w:rsidRPr="004237A7" w:rsidRDefault="004237A7" w:rsidP="004237A7">
    <w:pPr>
      <w:pStyle w:val="a8"/>
      <w:rPr>
        <w:b/>
        <w:sz w:val="18"/>
      </w:rPr>
    </w:pPr>
    <w:r>
      <w:t>GE.</w:t>
    </w:r>
    <w:r w:rsidRPr="004237A7">
      <w:t>20</w:t>
    </w:r>
    <w:r>
      <w:t>-</w:t>
    </w:r>
    <w:r w:rsidRPr="004237A7">
      <w:t>16935</w:t>
    </w:r>
    <w:r>
      <w:tab/>
    </w:r>
    <w:r>
      <w:rPr>
        <w:b/>
        <w:sz w:val="18"/>
      </w:rPr>
      <w:fldChar w:fldCharType="begin"/>
    </w:r>
    <w:r>
      <w:rPr>
        <w:b/>
        <w:sz w:val="18"/>
      </w:rPr>
      <w:instrText xml:space="preserve"> PAGE  \* MERGEFORMAT </w:instrText>
    </w:r>
    <w:r>
      <w:rPr>
        <w:b/>
        <w:sz w:val="18"/>
      </w:rPr>
      <w:fldChar w:fldCharType="separate"/>
    </w:r>
    <w:r>
      <w:rPr>
        <w:b/>
        <w:noProof/>
        <w:sz w:val="18"/>
      </w:rPr>
      <w:t>9</w:t>
    </w:r>
    <w:r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1B63B" w14:textId="77777777" w:rsidR="00697265" w:rsidRPr="001075E9" w:rsidRDefault="00697265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3B77CED" w14:textId="77777777" w:rsidR="00697265" w:rsidRDefault="00697265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14:paraId="2C0D4D13" w14:textId="77777777" w:rsidR="00FF4D73" w:rsidRPr="00B27A9D" w:rsidRDefault="00FF4D73" w:rsidP="00FF4D73">
      <w:pPr>
        <w:pStyle w:val="ad"/>
      </w:pPr>
      <w:r>
        <w:tab/>
      </w:r>
      <w:r>
        <w:rPr>
          <w:rStyle w:val="aa"/>
        </w:rPr>
        <w:footnoteRef/>
      </w:r>
      <w:r>
        <w:tab/>
        <w:t>Воспроизведен и перенумерован на основе документа ECE/TRANS/SC.2/2020/1.</w:t>
      </w:r>
    </w:p>
  </w:footnote>
  <w:footnote w:id="2">
    <w:p w14:paraId="15529019" w14:textId="77777777" w:rsidR="003C6FB1" w:rsidRPr="00B27A9D" w:rsidRDefault="003C6FB1" w:rsidP="003C6FB1">
      <w:pPr>
        <w:pStyle w:val="ad"/>
      </w:pPr>
      <w:r>
        <w:tab/>
      </w:r>
      <w:r>
        <w:rPr>
          <w:rStyle w:val="aa"/>
        </w:rPr>
        <w:footnoteRef/>
      </w:r>
      <w:r>
        <w:tab/>
        <w:t>Воспроизведен на основе приложения к документу ECE/TRANS/SC.2/2020/3/Rev.1.</w:t>
      </w:r>
    </w:p>
  </w:footnote>
  <w:footnote w:id="3">
    <w:p w14:paraId="1B6EB96B" w14:textId="77777777" w:rsidR="004237A7" w:rsidRPr="004C6C63" w:rsidRDefault="004237A7" w:rsidP="004237A7">
      <w:pPr>
        <w:pStyle w:val="ad"/>
      </w:pPr>
      <w:r>
        <w:tab/>
      </w:r>
      <w:r>
        <w:rPr>
          <w:rStyle w:val="aa"/>
        </w:rPr>
        <w:footnoteRef/>
      </w:r>
      <w:r>
        <w:tab/>
        <w:t>Технически скорректирован на основе приложения к документу ECE/TRANS/WP.1/2020/ 2/Rev.1. Технические поправки выделены зачеркиванием и жирным шрифтом.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65BCC7" w14:textId="7B84BF98" w:rsidR="00FF4D73" w:rsidRPr="00FF4D73" w:rsidRDefault="001710FE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ECE/TRANS/2021/6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573E16" w14:textId="43310B00" w:rsidR="00FF4D73" w:rsidRPr="00FF4D73" w:rsidRDefault="001710FE" w:rsidP="00FF4D73">
    <w:pPr>
      <w:pStyle w:val="a5"/>
      <w:jc w:val="right"/>
    </w:pPr>
    <w:r>
      <w:fldChar w:fldCharType="begin"/>
    </w:r>
    <w:r>
      <w:instrText xml:space="preserve"> TIT</w:instrText>
    </w:r>
    <w:r>
      <w:instrText xml:space="preserve">LE  \* MERGEFORMAT </w:instrText>
    </w:r>
    <w:r>
      <w:fldChar w:fldCharType="separate"/>
    </w:r>
    <w:r>
      <w:t>ECE/TRANS/2021/6</w:t>
    </w:r>
    <w: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FC5A1C" w14:textId="01B46D08" w:rsidR="003C6FB1" w:rsidRPr="003C6FB1" w:rsidRDefault="001710FE" w:rsidP="003C6FB1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ECE/TRANS/2021/6</w:t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D251E2" w14:textId="5F5A2E29" w:rsidR="003C6FB1" w:rsidRPr="003C6FB1" w:rsidRDefault="001710FE" w:rsidP="003C6FB1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ECE/TRANS/2021/6</w:t>
    </w:r>
    <w:r>
      <w:fldChar w:fldCharType="end"/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474347" w14:textId="07C9257B" w:rsidR="004237A7" w:rsidRPr="004237A7" w:rsidRDefault="001710FE" w:rsidP="004237A7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ECE/TRANS/2021/6</w:t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9896B8" w14:textId="4F25C11D" w:rsidR="004237A7" w:rsidRPr="004237A7" w:rsidRDefault="001710FE" w:rsidP="004237A7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ECE/TRANS/2021/6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 w15:restartNumberingAfterBreak="0">
    <w:nsid w:val="29DB6388"/>
    <w:multiLevelType w:val="hybridMultilevel"/>
    <w:tmpl w:val="227A02F4"/>
    <w:lvl w:ilvl="0" w:tplc="95461EBA">
      <w:numFmt w:val="bullet"/>
      <w:lvlText w:val="•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C6CF5"/>
    <w:multiLevelType w:val="hybridMultilevel"/>
    <w:tmpl w:val="93FCAD22"/>
    <w:lvl w:ilvl="0" w:tplc="F73C6636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061275"/>
    <w:multiLevelType w:val="hybridMultilevel"/>
    <w:tmpl w:val="905A4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6" w15:restartNumberingAfterBreak="0">
    <w:nsid w:val="5BC90228"/>
    <w:multiLevelType w:val="hybridMultilevel"/>
    <w:tmpl w:val="E5464F8E"/>
    <w:lvl w:ilvl="0" w:tplc="FD0C5992">
      <w:start w:val="1"/>
      <w:numFmt w:val="decimal"/>
      <w:pStyle w:val="ParaNoG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F12F8"/>
    <w:multiLevelType w:val="hybridMultilevel"/>
    <w:tmpl w:val="43A6C61A"/>
    <w:lvl w:ilvl="0" w:tplc="A65245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0"/>
  </w:num>
  <w:num w:numId="5">
    <w:abstractNumId w:val="15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8"/>
  </w:num>
  <w:num w:numId="17">
    <w:abstractNumId w:val="13"/>
  </w:num>
  <w:num w:numId="18">
    <w:abstractNumId w:val="16"/>
  </w:num>
  <w:num w:numId="19">
    <w:abstractNumId w:val="18"/>
  </w:num>
  <w:num w:numId="20">
    <w:abstractNumId w:val="13"/>
  </w:num>
  <w:num w:numId="21">
    <w:abstractNumId w:val="16"/>
  </w:num>
  <w:num w:numId="22">
    <w:abstractNumId w:val="17"/>
    <w:lvlOverride w:ilvl="0">
      <w:lvl w:ilvl="0" w:tplc="8C4849AC">
        <w:start w:val="1"/>
        <w:numFmt w:val="bullet"/>
        <w:lvlText w:val="•"/>
        <w:lvlJc w:val="left"/>
        <w:pPr>
          <w:tabs>
            <w:tab w:val="num" w:pos="1701"/>
          </w:tabs>
          <w:ind w:left="1701" w:hanging="170"/>
        </w:pPr>
        <w:rPr>
          <w:rFonts w:ascii="Times New Roman" w:hAnsi="Times New Roman" w:cs="Times New Roman" w:hint="default"/>
          <w:b w:val="0"/>
          <w:i w:val="0"/>
          <w:sz w:val="20"/>
        </w:rPr>
      </w:lvl>
    </w:lvlOverride>
  </w:num>
  <w:num w:numId="23">
    <w:abstractNumId w:val="11"/>
  </w:num>
  <w:num w:numId="24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7265"/>
    <w:rsid w:val="00033EE1"/>
    <w:rsid w:val="00042B72"/>
    <w:rsid w:val="000558BD"/>
    <w:rsid w:val="000B57E7"/>
    <w:rsid w:val="000B6373"/>
    <w:rsid w:val="000E4E5B"/>
    <w:rsid w:val="000F09DF"/>
    <w:rsid w:val="000F61B2"/>
    <w:rsid w:val="001075E9"/>
    <w:rsid w:val="0014152F"/>
    <w:rsid w:val="001710FE"/>
    <w:rsid w:val="00180183"/>
    <w:rsid w:val="0018024D"/>
    <w:rsid w:val="0018649F"/>
    <w:rsid w:val="00196389"/>
    <w:rsid w:val="001B3EF6"/>
    <w:rsid w:val="001C7A89"/>
    <w:rsid w:val="00250C41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7FB6"/>
    <w:rsid w:val="00317339"/>
    <w:rsid w:val="00322004"/>
    <w:rsid w:val="003402C2"/>
    <w:rsid w:val="00381C24"/>
    <w:rsid w:val="00387CD4"/>
    <w:rsid w:val="003958D0"/>
    <w:rsid w:val="003A0D43"/>
    <w:rsid w:val="003A48CE"/>
    <w:rsid w:val="003B00E5"/>
    <w:rsid w:val="003C6FB1"/>
    <w:rsid w:val="003E0B46"/>
    <w:rsid w:val="00407B78"/>
    <w:rsid w:val="004237A7"/>
    <w:rsid w:val="00424203"/>
    <w:rsid w:val="004308C3"/>
    <w:rsid w:val="00452493"/>
    <w:rsid w:val="00453318"/>
    <w:rsid w:val="00454AF2"/>
    <w:rsid w:val="00454E07"/>
    <w:rsid w:val="00472C5C"/>
    <w:rsid w:val="00485F8A"/>
    <w:rsid w:val="004E05B7"/>
    <w:rsid w:val="0050108D"/>
    <w:rsid w:val="00513081"/>
    <w:rsid w:val="00517901"/>
    <w:rsid w:val="00526683"/>
    <w:rsid w:val="00526DB8"/>
    <w:rsid w:val="005639C1"/>
    <w:rsid w:val="005709E0"/>
    <w:rsid w:val="00572E19"/>
    <w:rsid w:val="005961C8"/>
    <w:rsid w:val="005966F1"/>
    <w:rsid w:val="005D7914"/>
    <w:rsid w:val="005E2B41"/>
    <w:rsid w:val="005F0B42"/>
    <w:rsid w:val="00617A43"/>
    <w:rsid w:val="006345DB"/>
    <w:rsid w:val="00640F49"/>
    <w:rsid w:val="006758AE"/>
    <w:rsid w:val="00680D03"/>
    <w:rsid w:val="00681A10"/>
    <w:rsid w:val="00697265"/>
    <w:rsid w:val="006A1ED8"/>
    <w:rsid w:val="006C2031"/>
    <w:rsid w:val="006D461A"/>
    <w:rsid w:val="006D6E36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94693"/>
    <w:rsid w:val="008A08D7"/>
    <w:rsid w:val="008A37C8"/>
    <w:rsid w:val="008B6909"/>
    <w:rsid w:val="008D53B6"/>
    <w:rsid w:val="008F7609"/>
    <w:rsid w:val="00906890"/>
    <w:rsid w:val="00911BE4"/>
    <w:rsid w:val="00951972"/>
    <w:rsid w:val="009608F3"/>
    <w:rsid w:val="009A24AC"/>
    <w:rsid w:val="009C59D7"/>
    <w:rsid w:val="009C6FE6"/>
    <w:rsid w:val="009D7E7D"/>
    <w:rsid w:val="00A14DA8"/>
    <w:rsid w:val="00A312BC"/>
    <w:rsid w:val="00A84021"/>
    <w:rsid w:val="00A84D35"/>
    <w:rsid w:val="00A917B3"/>
    <w:rsid w:val="00AB4B51"/>
    <w:rsid w:val="00B10CC7"/>
    <w:rsid w:val="00B36DF7"/>
    <w:rsid w:val="00B539E7"/>
    <w:rsid w:val="00B62458"/>
    <w:rsid w:val="00BC18B2"/>
    <w:rsid w:val="00BD33EE"/>
    <w:rsid w:val="00BE1CC7"/>
    <w:rsid w:val="00C06FC8"/>
    <w:rsid w:val="00C106D6"/>
    <w:rsid w:val="00C119AE"/>
    <w:rsid w:val="00C60F0C"/>
    <w:rsid w:val="00C71E84"/>
    <w:rsid w:val="00C805C9"/>
    <w:rsid w:val="00C92939"/>
    <w:rsid w:val="00CA1679"/>
    <w:rsid w:val="00CB151C"/>
    <w:rsid w:val="00CE5A1A"/>
    <w:rsid w:val="00CF55F6"/>
    <w:rsid w:val="00D33D63"/>
    <w:rsid w:val="00D5253A"/>
    <w:rsid w:val="00D873A8"/>
    <w:rsid w:val="00D90028"/>
    <w:rsid w:val="00D90138"/>
    <w:rsid w:val="00D9145B"/>
    <w:rsid w:val="00DD5AFD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2506"/>
    <w:rsid w:val="00F43903"/>
    <w:rsid w:val="00F94155"/>
    <w:rsid w:val="00F9783F"/>
    <w:rsid w:val="00FD2EF7"/>
    <w:rsid w:val="00FE447E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2CF42D8"/>
  <w15:docId w15:val="{E3C0B689-71AE-43BF-9F6E-5B066FC17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 w:qFormat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"/>
    <w:lsdException w:name="List 2" w:semiHidden="1" w:unhideWhenUsed="1"/>
    <w:lsdException w:name="List 3" w:semiHidden="1" w:unhideWhenUsed="1"/>
    <w:lsdException w:name="List 4" w:semiHidden="1" w:uiPriority="1"/>
    <w:lsdException w:name="List 5" w:semiHidden="1" w:uiPriority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"/>
    <w:lsdException w:name="Salutation" w:semiHidden="1" w:uiPriority="1"/>
    <w:lsdException w:name="Date" w:semiHidden="1" w:uiPriority="1"/>
    <w:lsdException w:name="Body Text First Indent" w:semiHidden="1" w:uiPriority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semiHidden="1" w:uiPriority="1"/>
    <w:lsdException w:name="Emphasis" w:semiHidden="1" w:uiPriority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145B"/>
    <w:pPr>
      <w:suppressAutoHyphens/>
      <w:spacing w:line="240" w:lineRule="atLeast"/>
    </w:pPr>
    <w:rPr>
      <w:rFonts w:eastAsiaTheme="minorHAnsi" w:cstheme="minorBidi"/>
      <w:szCs w:val="22"/>
      <w:lang w:val="ru-RU" w:eastAsia="en-US"/>
    </w:rPr>
  </w:style>
  <w:style w:type="paragraph" w:styleId="1">
    <w:name w:val="heading 1"/>
    <w:aliases w:val="Table_G"/>
    <w:basedOn w:val="a"/>
    <w:next w:val="a"/>
    <w:link w:val="10"/>
    <w:qFormat/>
    <w:rsid w:val="00617A43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1"/>
    <w:semiHidden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1"/>
    <w:semiHidden/>
    <w:rsid w:val="00C71E84"/>
    <w:rPr>
      <w:rFonts w:ascii="Tahoma" w:eastAsiaTheme="minorHAnsi" w:hAnsi="Tahoma" w:cs="Tahoma"/>
      <w:sz w:val="16"/>
      <w:szCs w:val="16"/>
      <w:lang w:val="ru-RU" w:eastAsia="en-US"/>
    </w:rPr>
  </w:style>
  <w:style w:type="paragraph" w:customStyle="1" w:styleId="HMG">
    <w:name w:val="_ H __M_G"/>
    <w:basedOn w:val="a"/>
    <w:next w:val="a"/>
    <w:qFormat/>
    <w:rsid w:val="00617A43"/>
    <w:pPr>
      <w:keepNext/>
      <w:keepLines/>
      <w:tabs>
        <w:tab w:val="right" w:pos="851"/>
      </w:tabs>
      <w:spacing w:before="240" w:after="240" w:line="360" w:lineRule="exact"/>
      <w:ind w:left="1134" w:right="1134" w:hanging="1134"/>
      <w:outlineLvl w:val="0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">
    <w:name w:val="_ H _Ch_G"/>
    <w:basedOn w:val="a"/>
    <w:next w:val="a"/>
    <w:link w:val="HChGChar"/>
    <w:qFormat/>
    <w:rsid w:val="00617A43"/>
    <w:pPr>
      <w:keepNext/>
      <w:keepLines/>
      <w:tabs>
        <w:tab w:val="right" w:pos="851"/>
      </w:tabs>
      <w:spacing w:before="360" w:after="240" w:line="300" w:lineRule="exact"/>
      <w:ind w:left="1134" w:right="1134" w:hanging="1134"/>
      <w:outlineLvl w:val="1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">
    <w:name w:val="_ H_1_G"/>
    <w:basedOn w:val="a"/>
    <w:next w:val="a"/>
    <w:qFormat/>
    <w:rsid w:val="00617A43"/>
    <w:pPr>
      <w:keepNext/>
      <w:keepLines/>
      <w:tabs>
        <w:tab w:val="right" w:pos="851"/>
      </w:tabs>
      <w:spacing w:before="360" w:after="240" w:line="270" w:lineRule="exact"/>
      <w:ind w:left="1134" w:right="1134" w:hanging="1134"/>
      <w:outlineLvl w:val="2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">
    <w:name w:val="_ H_2/3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3"/>
    </w:pPr>
    <w:rPr>
      <w:rFonts w:eastAsia="Times New Roman" w:cs="Times New Roman"/>
      <w:b/>
      <w:szCs w:val="20"/>
      <w:lang w:eastAsia="ru-RU"/>
    </w:rPr>
  </w:style>
  <w:style w:type="paragraph" w:customStyle="1" w:styleId="H4G">
    <w:name w:val="_ H_4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4"/>
    </w:pPr>
    <w:rPr>
      <w:rFonts w:eastAsia="Times New Roman" w:cs="Times New Roman"/>
      <w:i/>
      <w:szCs w:val="20"/>
      <w:lang w:eastAsia="ru-RU"/>
    </w:rPr>
  </w:style>
  <w:style w:type="paragraph" w:customStyle="1" w:styleId="H56G">
    <w:name w:val="_ H_5/6_G"/>
    <w:basedOn w:val="a"/>
    <w:next w:val="a"/>
    <w:qFormat/>
    <w:rsid w:val="00617A43"/>
    <w:pPr>
      <w:keepNext/>
      <w:keepLines/>
      <w:tabs>
        <w:tab w:val="right" w:pos="851"/>
      </w:tabs>
      <w:spacing w:before="240" w:after="120" w:line="240" w:lineRule="exact"/>
      <w:ind w:left="1134" w:right="1134" w:hanging="1134"/>
      <w:outlineLvl w:val="5"/>
    </w:pPr>
    <w:rPr>
      <w:rFonts w:eastAsia="Times New Roman" w:cs="Times New Roman"/>
      <w:szCs w:val="20"/>
      <w:lang w:eastAsia="ru-RU"/>
    </w:rPr>
  </w:style>
  <w:style w:type="paragraph" w:customStyle="1" w:styleId="SingleTxtG">
    <w:name w:val="_ Single Txt_G"/>
    <w:basedOn w:val="a"/>
    <w:link w:val="SingleTxtGChar"/>
    <w:qFormat/>
    <w:rsid w:val="00C71E84"/>
    <w:pPr>
      <w:tabs>
        <w:tab w:val="left" w:pos="1701"/>
        <w:tab w:val="left" w:pos="2268"/>
        <w:tab w:val="left" w:pos="2835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">
    <w:name w:val="__S_L_G"/>
    <w:basedOn w:val="a"/>
    <w:next w:val="a"/>
    <w:qFormat/>
    <w:rsid w:val="00617A43"/>
    <w:pPr>
      <w:keepNext/>
      <w:keepLine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">
    <w:name w:val="__S_M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">
    <w:name w:val="__S_S_G"/>
    <w:basedOn w:val="a"/>
    <w:next w:val="a"/>
    <w:qFormat/>
    <w:rsid w:val="00617A43"/>
    <w:pPr>
      <w:keepNext/>
      <w:keepLine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">
    <w:name w:val="__XLarge_G"/>
    <w:basedOn w:val="a"/>
    <w:next w:val="a"/>
    <w:qFormat/>
    <w:rsid w:val="00617A43"/>
    <w:pPr>
      <w:keepNext/>
      <w:keepLine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">
    <w:name w:val="_Bullet 1_G"/>
    <w:basedOn w:val="a"/>
    <w:qFormat/>
    <w:rsid w:val="00617A43"/>
    <w:pPr>
      <w:numPr>
        <w:numId w:val="19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">
    <w:name w:val="_Bullet 2_G"/>
    <w:basedOn w:val="a"/>
    <w:qFormat/>
    <w:rsid w:val="00617A43"/>
    <w:pPr>
      <w:numPr>
        <w:numId w:val="20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">
    <w:name w:val="_ParaNo._G"/>
    <w:basedOn w:val="a"/>
    <w:next w:val="a"/>
    <w:qFormat/>
    <w:rsid w:val="00C71E84"/>
    <w:pPr>
      <w:numPr>
        <w:numId w:val="21"/>
      </w:numPr>
      <w:tabs>
        <w:tab w:val="clear" w:pos="1491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617A43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617A43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"/>
    <w:basedOn w:val="a"/>
    <w:next w:val="a"/>
    <w:link w:val="a6"/>
    <w:qFormat/>
    <w:rsid w:val="00617A43"/>
    <w:pPr>
      <w:pBdr>
        <w:bottom w:val="single" w:sz="4" w:space="4" w:color="auto"/>
      </w:pBdr>
      <w:tabs>
        <w:tab w:val="right" w:pos="9639"/>
      </w:tabs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 Знак"/>
    <w:basedOn w:val="a0"/>
    <w:link w:val="a5"/>
    <w:rsid w:val="00617A43"/>
    <w:rPr>
      <w:b/>
      <w:sz w:val="18"/>
      <w:lang w:val="en-GB" w:eastAsia="ru-RU"/>
    </w:rPr>
  </w:style>
  <w:style w:type="character" w:styleId="a7">
    <w:name w:val="page number"/>
    <w:aliases w:val="7_G"/>
    <w:basedOn w:val="a0"/>
    <w:qFormat/>
    <w:rsid w:val="00617A43"/>
    <w:rPr>
      <w:rFonts w:ascii="Times New Roman" w:hAnsi="Times New Roman"/>
      <w:b/>
      <w:sz w:val="18"/>
    </w:rPr>
  </w:style>
  <w:style w:type="paragraph" w:styleId="a8">
    <w:name w:val="footer"/>
    <w:aliases w:val="3_G"/>
    <w:basedOn w:val="a"/>
    <w:link w:val="a9"/>
    <w:qFormat/>
    <w:rsid w:val="00617A43"/>
    <w:pPr>
      <w:tabs>
        <w:tab w:val="right" w:pos="9639"/>
      </w:tabs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 Знак"/>
    <w:basedOn w:val="a0"/>
    <w:link w:val="a8"/>
    <w:rsid w:val="00617A43"/>
    <w:rPr>
      <w:sz w:val="16"/>
      <w:lang w:val="en-GB" w:eastAsia="ru-RU"/>
    </w:rPr>
  </w:style>
  <w:style w:type="character" w:styleId="aa">
    <w:name w:val="footnote reference"/>
    <w:aliases w:val="4_G"/>
    <w:basedOn w:val="a0"/>
    <w:qFormat/>
    <w:rsid w:val="00617A43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"/>
    <w:basedOn w:val="aa"/>
    <w:qFormat/>
    <w:rsid w:val="00617A43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uiPriority w:val="59"/>
    <w:rsid w:val="00D9145B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ad">
    <w:name w:val="footnote text"/>
    <w:aliases w:val="5_G"/>
    <w:basedOn w:val="a"/>
    <w:link w:val="ae"/>
    <w:qFormat/>
    <w:rsid w:val="00617A43"/>
    <w:pPr>
      <w:tabs>
        <w:tab w:val="right" w:pos="1021"/>
      </w:tabs>
      <w:spacing w:line="220" w:lineRule="exact"/>
      <w:ind w:left="1134" w:right="1134" w:hanging="1134"/>
    </w:pPr>
    <w:rPr>
      <w:rFonts w:eastAsia="Times New Roman" w:cs="Times New Roman"/>
      <w:sz w:val="18"/>
      <w:szCs w:val="20"/>
      <w:lang w:eastAsia="ru-RU"/>
    </w:rPr>
  </w:style>
  <w:style w:type="character" w:customStyle="1" w:styleId="ae">
    <w:name w:val="Текст сноски Знак"/>
    <w:aliases w:val="5_G Знак"/>
    <w:basedOn w:val="a0"/>
    <w:link w:val="ad"/>
    <w:uiPriority w:val="99"/>
    <w:rsid w:val="00617A43"/>
    <w:rPr>
      <w:sz w:val="18"/>
      <w:lang w:val="ru-RU" w:eastAsia="ru-RU"/>
    </w:rPr>
  </w:style>
  <w:style w:type="paragraph" w:styleId="af">
    <w:name w:val="endnote text"/>
    <w:aliases w:val="2_G"/>
    <w:basedOn w:val="ad"/>
    <w:link w:val="af0"/>
    <w:qFormat/>
    <w:rsid w:val="00617A43"/>
  </w:style>
  <w:style w:type="character" w:customStyle="1" w:styleId="af0">
    <w:name w:val="Текст концевой сноски Знак"/>
    <w:aliases w:val="2_G Знак"/>
    <w:basedOn w:val="a0"/>
    <w:link w:val="af"/>
    <w:rsid w:val="00617A43"/>
    <w:rPr>
      <w:sz w:val="18"/>
      <w:lang w:val="ru-RU" w:eastAsia="ru-RU"/>
    </w:rPr>
  </w:style>
  <w:style w:type="character" w:customStyle="1" w:styleId="10">
    <w:name w:val="Заголовок 1 Знак"/>
    <w:aliases w:val="Table_G Знак"/>
    <w:basedOn w:val="a0"/>
    <w:link w:val="1"/>
    <w:rsid w:val="00617A43"/>
    <w:rPr>
      <w:rFonts w:cs="Arial"/>
      <w:b/>
      <w:bCs/>
      <w:szCs w:val="32"/>
      <w:lang w:val="ru-RU" w:eastAsia="ru-RU"/>
    </w:rPr>
  </w:style>
  <w:style w:type="character" w:styleId="af1">
    <w:name w:val="Hyperlink"/>
    <w:basedOn w:val="a0"/>
    <w:rsid w:val="00617A43"/>
    <w:rPr>
      <w:color w:val="0000FF" w:themeColor="hyperlink"/>
      <w:u w:val="none"/>
    </w:rPr>
  </w:style>
  <w:style w:type="character" w:styleId="af2">
    <w:name w:val="FollowedHyperlink"/>
    <w:basedOn w:val="a0"/>
    <w:rsid w:val="00617A43"/>
    <w:rPr>
      <w:color w:val="800080" w:themeColor="followedHyperlink"/>
      <w:u w:val="none"/>
    </w:rPr>
  </w:style>
  <w:style w:type="character" w:customStyle="1" w:styleId="HChGChar">
    <w:name w:val="_ H _Ch_G Char"/>
    <w:link w:val="HChG"/>
    <w:rsid w:val="00FF4D73"/>
    <w:rPr>
      <w:b/>
      <w:sz w:val="28"/>
      <w:lang w:val="ru-RU" w:eastAsia="ru-RU"/>
    </w:rPr>
  </w:style>
  <w:style w:type="character" w:customStyle="1" w:styleId="SingleTxtGChar">
    <w:name w:val="_ Single Txt_G Char"/>
    <w:link w:val="SingleTxtG"/>
    <w:qFormat/>
    <w:rsid w:val="00FF4D73"/>
    <w:rPr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er5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7</TotalTime>
  <Pages>10</Pages>
  <Words>2675</Words>
  <Characters>19428</Characters>
  <Application>Microsoft Office Word</Application>
  <DocSecurity>0</DocSecurity>
  <Lines>373</Lines>
  <Paragraphs>113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3" baseType="lpstr">
      <vt:lpstr>ECE/TRANS/2021/6</vt:lpstr>
      <vt:lpstr>A/</vt:lpstr>
      <vt:lpstr>A/</vt:lpstr>
    </vt:vector>
  </TitlesOfParts>
  <Company>DCM</Company>
  <LinksUpToDate>false</LinksUpToDate>
  <CharactersWithSpaces>21990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ECE/TRANS/2021/6</dc:title>
  <dc:subject/>
  <dc:creator>Svetlana PROKOUDINA</dc:creator>
  <cp:keywords/>
  <cp:lastModifiedBy>Tatiana Chvets</cp:lastModifiedBy>
  <cp:revision>3</cp:revision>
  <cp:lastPrinted>2020-12-18T15:55:00Z</cp:lastPrinted>
  <dcterms:created xsi:type="dcterms:W3CDTF">2020-12-18T15:55:00Z</dcterms:created>
  <dcterms:modified xsi:type="dcterms:W3CDTF">2020-12-18T15:55:00Z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