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196E90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196E90" w:rsidRPr="00196E90" w:rsidRDefault="00196E90" w:rsidP="00196E90">
            <w:pPr>
              <w:jc w:val="right"/>
              <w:rPr>
                <w:lang w:val="en-US"/>
              </w:rPr>
            </w:pPr>
            <w:bookmarkStart w:id="0" w:name="_GoBack"/>
            <w:bookmarkEnd w:id="0"/>
            <w:r w:rsidRPr="00196E90">
              <w:rPr>
                <w:sz w:val="40"/>
                <w:lang w:val="en-US"/>
              </w:rPr>
              <w:t>E</w:t>
            </w:r>
            <w:r w:rsidRPr="00196E90">
              <w:rPr>
                <w:lang w:val="en-US"/>
              </w:rPr>
              <w:t>/ECE/324/Rev.2/Add.115/Amend.6−</w:t>
            </w:r>
            <w:r w:rsidRPr="00196E90">
              <w:rPr>
                <w:sz w:val="40"/>
                <w:lang w:val="en-US"/>
              </w:rPr>
              <w:t>E</w:t>
            </w:r>
            <w:r w:rsidRPr="00196E90">
              <w:rPr>
                <w:lang w:val="en-US"/>
              </w:rPr>
              <w:t>/ECE/TRANS/505/Rev.2/Add.115/Amend.6</w:t>
            </w:r>
          </w:p>
        </w:tc>
      </w:tr>
      <w:tr w:rsidR="00421A10" w:rsidRPr="00DB58B5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196E90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421A10" w:rsidRPr="00DB58B5" w:rsidRDefault="00196E90" w:rsidP="00A27C92">
            <w:pPr>
              <w:spacing w:before="480" w:line="240" w:lineRule="exact"/>
            </w:pPr>
            <w:r>
              <w:t>19 novembre 2019</w:t>
            </w:r>
          </w:p>
        </w:tc>
      </w:tr>
    </w:tbl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:rsidR="00421A10" w:rsidRPr="00583D68" w:rsidRDefault="0029791D" w:rsidP="00196E90">
      <w:pPr>
        <w:pStyle w:val="H1G"/>
      </w:pPr>
      <w:r>
        <w:tab/>
      </w:r>
      <w:r>
        <w:tab/>
      </w:r>
      <w:r w:rsidR="00421A10" w:rsidRPr="00583D68">
        <w:t xml:space="preserve">Concernant l’adoption </w:t>
      </w:r>
      <w:r w:rsidR="00196E90" w:rsidRPr="00196E90">
        <w:rPr>
          <w:bCs/>
          <w:lang w:val="fr-FR"/>
        </w:rPr>
        <w:t xml:space="preserve">de Règlements techniques harmonisés de l’ONU applicables aux véhicules à roues et aux équipements et pièces susceptibles d’être montés ou utilisés sur les véhicules à roues </w:t>
      </w:r>
      <w:r w:rsidR="008C5302">
        <w:rPr>
          <w:bCs/>
          <w:lang w:val="fr-FR"/>
        </w:rPr>
        <w:br/>
      </w:r>
      <w:r w:rsidR="00196E90" w:rsidRPr="00196E90">
        <w:rPr>
          <w:bCs/>
          <w:lang w:val="fr-FR"/>
        </w:rPr>
        <w:t>et les conditions de reconnaissance réciproque des homologations délivrées conformément à ces Règlements</w:t>
      </w:r>
      <w:r w:rsidR="00442E31" w:rsidRPr="00196E90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:rsidR="00421A10" w:rsidRPr="00A12483" w:rsidRDefault="00421A10" w:rsidP="00196E90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="00196E90" w:rsidRPr="00196E90">
        <w:rPr>
          <w:lang w:val="fr-FR"/>
        </w:rPr>
        <w:t>3, comprenant les amendements entrés en vigueur le 14 septembre 2017)</w:t>
      </w:r>
    </w:p>
    <w:p w:rsidR="00421A10" w:rsidRPr="006549FF" w:rsidRDefault="0029791D" w:rsidP="0029791D">
      <w:pPr>
        <w:jc w:val="center"/>
      </w:pPr>
      <w:r>
        <w:t>_______________</w:t>
      </w:r>
    </w:p>
    <w:p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196E90">
        <w:t>115 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196E90">
        <w:t>116</w:t>
      </w:r>
    </w:p>
    <w:p w:rsidR="00421A10" w:rsidRPr="006549FF" w:rsidRDefault="0029791D" w:rsidP="0029791D">
      <w:pPr>
        <w:pStyle w:val="H1G"/>
      </w:pPr>
      <w:r>
        <w:tab/>
      </w:r>
      <w:r>
        <w:tab/>
      </w:r>
      <w:r w:rsidR="00196E90">
        <w:rPr>
          <w:bCs/>
          <w:lang w:val="fr-FR"/>
        </w:rPr>
        <w:t>Amendement 6</w:t>
      </w:r>
    </w:p>
    <w:p w:rsidR="00421A10" w:rsidRPr="004A7E44" w:rsidRDefault="00196E90" w:rsidP="0029791D">
      <w:pPr>
        <w:pStyle w:val="SingleTxtG"/>
        <w:spacing w:after="0"/>
      </w:pPr>
      <w:r>
        <w:rPr>
          <w:lang w:val="fr-FR"/>
        </w:rPr>
        <w:t>Complément 6 à la version originale du Règlement − Date d’entrée en vigueur</w:t>
      </w:r>
      <w:r w:rsidR="008C5302">
        <w:rPr>
          <w:lang w:val="fr-FR"/>
        </w:rPr>
        <w:t> </w:t>
      </w:r>
      <w:r>
        <w:rPr>
          <w:lang w:val="fr-FR"/>
        </w:rPr>
        <w:t>: 15 octobre 2019</w:t>
      </w:r>
    </w:p>
    <w:p w:rsidR="00421A10" w:rsidRDefault="0029791D" w:rsidP="0029791D">
      <w:pPr>
        <w:pStyle w:val="H1G"/>
      </w:pPr>
      <w:r>
        <w:tab/>
      </w:r>
      <w:r>
        <w:tab/>
      </w:r>
      <w:r w:rsidR="00421A10" w:rsidRPr="007619D3">
        <w:t xml:space="preserve">Prescriptions uniformes relatives </w:t>
      </w:r>
      <w:r w:rsidR="00196E90">
        <w:rPr>
          <w:bCs/>
          <w:lang w:val="fr-FR"/>
        </w:rPr>
        <w:t>à la protection des véhicules à moteur contre une utilisation non autorisée</w:t>
      </w:r>
    </w:p>
    <w:p w:rsidR="00196E90" w:rsidRDefault="00196E90" w:rsidP="00196E90">
      <w:pPr>
        <w:pStyle w:val="SingleTxtG"/>
        <w:rPr>
          <w:lang w:val="fr-FR"/>
        </w:rPr>
      </w:pPr>
      <w:r>
        <w:rPr>
          <w:lang w:val="fr-FR"/>
        </w:rPr>
        <w:tab/>
      </w:r>
      <w:r w:rsidRPr="00196E90">
        <w:rPr>
          <w:lang w:val="fr-FR"/>
        </w:rPr>
        <w:t>Le présent document est communiqué uniquement à titre d’information. Le texte authentique, juridiquement contraignant, est celui du document ECE/TRANS/WP.29/</w:t>
      </w:r>
      <w:r>
        <w:rPr>
          <w:lang w:val="fr-FR"/>
        </w:rPr>
        <w:br/>
      </w:r>
      <w:r w:rsidRPr="00196E90">
        <w:rPr>
          <w:lang w:val="fr-FR"/>
        </w:rPr>
        <w:t>2019/14.</w:t>
      </w:r>
    </w:p>
    <w:p w:rsidR="00F71582" w:rsidRDefault="00442E31" w:rsidP="00196E90">
      <w:pPr>
        <w:pStyle w:val="HChG"/>
        <w:rPr>
          <w:lang w:val="fr-FR" w:eastAsia="ar-SA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D85F320" wp14:editId="26CCF6CE">
                <wp:simplePos x="0" y="0"/>
                <wp:positionH relativeFrom="margin">
                  <wp:posOffset>0</wp:posOffset>
                </wp:positionH>
                <wp:positionV relativeFrom="margin">
                  <wp:posOffset>6301105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1CD16E9D" wp14:editId="298D3C93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5F320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496.15pt;width:481.9pt;height:90.7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" stroked="f">
                <v:textbox inset="0,0,0,0">
                  <w:txbxContent>
                    <w:p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1CD16E9D" wp14:editId="298D3C93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96E90" w:rsidRPr="00CB5620">
        <w:rPr>
          <w:lang w:val="fr-FR" w:eastAsia="ar-SA"/>
        </w:rPr>
        <w:tab/>
      </w:r>
      <w:r w:rsidR="00196E90" w:rsidRPr="00CB5620">
        <w:rPr>
          <w:lang w:val="fr-FR" w:eastAsia="ar-SA"/>
        </w:rPr>
        <w:tab/>
      </w:r>
    </w:p>
    <w:p w:rsidR="00196E90" w:rsidRDefault="00F71582" w:rsidP="00196E90">
      <w:pPr>
        <w:pStyle w:val="HChG"/>
      </w:pPr>
      <w:r>
        <w:rPr>
          <w:lang w:val="fr-FR" w:eastAsia="ar-SA"/>
        </w:rPr>
        <w:br w:type="page"/>
      </w:r>
      <w:r>
        <w:rPr>
          <w:lang w:val="fr-FR" w:eastAsia="ar-SA"/>
        </w:rPr>
        <w:lastRenderedPageBreak/>
        <w:tab/>
      </w:r>
      <w:r>
        <w:rPr>
          <w:lang w:val="fr-FR" w:eastAsia="ar-SA"/>
        </w:rPr>
        <w:tab/>
      </w:r>
      <w:r w:rsidR="00196E90">
        <w:rPr>
          <w:lang w:val="fr-FR"/>
        </w:rPr>
        <w:t xml:space="preserve">Complément 6 au Règlement ONU </w:t>
      </w:r>
      <w:r w:rsidR="00196E90" w:rsidRPr="00CD76F7">
        <w:rPr>
          <w:rFonts w:eastAsia="MS Mincho"/>
          <w:lang w:val="fr-FR"/>
        </w:rPr>
        <w:t>n</w:t>
      </w:r>
      <w:r w:rsidR="00196E90" w:rsidRPr="00CD76F7">
        <w:rPr>
          <w:rFonts w:eastAsia="MS Mincho"/>
          <w:vertAlign w:val="superscript"/>
          <w:lang w:val="fr-FR"/>
        </w:rPr>
        <w:t>o</w:t>
      </w:r>
      <w:r w:rsidR="00196E90">
        <w:rPr>
          <w:lang w:val="fr-FR"/>
        </w:rPr>
        <w:t xml:space="preserve"> 116 </w:t>
      </w:r>
      <w:r w:rsidR="00196E90">
        <w:rPr>
          <w:lang w:val="fr-FR"/>
        </w:rPr>
        <w:br/>
        <w:t>(Dispositifs antivol et systèmes d’alarme)</w:t>
      </w:r>
    </w:p>
    <w:p w:rsidR="00196E90" w:rsidRPr="00110BE9" w:rsidRDefault="00196E90" w:rsidP="00196E90">
      <w:pPr>
        <w:pStyle w:val="SingleTxtG"/>
        <w:rPr>
          <w:i/>
        </w:rPr>
      </w:pPr>
      <w:r w:rsidRPr="003957A9">
        <w:rPr>
          <w:i/>
          <w:lang w:val="fr-FR"/>
        </w:rPr>
        <w:t>Ajouter le nouveau paragraphe 1.9</w:t>
      </w:r>
      <w:r>
        <w:rPr>
          <w:lang w:val="fr-FR"/>
        </w:rPr>
        <w:t>, libellé comme suit :</w:t>
      </w:r>
    </w:p>
    <w:p w:rsidR="00196E90" w:rsidRPr="00110BE9" w:rsidRDefault="00196E90" w:rsidP="00196E90">
      <w:pPr>
        <w:pStyle w:val="SingleTxtG"/>
        <w:ind w:left="2268" w:hanging="1134"/>
      </w:pPr>
      <w:r>
        <w:rPr>
          <w:lang w:val="fr-FR"/>
        </w:rPr>
        <w:t>« 1.9</w:t>
      </w:r>
      <w:r>
        <w:rPr>
          <w:lang w:val="fr-FR"/>
        </w:rPr>
        <w:tab/>
        <w:t>Le présent Règlement ne s’applique pas aux fréquences de transmission radio, qu’elles soient ou non liées à la protection des véhicules automobiles contre une utilisation non autorisée. ».</w:t>
      </w:r>
    </w:p>
    <w:p w:rsidR="00196E90" w:rsidRPr="0052774F" w:rsidRDefault="00196E90" w:rsidP="00196E90">
      <w:pPr>
        <w:pStyle w:val="SingleTxtG"/>
      </w:pPr>
      <w:r w:rsidRPr="003957A9">
        <w:rPr>
          <w:i/>
          <w:lang w:val="fr-FR"/>
        </w:rPr>
        <w:t>Paragraphe 6.2.3</w:t>
      </w:r>
      <w:r>
        <w:rPr>
          <w:lang w:val="fr-FR"/>
        </w:rPr>
        <w:t>, supprimer.</w:t>
      </w:r>
    </w:p>
    <w:p w:rsidR="00196E90" w:rsidRPr="00110BE9" w:rsidRDefault="00196E90" w:rsidP="00196E90">
      <w:pPr>
        <w:pStyle w:val="SingleTxtG"/>
        <w:rPr>
          <w:i/>
        </w:rPr>
      </w:pPr>
      <w:r w:rsidRPr="003957A9">
        <w:rPr>
          <w:i/>
          <w:lang w:val="fr-FR"/>
        </w:rPr>
        <w:t>Les paragraphes 6.2.4 à 6.2.10</w:t>
      </w:r>
      <w:r>
        <w:rPr>
          <w:lang w:val="fr-FR"/>
        </w:rPr>
        <w:t xml:space="preserve"> deviennent les paragraphes 6.2.3 à 6.2.9.</w:t>
      </w:r>
    </w:p>
    <w:p w:rsidR="00196E90" w:rsidRPr="0052774F" w:rsidRDefault="00196E90" w:rsidP="00196E90">
      <w:pPr>
        <w:pStyle w:val="SingleTxtG"/>
        <w:rPr>
          <w:i/>
        </w:rPr>
      </w:pPr>
      <w:r w:rsidRPr="003957A9">
        <w:rPr>
          <w:i/>
          <w:lang w:val="fr-FR"/>
        </w:rPr>
        <w:t>Paragraphe 7.2.3</w:t>
      </w:r>
      <w:r>
        <w:rPr>
          <w:lang w:val="fr-FR"/>
        </w:rPr>
        <w:t>, supprimer.</w:t>
      </w:r>
    </w:p>
    <w:p w:rsidR="00196E90" w:rsidRPr="00110BE9" w:rsidRDefault="00196E90" w:rsidP="00196E90">
      <w:pPr>
        <w:pStyle w:val="SingleTxtG"/>
        <w:rPr>
          <w:i/>
        </w:rPr>
      </w:pPr>
      <w:r w:rsidRPr="003957A9">
        <w:rPr>
          <w:i/>
          <w:lang w:val="fr-FR"/>
        </w:rPr>
        <w:t>Les paragraphes 7.2.4 à 7.2.7</w:t>
      </w:r>
      <w:r>
        <w:rPr>
          <w:lang w:val="fr-FR"/>
        </w:rPr>
        <w:t xml:space="preserve"> deviennent les paragraphes 7.2.3 à 7.2.6.</w:t>
      </w:r>
    </w:p>
    <w:p w:rsidR="00196E90" w:rsidRPr="0052774F" w:rsidRDefault="00196E90" w:rsidP="00196E90">
      <w:pPr>
        <w:pStyle w:val="SingleTxtG"/>
        <w:rPr>
          <w:i/>
        </w:rPr>
      </w:pPr>
      <w:r w:rsidRPr="003957A9">
        <w:rPr>
          <w:i/>
          <w:lang w:val="fr-FR"/>
        </w:rPr>
        <w:t>Paragraphe 8.2.2</w:t>
      </w:r>
      <w:r>
        <w:rPr>
          <w:lang w:val="fr-FR"/>
        </w:rPr>
        <w:t>, supprimer.</w:t>
      </w:r>
    </w:p>
    <w:p w:rsidR="00196E90" w:rsidRDefault="00196E90" w:rsidP="00196E90">
      <w:pPr>
        <w:pStyle w:val="SingleTxtG"/>
        <w:rPr>
          <w:lang w:val="fr-FR"/>
        </w:rPr>
      </w:pPr>
      <w:r w:rsidRPr="003957A9">
        <w:rPr>
          <w:i/>
          <w:lang w:val="fr-FR"/>
        </w:rPr>
        <w:t>Les paragraphes 8.2.3 à 8.2.11</w:t>
      </w:r>
      <w:r>
        <w:rPr>
          <w:lang w:val="fr-FR"/>
        </w:rPr>
        <w:t xml:space="preserve"> deviennent les paragraphes 8.2.2 à 8.2.10.</w:t>
      </w:r>
    </w:p>
    <w:p w:rsidR="005F0207" w:rsidRPr="00196E90" w:rsidRDefault="00196E90" w:rsidP="00196E90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5F0207" w:rsidRPr="00196E90" w:rsidSect="00196E90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6E86" w:rsidRDefault="00826E86"/>
  </w:endnote>
  <w:endnote w:type="continuationSeparator" w:id="0">
    <w:p w:rsidR="00826E86" w:rsidRDefault="00826E86">
      <w:pPr>
        <w:pStyle w:val="Footer"/>
      </w:pPr>
    </w:p>
  </w:endnote>
  <w:endnote w:type="continuationNotice" w:id="1">
    <w:p w:rsidR="00826E86" w:rsidRPr="00C451B9" w:rsidRDefault="00826E86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90" w:rsidRPr="00196E90" w:rsidRDefault="00196E90" w:rsidP="00196E90">
    <w:pPr>
      <w:pStyle w:val="Footer"/>
      <w:tabs>
        <w:tab w:val="right" w:pos="9638"/>
      </w:tabs>
    </w:pPr>
    <w:r w:rsidRPr="00196E90">
      <w:rPr>
        <w:b/>
        <w:sz w:val="18"/>
      </w:rPr>
      <w:fldChar w:fldCharType="begin"/>
    </w:r>
    <w:r w:rsidRPr="00196E90">
      <w:rPr>
        <w:b/>
        <w:sz w:val="18"/>
      </w:rPr>
      <w:instrText xml:space="preserve"> PAGE  \* MERGEFORMAT </w:instrText>
    </w:r>
    <w:r w:rsidRPr="00196E90">
      <w:rPr>
        <w:b/>
        <w:sz w:val="18"/>
      </w:rPr>
      <w:fldChar w:fldCharType="separate"/>
    </w:r>
    <w:r w:rsidRPr="00196E90">
      <w:rPr>
        <w:b/>
        <w:noProof/>
        <w:sz w:val="18"/>
      </w:rPr>
      <w:t>2</w:t>
    </w:r>
    <w:r w:rsidRPr="00196E90">
      <w:rPr>
        <w:b/>
        <w:sz w:val="18"/>
      </w:rPr>
      <w:fldChar w:fldCharType="end"/>
    </w:r>
    <w:r>
      <w:rPr>
        <w:b/>
        <w:sz w:val="18"/>
      </w:rPr>
      <w:tab/>
    </w:r>
    <w:r>
      <w:t>GE.19-19974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90" w:rsidRPr="00196E90" w:rsidRDefault="00196E90" w:rsidP="00196E90">
    <w:pPr>
      <w:pStyle w:val="Footer"/>
      <w:tabs>
        <w:tab w:val="right" w:pos="9638"/>
      </w:tabs>
      <w:rPr>
        <w:b/>
        <w:sz w:val="18"/>
      </w:rPr>
    </w:pPr>
    <w:r>
      <w:t>GE.19-19974</w:t>
    </w:r>
    <w:r>
      <w:tab/>
    </w:r>
    <w:r w:rsidRPr="00196E90">
      <w:rPr>
        <w:b/>
        <w:sz w:val="18"/>
      </w:rPr>
      <w:fldChar w:fldCharType="begin"/>
    </w:r>
    <w:r w:rsidRPr="00196E90">
      <w:rPr>
        <w:b/>
        <w:sz w:val="18"/>
      </w:rPr>
      <w:instrText xml:space="preserve"> PAGE  \* MERGEFORMAT </w:instrText>
    </w:r>
    <w:r w:rsidRPr="00196E90">
      <w:rPr>
        <w:b/>
        <w:sz w:val="18"/>
      </w:rPr>
      <w:fldChar w:fldCharType="separate"/>
    </w:r>
    <w:r w:rsidRPr="00196E90">
      <w:rPr>
        <w:b/>
        <w:noProof/>
        <w:sz w:val="18"/>
      </w:rPr>
      <w:t>3</w:t>
    </w:r>
    <w:r w:rsidRPr="00196E9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7F2C" w:rsidRPr="00196E90" w:rsidRDefault="00196E90" w:rsidP="00196E90">
    <w:pPr>
      <w:pStyle w:val="Footer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7216" behindDoc="0" locked="0" layoutInCell="1" allowOverlap="1" wp14:anchorId="6F16D785" wp14:editId="5A57052C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19-19974  (F)    311219    311219</w:t>
    </w:r>
    <w:r>
      <w:rPr>
        <w:sz w:val="20"/>
      </w:rPr>
      <w:br/>
    </w:r>
    <w:r w:rsidRPr="00196E90">
      <w:rPr>
        <w:rFonts w:ascii="C39T30Lfz" w:hAnsi="C39T30Lfz"/>
        <w:sz w:val="56"/>
      </w:rPr>
      <w:t></w:t>
    </w:r>
    <w:r w:rsidRPr="00196E90">
      <w:rPr>
        <w:rFonts w:ascii="C39T30Lfz" w:hAnsi="C39T30Lfz"/>
        <w:sz w:val="56"/>
      </w:rPr>
      <w:t></w:t>
    </w:r>
    <w:r w:rsidRPr="00196E90">
      <w:rPr>
        <w:rFonts w:ascii="C39T30Lfz" w:hAnsi="C39T30Lfz"/>
        <w:sz w:val="56"/>
      </w:rPr>
      <w:t></w:t>
    </w:r>
    <w:r w:rsidRPr="00196E90">
      <w:rPr>
        <w:rFonts w:ascii="C39T30Lfz" w:hAnsi="C39T30Lfz"/>
        <w:sz w:val="56"/>
      </w:rPr>
      <w:t></w:t>
    </w:r>
    <w:r w:rsidRPr="00196E90">
      <w:rPr>
        <w:rFonts w:ascii="C39T30Lfz" w:hAnsi="C39T30Lfz"/>
        <w:sz w:val="56"/>
      </w:rPr>
      <w:t></w:t>
    </w:r>
    <w:r w:rsidRPr="00196E90">
      <w:rPr>
        <w:rFonts w:ascii="C39T30Lfz" w:hAnsi="C39T30Lfz"/>
        <w:sz w:val="56"/>
      </w:rPr>
      <w:t></w:t>
    </w:r>
    <w:r w:rsidRPr="00196E90">
      <w:rPr>
        <w:rFonts w:ascii="C39T30Lfz" w:hAnsi="C39T30Lfz"/>
        <w:sz w:val="56"/>
      </w:rPr>
      <w:t></w:t>
    </w:r>
    <w:r w:rsidRPr="00196E90">
      <w:rPr>
        <w:rFonts w:ascii="C39T30Lfz" w:hAnsi="C39T30Lfz"/>
        <w:sz w:val="56"/>
      </w:rPr>
      <w:t></w:t>
    </w:r>
    <w:r w:rsidRPr="00196E9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2/Add.115/Amend.6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5/Amend.6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6E86" w:rsidRPr="00D27D5E" w:rsidRDefault="00826E86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826E86" w:rsidRPr="00D171D4" w:rsidRDefault="00826E86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:rsidR="00826E86" w:rsidRPr="00C451B9" w:rsidRDefault="00826E86" w:rsidP="00C451B9">
      <w:pPr>
        <w:spacing w:line="240" w:lineRule="auto"/>
        <w:rPr>
          <w:sz w:val="2"/>
          <w:szCs w:val="2"/>
        </w:rPr>
      </w:pPr>
    </w:p>
  </w:footnote>
  <w:footnote w:id="2">
    <w:p w:rsidR="00591072" w:rsidRPr="00591072" w:rsidRDefault="00442E31" w:rsidP="00591072">
      <w:pPr>
        <w:pStyle w:val="FootnoteText"/>
      </w:pPr>
      <w:r w:rsidRPr="00591072">
        <w:rPr>
          <w:rStyle w:val="FootnoteReference"/>
        </w:rPr>
        <w:tab/>
      </w:r>
      <w:r w:rsidRPr="00591072">
        <w:rPr>
          <w:rStyle w:val="FootnoteReference"/>
          <w:sz w:val="20"/>
          <w:vertAlign w:val="baseline"/>
        </w:rPr>
        <w:t>*</w:t>
      </w:r>
      <w:r w:rsidRPr="00591072">
        <w:rPr>
          <w:rStyle w:val="FootnoteReference"/>
          <w:sz w:val="20"/>
          <w:vertAlign w:val="baseline"/>
        </w:rPr>
        <w:tab/>
      </w:r>
      <w:r w:rsidR="00591072" w:rsidRPr="00591072">
        <w:t>Anciens titres de l’Accord :</w:t>
      </w:r>
    </w:p>
    <w:p w:rsidR="00591072" w:rsidRPr="00591072" w:rsidRDefault="00591072" w:rsidP="00591072">
      <w:pPr>
        <w:pStyle w:val="FootnoteText"/>
      </w:pPr>
      <w:r w:rsidRPr="00196E90">
        <w:tab/>
      </w:r>
      <w:r w:rsidRPr="00196E9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:rsidR="00442E31" w:rsidRPr="00442E31" w:rsidRDefault="00591072" w:rsidP="00196E90">
      <w:pPr>
        <w:pStyle w:val="FootnoteText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90" w:rsidRPr="00196E90" w:rsidRDefault="00196E90">
    <w:pPr>
      <w:pStyle w:val="Header"/>
      <w:rPr>
        <w:lang w:val="en-US"/>
      </w:rPr>
    </w:pPr>
    <w:r>
      <w:fldChar w:fldCharType="begin"/>
    </w:r>
    <w:r w:rsidRPr="00196E90">
      <w:rPr>
        <w:lang w:val="en-US"/>
      </w:rPr>
      <w:instrText xml:space="preserve"> TITLE  \* MERGEFORMAT </w:instrText>
    </w:r>
    <w:r>
      <w:fldChar w:fldCharType="separate"/>
    </w:r>
    <w:r w:rsidR="00DD26F8">
      <w:rPr>
        <w:lang w:val="en-US"/>
      </w:rPr>
      <w:t>E/ECE/324/Rev.2/Add.115/Amend.6</w:t>
    </w:r>
    <w:r>
      <w:fldChar w:fldCharType="end"/>
    </w:r>
    <w:r w:rsidRPr="00196E90">
      <w:rPr>
        <w:lang w:val="en-US"/>
      </w:rPr>
      <w:br/>
    </w:r>
    <w:r>
      <w:fldChar w:fldCharType="begin"/>
    </w:r>
    <w:r w:rsidRPr="00196E90">
      <w:rPr>
        <w:lang w:val="en-US"/>
      </w:rPr>
      <w:instrText xml:space="preserve"> KEYWORDS  \* MERGEFORMAT </w:instrText>
    </w:r>
    <w:r>
      <w:fldChar w:fldCharType="separate"/>
    </w:r>
    <w:r w:rsidR="00DD26F8">
      <w:rPr>
        <w:lang w:val="en-US"/>
      </w:rPr>
      <w:t>E/ECE/TRANS/505/Rev.2/Add.115/Amend.6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6E90" w:rsidRPr="00196E90" w:rsidRDefault="00196E90" w:rsidP="00196E90">
    <w:pPr>
      <w:pStyle w:val="Header"/>
      <w:jc w:val="right"/>
      <w:rPr>
        <w:lang w:val="en-US"/>
      </w:rPr>
    </w:pPr>
    <w:r>
      <w:fldChar w:fldCharType="begin"/>
    </w:r>
    <w:r w:rsidRPr="00196E90">
      <w:rPr>
        <w:lang w:val="en-US"/>
      </w:rPr>
      <w:instrText xml:space="preserve"> TITLE  \* MERGEFORMAT </w:instrText>
    </w:r>
    <w:r>
      <w:fldChar w:fldCharType="separate"/>
    </w:r>
    <w:r w:rsidR="00DD26F8">
      <w:rPr>
        <w:lang w:val="en-US"/>
      </w:rPr>
      <w:t>E/ECE/324/Rev.2/Add.115/Amend.6</w:t>
    </w:r>
    <w:r>
      <w:fldChar w:fldCharType="end"/>
    </w:r>
    <w:r w:rsidRPr="00196E90">
      <w:rPr>
        <w:lang w:val="en-US"/>
      </w:rPr>
      <w:br/>
    </w:r>
    <w:r>
      <w:fldChar w:fldCharType="begin"/>
    </w:r>
    <w:r w:rsidRPr="00196E90">
      <w:rPr>
        <w:lang w:val="en-US"/>
      </w:rPr>
      <w:instrText xml:space="preserve"> KEYWORDS  \* MERGEFORMAT </w:instrText>
    </w:r>
    <w:r>
      <w:fldChar w:fldCharType="separate"/>
    </w:r>
    <w:r w:rsidR="00DD26F8">
      <w:rPr>
        <w:lang w:val="en-US"/>
      </w:rPr>
      <w:t>E/ECE/TRANS/505/Rev.2/Add.115/Amend.6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en-GB" w:vendorID="64" w:dllVersion="5" w:nlCheck="1" w:checkStyle="1"/>
  <w:activeWritingStyle w:appName="MSWord" w:lang="fr-CH" w:vendorID="64" w:dllVersion="6" w:nlCheck="1" w:checkStyle="1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86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96E90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0ACC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149F9"/>
    <w:rsid w:val="008245B7"/>
    <w:rsid w:val="00826E86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C5302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D29A6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D26F8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1582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207D4D8B-298F-433B-8C8D-E2100ECF5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48687D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48687D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48687D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48687D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48687D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48687D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48687D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48687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EndnoteText">
    <w:name w:val="endnote text"/>
    <w:aliases w:val="2_G"/>
    <w:basedOn w:val="FootnoteText"/>
    <w:link w:val="EndnoteTextChar"/>
    <w:qFormat/>
    <w:rsid w:val="0048687D"/>
  </w:style>
  <w:style w:type="paragraph" w:styleId="FootnoteText">
    <w:name w:val="footnote text"/>
    <w:aliases w:val="5_G"/>
    <w:basedOn w:val="Normal"/>
    <w:link w:val="FootnoteTextCh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Footer">
    <w:name w:val="footer"/>
    <w:aliases w:val="3_G"/>
    <w:basedOn w:val="Normal"/>
    <w:next w:val="Normal"/>
    <w:link w:val="FooterChar"/>
    <w:qFormat/>
    <w:rsid w:val="0048687D"/>
    <w:pPr>
      <w:spacing w:line="240" w:lineRule="auto"/>
    </w:pPr>
    <w:rPr>
      <w:sz w:val="16"/>
    </w:rPr>
  </w:style>
  <w:style w:type="character" w:styleId="EndnoteReference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FootnoteReference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PageNumber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Header">
    <w:name w:val="header"/>
    <w:aliases w:val="6_G"/>
    <w:basedOn w:val="Normal"/>
    <w:next w:val="Normal"/>
    <w:link w:val="HeaderCh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link w:val="HChGChar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TableGrid">
    <w:name w:val="Table Grid"/>
    <w:basedOn w:val="Table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421A10"/>
    <w:rPr>
      <w:rFonts w:eastAsiaTheme="minorHAnsi"/>
      <w:lang w:val="fr-CH"/>
    </w:rPr>
  </w:style>
  <w:style w:type="character" w:styleId="Hyperlink">
    <w:name w:val="Hyperlink"/>
    <w:semiHidden/>
    <w:rsid w:val="0048687D"/>
    <w:rPr>
      <w:color w:val="0000FF"/>
      <w:u w:val="none"/>
    </w:rPr>
  </w:style>
  <w:style w:type="character" w:styleId="FollowedHyperlink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HeaderChar">
    <w:name w:val="Header Char"/>
    <w:aliases w:val="6_G Char"/>
    <w:link w:val="Header"/>
    <w:rsid w:val="0048687D"/>
    <w:rPr>
      <w:rFonts w:eastAsiaTheme="minorHAnsi"/>
      <w:b/>
      <w:sz w:val="18"/>
      <w:lang w:val="fr-CH"/>
    </w:rPr>
  </w:style>
  <w:style w:type="character" w:customStyle="1" w:styleId="FootnoteTextChar">
    <w:name w:val="Footnote Text Char"/>
    <w:aliases w:val="5_G Char"/>
    <w:link w:val="FootnoteText"/>
    <w:rsid w:val="0048687D"/>
    <w:rPr>
      <w:rFonts w:eastAsiaTheme="minorHAnsi"/>
      <w:sz w:val="18"/>
      <w:lang w:val="fr-CH"/>
    </w:rPr>
  </w:style>
  <w:style w:type="character" w:customStyle="1" w:styleId="EndnoteTextChar">
    <w:name w:val="Endnote Text Char"/>
    <w:aliases w:val="2_G Char"/>
    <w:link w:val="EndnoteText"/>
    <w:rsid w:val="0048687D"/>
    <w:rPr>
      <w:rFonts w:eastAsiaTheme="minorHAnsi"/>
      <w:sz w:val="18"/>
      <w:lang w:val="fr-CH"/>
    </w:rPr>
  </w:style>
  <w:style w:type="character" w:customStyle="1" w:styleId="FooterChar">
    <w:name w:val="Footer Char"/>
    <w:aliases w:val="3_G Char"/>
    <w:link w:val="Footer"/>
    <w:rsid w:val="0048687D"/>
    <w:rPr>
      <w:rFonts w:eastAsiaTheme="minorHAnsi"/>
      <w:sz w:val="16"/>
      <w:lang w:val="fr-CH"/>
    </w:rPr>
  </w:style>
  <w:style w:type="character" w:customStyle="1" w:styleId="Heading1Char">
    <w:name w:val="Heading 1 Char"/>
    <w:aliases w:val="Table_G Char"/>
    <w:link w:val="Heading1"/>
    <w:rsid w:val="0048687D"/>
    <w:rPr>
      <w:rFonts w:eastAsiaTheme="minorHAnsi"/>
      <w:lang w:val="fr-CH"/>
    </w:rPr>
  </w:style>
  <w:style w:type="character" w:customStyle="1" w:styleId="Heading2Char">
    <w:name w:val="Heading 2 Char"/>
    <w:link w:val="Heading2"/>
    <w:semiHidden/>
    <w:rsid w:val="00755D4F"/>
    <w:rPr>
      <w:rFonts w:eastAsiaTheme="minorHAnsi"/>
      <w:lang w:val="fr-CH"/>
    </w:rPr>
  </w:style>
  <w:style w:type="character" w:customStyle="1" w:styleId="Heading3Char">
    <w:name w:val="Heading 3 Char"/>
    <w:link w:val="Heading3"/>
    <w:semiHidden/>
    <w:rsid w:val="00755D4F"/>
    <w:rPr>
      <w:rFonts w:eastAsiaTheme="minorHAnsi"/>
      <w:lang w:val="fr-CH"/>
    </w:rPr>
  </w:style>
  <w:style w:type="character" w:customStyle="1" w:styleId="Heading4Char">
    <w:name w:val="Heading 4 Char"/>
    <w:link w:val="Heading4"/>
    <w:semiHidden/>
    <w:rsid w:val="00755D4F"/>
    <w:rPr>
      <w:rFonts w:eastAsiaTheme="minorHAnsi"/>
      <w:lang w:val="fr-CH"/>
    </w:rPr>
  </w:style>
  <w:style w:type="character" w:customStyle="1" w:styleId="Heading5Char">
    <w:name w:val="Heading 5 Char"/>
    <w:link w:val="Heading5"/>
    <w:semiHidden/>
    <w:rsid w:val="00755D4F"/>
    <w:rPr>
      <w:rFonts w:eastAsiaTheme="minorHAnsi"/>
      <w:lang w:val="fr-CH"/>
    </w:rPr>
  </w:style>
  <w:style w:type="character" w:customStyle="1" w:styleId="Heading6Char">
    <w:name w:val="Heading 6 Char"/>
    <w:link w:val="Heading6"/>
    <w:semiHidden/>
    <w:rsid w:val="00755D4F"/>
    <w:rPr>
      <w:rFonts w:eastAsiaTheme="minorHAnsi"/>
      <w:lang w:val="fr-CH"/>
    </w:rPr>
  </w:style>
  <w:style w:type="character" w:customStyle="1" w:styleId="Heading7Char">
    <w:name w:val="Heading 7 Char"/>
    <w:link w:val="Heading7"/>
    <w:semiHidden/>
    <w:rsid w:val="00755D4F"/>
    <w:rPr>
      <w:rFonts w:eastAsiaTheme="minorHAnsi"/>
      <w:lang w:val="fr-CH"/>
    </w:rPr>
  </w:style>
  <w:style w:type="character" w:customStyle="1" w:styleId="Heading8Char">
    <w:name w:val="Heading 8 Char"/>
    <w:link w:val="Heading8"/>
    <w:semiHidden/>
    <w:rsid w:val="00755D4F"/>
    <w:rPr>
      <w:rFonts w:eastAsiaTheme="minorHAnsi"/>
      <w:lang w:val="fr-CH"/>
    </w:rPr>
  </w:style>
  <w:style w:type="character" w:customStyle="1" w:styleId="Heading9Char">
    <w:name w:val="Heading 9 Char"/>
    <w:link w:val="Heading9"/>
    <w:semiHidden/>
    <w:rsid w:val="00755D4F"/>
    <w:rPr>
      <w:rFonts w:eastAsiaTheme="minorHAnsi"/>
      <w:lang w:val="fr-CH"/>
    </w:rPr>
  </w:style>
  <w:style w:type="paragraph" w:styleId="BalloonText">
    <w:name w:val="Balloon Text"/>
    <w:basedOn w:val="Normal"/>
    <w:link w:val="BalloonTextCh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character" w:customStyle="1" w:styleId="HChGChar">
    <w:name w:val="_ H _Ch_G Char"/>
    <w:link w:val="HChG"/>
    <w:rsid w:val="00196E90"/>
    <w:rPr>
      <w:rFonts w:eastAsiaTheme="minorHAnsi"/>
      <w:b/>
      <w:sz w:val="28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E/ECE/324/Rev.2/Add.115/Amend.6</vt:lpstr>
      <vt:lpstr>E/ECE/324/Rev.2/Add.115/Amend.6</vt:lpstr>
    </vt:vector>
  </TitlesOfParts>
  <Company>CSD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E/ECE/324/Rev.2/Add.115/Amend.6</dc:title>
  <dc:creator>Sandrine CLERE</dc:creator>
  <cp:keywords>E/ECE/TRANS/505/Rev.2/Add.115/Amend.6</cp:keywords>
  <cp:lastModifiedBy>Lucille Caillot</cp:lastModifiedBy>
  <cp:revision>2</cp:revision>
  <cp:lastPrinted>2019-12-31T10:28:00Z</cp:lastPrinted>
  <dcterms:created xsi:type="dcterms:W3CDTF">2020-01-09T09:32:00Z</dcterms:created>
  <dcterms:modified xsi:type="dcterms:W3CDTF">2020-01-09T09:32:00Z</dcterms:modified>
</cp:coreProperties>
</file>