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7260D" w:rsidTr="00A27C92">
        <w:trPr>
          <w:trHeight w:hRule="exact" w:val="851"/>
        </w:trPr>
        <w:tc>
          <w:tcPr>
            <w:tcW w:w="9639" w:type="dxa"/>
            <w:gridSpan w:val="2"/>
            <w:tcBorders>
              <w:bottom w:val="single" w:sz="4" w:space="0" w:color="auto"/>
            </w:tcBorders>
            <w:shd w:val="clear" w:color="auto" w:fill="auto"/>
            <w:vAlign w:val="bottom"/>
          </w:tcPr>
          <w:p w:rsidR="00485652" w:rsidRPr="00485652" w:rsidRDefault="00485652" w:rsidP="00485652">
            <w:pPr>
              <w:jc w:val="right"/>
              <w:rPr>
                <w:lang w:val="en-US"/>
              </w:rPr>
            </w:pPr>
            <w:bookmarkStart w:id="0" w:name="_GoBack"/>
            <w:bookmarkEnd w:id="0"/>
            <w:r w:rsidRPr="00485652">
              <w:rPr>
                <w:sz w:val="40"/>
                <w:lang w:val="en-US"/>
              </w:rPr>
              <w:t>E</w:t>
            </w:r>
            <w:r w:rsidRPr="00485652">
              <w:rPr>
                <w:lang w:val="en-US"/>
              </w:rPr>
              <w:t>/ECE/324/Rev.2/Add.103/Rev.1/Amend.3−</w:t>
            </w:r>
            <w:r w:rsidRPr="00485652">
              <w:rPr>
                <w:sz w:val="40"/>
                <w:lang w:val="en-US"/>
              </w:rPr>
              <w:t>E</w:t>
            </w:r>
            <w:r w:rsidRPr="00485652">
              <w:rPr>
                <w:lang w:val="en-US"/>
              </w:rPr>
              <w:t>/ECE/TRANS/505/Rev.2/Add.103/Rev.1/Amend.3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48565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485652" w:rsidP="00A27C92">
            <w:pPr>
              <w:spacing w:before="480" w:line="240" w:lineRule="exact"/>
            </w:pPr>
            <w:r>
              <w:t>7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w:t>
      </w:r>
      <w:r w:rsidR="00316EC7" w:rsidRPr="00175A81">
        <w:rPr>
          <w:lang w:val="fr-FR"/>
        </w:rPr>
        <w:t>l</w:t>
      </w:r>
      <w:r w:rsidR="00E66100">
        <w:rPr>
          <w:lang w:val="fr-FR"/>
        </w:rPr>
        <w:t>’</w:t>
      </w:r>
      <w:r w:rsidR="00316EC7" w:rsidRPr="00175A81">
        <w:rPr>
          <w:lang w:val="fr-FR"/>
        </w:rPr>
        <w:t xml:space="preserve">adoption de Règlements techniques harmonisés </w:t>
      </w:r>
      <w:r w:rsidR="00C601A4">
        <w:rPr>
          <w:lang w:val="fr-FR"/>
        </w:rPr>
        <w:br/>
      </w:r>
      <w:r w:rsidR="00316EC7" w:rsidRPr="00175A81">
        <w:rPr>
          <w:lang w:val="fr-FR"/>
        </w:rPr>
        <w:t>de l</w:t>
      </w:r>
      <w:r w:rsidR="00E66100">
        <w:rPr>
          <w:lang w:val="fr-FR"/>
        </w:rPr>
        <w:t>’</w:t>
      </w:r>
      <w:r w:rsidR="00316EC7" w:rsidRPr="00175A81">
        <w:rPr>
          <w:lang w:val="fr-FR"/>
        </w:rPr>
        <w:t xml:space="preserve">ONU applicables aux véhicules à roues et aux équipements </w:t>
      </w:r>
      <w:r w:rsidR="00C601A4">
        <w:rPr>
          <w:lang w:val="fr-FR"/>
        </w:rPr>
        <w:br/>
      </w:r>
      <w:r w:rsidR="00316EC7" w:rsidRPr="00175A81">
        <w:rPr>
          <w:lang w:val="fr-FR"/>
        </w:rPr>
        <w:t>et pièces susceptibles d</w:t>
      </w:r>
      <w:r w:rsidR="00E66100">
        <w:rPr>
          <w:lang w:val="fr-FR"/>
        </w:rPr>
        <w:t>’</w:t>
      </w:r>
      <w:r w:rsidR="00316EC7" w:rsidRPr="00175A81">
        <w:rPr>
          <w:lang w:val="fr-FR"/>
        </w:rPr>
        <w:t xml:space="preserve">être montés ou utilisés sur les véhicules </w:t>
      </w:r>
      <w:r w:rsidR="00C601A4">
        <w:rPr>
          <w:lang w:val="fr-FR"/>
        </w:rPr>
        <w:br/>
      </w:r>
      <w:r w:rsidR="00316EC7" w:rsidRPr="00175A81">
        <w:rPr>
          <w:lang w:val="fr-FR"/>
        </w:rPr>
        <w:t>à roues et les conditions de reconnaissance réciproque des homologations délivrées conformément à ces Règlements</w:t>
      </w:r>
      <w:r w:rsidR="00442E31" w:rsidRPr="00316EC7">
        <w:rPr>
          <w:rStyle w:val="FootnoteReference"/>
          <w:b w:val="0"/>
          <w:sz w:val="20"/>
          <w:vertAlign w:val="baseline"/>
        </w:rPr>
        <w:footnoteReference w:customMarkFollows="1" w:id="2"/>
        <w:t>*</w:t>
      </w:r>
    </w:p>
    <w:p w:rsidR="00421A10" w:rsidRPr="00316EC7" w:rsidRDefault="00421A10" w:rsidP="0029791D">
      <w:pPr>
        <w:pStyle w:val="SingleTxtG"/>
        <w:jc w:val="left"/>
        <w:rPr>
          <w:sz w:val="24"/>
          <w:szCs w:val="24"/>
        </w:rPr>
      </w:pPr>
      <w:r w:rsidRPr="006549FF">
        <w:t xml:space="preserve">(Révision </w:t>
      </w:r>
      <w:r w:rsidR="00316EC7" w:rsidRPr="00175A81">
        <w:rPr>
          <w:lang w:val="fr-FR"/>
        </w:rPr>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316EC7" w:rsidRPr="00175A81">
        <w:rPr>
          <w:sz w:val="26"/>
          <w:szCs w:val="26"/>
          <w:lang w:val="fr-FR"/>
        </w:rPr>
        <w:t xml:space="preserve">103 </w:t>
      </w:r>
      <w:r w:rsidR="00316EC7">
        <w:rPr>
          <w:sz w:val="26"/>
          <w:szCs w:val="26"/>
          <w:lang w:val="fr-FR"/>
        </w:rPr>
        <w:t>−</w:t>
      </w:r>
      <w:r w:rsidR="00316EC7" w:rsidRPr="00175A81">
        <w:rPr>
          <w:sz w:val="26"/>
          <w:szCs w:val="26"/>
          <w:lang w:val="fr-FR"/>
        </w:rPr>
        <w:t xml:space="preserve"> Règlement n</w:t>
      </w:r>
      <w:r w:rsidR="00316EC7" w:rsidRPr="00175A81">
        <w:rPr>
          <w:sz w:val="26"/>
          <w:szCs w:val="26"/>
          <w:vertAlign w:val="superscript"/>
          <w:lang w:val="fr-FR"/>
        </w:rPr>
        <w:t>o</w:t>
      </w:r>
      <w:r w:rsidR="00316EC7" w:rsidRPr="00175A81">
        <w:rPr>
          <w:sz w:val="26"/>
          <w:szCs w:val="26"/>
          <w:lang w:val="fr-FR"/>
        </w:rPr>
        <w:t> 104</w:t>
      </w:r>
    </w:p>
    <w:p w:rsidR="00421A10" w:rsidRPr="006549FF" w:rsidRDefault="0029791D" w:rsidP="0029791D">
      <w:pPr>
        <w:pStyle w:val="H1G"/>
      </w:pPr>
      <w:r>
        <w:tab/>
      </w:r>
      <w:r>
        <w:tab/>
      </w:r>
      <w:r w:rsidR="00316EC7" w:rsidRPr="00175A81">
        <w:rPr>
          <w:lang w:val="fr-FR"/>
        </w:rPr>
        <w:t xml:space="preserve">Révision 1 </w:t>
      </w:r>
      <w:r w:rsidR="00F70372">
        <w:rPr>
          <w:lang w:val="fr-FR"/>
        </w:rPr>
        <w:t>−</w:t>
      </w:r>
      <w:r w:rsidR="00316EC7" w:rsidRPr="00175A81">
        <w:rPr>
          <w:lang w:val="fr-FR"/>
        </w:rPr>
        <w:t xml:space="preserve"> Amendement 3</w:t>
      </w:r>
    </w:p>
    <w:p w:rsidR="00421A10" w:rsidRPr="00F70372" w:rsidRDefault="00316EC7" w:rsidP="00316EC7">
      <w:pPr>
        <w:pStyle w:val="SingleTxtG"/>
        <w:spacing w:after="0"/>
        <w:rPr>
          <w:spacing w:val="-3"/>
        </w:rPr>
      </w:pPr>
      <w:r w:rsidRPr="00F70372">
        <w:rPr>
          <w:spacing w:val="-3"/>
          <w:lang w:val="fr-FR"/>
        </w:rPr>
        <w:t>Complément 9 à la version initiale</w:t>
      </w:r>
      <w:r w:rsidRPr="00F70372">
        <w:rPr>
          <w:b/>
          <w:spacing w:val="-3"/>
          <w:lang w:val="fr-FR"/>
        </w:rPr>
        <w:t xml:space="preserve"> </w:t>
      </w:r>
      <w:r w:rsidRPr="00F70372">
        <w:rPr>
          <w:spacing w:val="-3"/>
          <w:lang w:val="fr-FR"/>
        </w:rPr>
        <w:t>du Règlement</w:t>
      </w:r>
      <w:r w:rsidRPr="00F70372">
        <w:rPr>
          <w:b/>
          <w:spacing w:val="-3"/>
          <w:lang w:val="fr-FR"/>
        </w:rPr>
        <w:t xml:space="preserve"> </w:t>
      </w:r>
      <w:r w:rsidR="00F70372">
        <w:rPr>
          <w:spacing w:val="-3"/>
          <w:lang w:val="fr-FR"/>
        </w:rPr>
        <w:t>− Date d</w:t>
      </w:r>
      <w:r w:rsidR="00E66100">
        <w:rPr>
          <w:spacing w:val="-3"/>
          <w:lang w:val="fr-FR"/>
        </w:rPr>
        <w:t>’</w:t>
      </w:r>
      <w:r w:rsidR="00F70372">
        <w:rPr>
          <w:spacing w:val="-3"/>
          <w:lang w:val="fr-FR"/>
        </w:rPr>
        <w:t>entrée en vigueur </w:t>
      </w:r>
      <w:r w:rsidRPr="00F70372">
        <w:rPr>
          <w:spacing w:val="-3"/>
          <w:lang w:val="fr-FR"/>
        </w:rPr>
        <w:t>: 10</w:t>
      </w:r>
      <w:r w:rsidR="00F70372">
        <w:rPr>
          <w:spacing w:val="-3"/>
          <w:lang w:val="fr-FR"/>
        </w:rPr>
        <w:t> </w:t>
      </w:r>
      <w:r w:rsidRPr="00F70372">
        <w:rPr>
          <w:spacing w:val="-3"/>
          <w:lang w:val="fr-FR"/>
        </w:rPr>
        <w:t>octobre 2017</w:t>
      </w:r>
    </w:p>
    <w:p w:rsidR="00421A10" w:rsidRDefault="0029791D" w:rsidP="0029791D">
      <w:pPr>
        <w:pStyle w:val="H1G"/>
      </w:pPr>
      <w:r>
        <w:tab/>
      </w:r>
      <w:r>
        <w:tab/>
      </w:r>
      <w:r w:rsidR="00F70372" w:rsidRPr="00175A81">
        <w:rPr>
          <w:szCs w:val="24"/>
          <w:lang w:val="fr-FR"/>
        </w:rPr>
        <w:t>Prescriptions uniformes relatives à l</w:t>
      </w:r>
      <w:r w:rsidR="00E66100">
        <w:rPr>
          <w:szCs w:val="24"/>
          <w:lang w:val="fr-FR"/>
        </w:rPr>
        <w:t>’</w:t>
      </w:r>
      <w:r w:rsidR="00F70372" w:rsidRPr="00175A81">
        <w:rPr>
          <w:szCs w:val="24"/>
          <w:lang w:val="fr-FR"/>
        </w:rPr>
        <w:t>homologation des marquages rétroréfléchissants pour véhicules des catégories M, N et O</w:t>
      </w:r>
    </w:p>
    <w:p w:rsidR="00E66100" w:rsidRPr="00AB68D8" w:rsidRDefault="00F70372" w:rsidP="00F70372">
      <w:pPr>
        <w:pStyle w:val="SingleTxtG"/>
        <w:rPr>
          <w:spacing w:val="-2"/>
          <w:lang w:val="fr-FR" w:eastAsia="en-GB"/>
        </w:rPr>
      </w:pPr>
      <w:r w:rsidRPr="00AB68D8">
        <w:rPr>
          <w:spacing w:val="-2"/>
          <w:lang w:val="fr-FR" w:eastAsia="en-GB"/>
        </w:rPr>
        <w:t>Le présent document est communiqué uniquement à titre d</w:t>
      </w:r>
      <w:r w:rsidR="00E66100" w:rsidRPr="00AB68D8">
        <w:rPr>
          <w:spacing w:val="-2"/>
          <w:lang w:val="fr-FR" w:eastAsia="en-GB"/>
        </w:rPr>
        <w:t>’</w:t>
      </w:r>
      <w:r w:rsidRPr="00AB68D8">
        <w:rPr>
          <w:spacing w:val="-2"/>
          <w:lang w:val="fr-FR" w:eastAsia="en-GB"/>
        </w:rPr>
        <w:t>information. Le texte authentique, juridiquement contraignant, est celui du document ECE/TRANS/WP.29/2017/37 (1622501).</w:t>
      </w:r>
    </w:p>
    <w:p w:rsidR="00E66100" w:rsidRPr="00175A81" w:rsidRDefault="00AE5767" w:rsidP="00E66100">
      <w:pPr>
        <w:pStyle w:val="SingleTxtG"/>
        <w:spacing w:line="240" w:lineRule="auto"/>
        <w:rPr>
          <w:lang w:val="fr-FR"/>
        </w:rPr>
      </w:pPr>
      <w:r w:rsidRPr="00AB68D8">
        <w:rPr>
          <w:noProof/>
          <w:spacing w:val="-2"/>
          <w:lang w:eastAsia="fr-CH"/>
        </w:rPr>
        <mc:AlternateContent>
          <mc:Choice Requires="wps">
            <w:drawing>
              <wp:anchor distT="0" distB="0" distL="114300" distR="114300" simplePos="0" relativeHeight="251659264" behindDoc="0" locked="0" layoutInCell="1" allowOverlap="1" wp14:anchorId="50E2F8D1" wp14:editId="2E703F32">
                <wp:simplePos x="0" y="0"/>
                <wp:positionH relativeFrom="margin">
                  <wp:posOffset>55455</wp:posOffset>
                </wp:positionH>
                <wp:positionV relativeFrom="margin">
                  <wp:posOffset>6312870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307FF15C" wp14:editId="375B225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F8D1" id="_x0000_t202" coordsize="21600,21600" o:spt="202" path="m,l,21600r21600,l21600,xe">
                <v:stroke joinstyle="miter"/>
                <v:path gradientshapeok="t" o:connecttype="rect"/>
              </v:shapetype>
              <v:shape id="Zone de texte 4" o:spid="_x0000_s1026" type="#_x0000_t202" style="position:absolute;left:0;text-align:left;margin-left:4.35pt;margin-top:497.1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307FF15C" wp14:editId="375B225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E66100">
        <w:rPr>
          <w:lang w:val="fr-FR" w:eastAsia="en-GB"/>
        </w:rPr>
        <w:br w:type="page"/>
      </w:r>
      <w:r w:rsidR="00E66100" w:rsidRPr="00175A81">
        <w:rPr>
          <w:i/>
          <w:lang w:val="fr-FR"/>
        </w:rPr>
        <w:lastRenderedPageBreak/>
        <w:t>Paragraphe 2.6.1</w:t>
      </w:r>
      <w:r w:rsidR="00E66100" w:rsidRPr="00175A81">
        <w:rPr>
          <w:lang w:val="fr-FR"/>
        </w:rPr>
        <w:t>, lire :</w:t>
      </w:r>
    </w:p>
    <w:p w:rsidR="00E66100" w:rsidRPr="00175A81" w:rsidRDefault="00E66100" w:rsidP="00E66100">
      <w:pPr>
        <w:pStyle w:val="SingleTxtG"/>
        <w:spacing w:line="240" w:lineRule="auto"/>
        <w:ind w:left="2268" w:hanging="1134"/>
        <w:rPr>
          <w:lang w:val="fr-FR"/>
        </w:rPr>
      </w:pPr>
      <w:r w:rsidRPr="00175A81">
        <w:rPr>
          <w:lang w:val="fr-FR"/>
        </w:rPr>
        <w:t>« 2.6.1</w:t>
      </w:r>
      <w:r w:rsidRPr="00175A81">
        <w:rPr>
          <w:lang w:val="fr-FR"/>
        </w:rPr>
        <w:tab/>
      </w:r>
      <w:r w:rsidRPr="00175A81">
        <w:rPr>
          <w:lang w:val="fr-FR"/>
        </w:rPr>
        <w:tab/>
        <w:t>La marque de fabrique ou de commerce :</w:t>
      </w:r>
    </w:p>
    <w:p w:rsidR="00E66100" w:rsidRPr="00175A81" w:rsidRDefault="00E66100" w:rsidP="00E66100">
      <w:pPr>
        <w:pStyle w:val="SingleTxtG"/>
        <w:spacing w:line="240" w:lineRule="auto"/>
        <w:ind w:left="2835" w:hanging="567"/>
        <w:rPr>
          <w:lang w:val="fr-FR"/>
        </w:rPr>
      </w:pPr>
      <w:r w:rsidRPr="00175A81">
        <w:rPr>
          <w:lang w:val="fr-FR"/>
        </w:rPr>
        <w:t>a)</w:t>
      </w:r>
      <w:r w:rsidRPr="00175A81">
        <w:rPr>
          <w:lang w:val="fr-FR"/>
        </w:rPr>
        <w:tab/>
        <w:t>Des dispositifs de marquage rétroréfléchissants portant la même marque de fabrique ou de commerce mais produits par des fabricants différents doivent être considérés comme étant de types différents ;</w:t>
      </w:r>
    </w:p>
    <w:p w:rsidR="00E66100" w:rsidRPr="00175A81" w:rsidRDefault="00E66100" w:rsidP="00E66100">
      <w:pPr>
        <w:pStyle w:val="SingleTxtG"/>
        <w:spacing w:line="240" w:lineRule="auto"/>
        <w:ind w:left="2835" w:hanging="567"/>
        <w:rPr>
          <w:i/>
          <w:lang w:val="fr-FR"/>
        </w:rPr>
      </w:pPr>
      <w:r w:rsidRPr="00175A81">
        <w:rPr>
          <w:lang w:val="fr-FR"/>
        </w:rPr>
        <w:t>b)</w:t>
      </w:r>
      <w:r w:rsidRPr="00175A81">
        <w:rPr>
          <w:lang w:val="fr-FR"/>
        </w:rPr>
        <w:tab/>
        <w:t>Des dispositifs de marquage rétroréfléchissants produits par le même fabricant et ne différant entre eux que par la marque de fabrique ou de commerce doivent être considérés comme étant du même type. ».</w:t>
      </w:r>
    </w:p>
    <w:p w:rsidR="00E66100" w:rsidRPr="00175A81" w:rsidRDefault="00E66100" w:rsidP="00E66100">
      <w:pPr>
        <w:pStyle w:val="SingleTxtG"/>
        <w:spacing w:line="240" w:lineRule="auto"/>
        <w:rPr>
          <w:i/>
          <w:lang w:val="fr-FR"/>
        </w:rPr>
      </w:pPr>
      <w:r w:rsidRPr="00175A81">
        <w:rPr>
          <w:i/>
          <w:lang w:val="fr-FR"/>
        </w:rPr>
        <w:t>Ajouter trois nouveaux paragraphes 3.1.4 à 3.1.4.2</w:t>
      </w:r>
      <w:r w:rsidRPr="00175A81">
        <w:rPr>
          <w:lang w:val="fr-FR"/>
        </w:rPr>
        <w:t>, libellés comme suit </w:t>
      </w:r>
      <w:r w:rsidRPr="00D004AC">
        <w:rPr>
          <w:lang w:val="fr-FR"/>
        </w:rPr>
        <w:t>:</w:t>
      </w:r>
    </w:p>
    <w:p w:rsidR="00E66100" w:rsidRPr="00175A81" w:rsidRDefault="00E66100" w:rsidP="00E66100">
      <w:pPr>
        <w:pStyle w:val="SingleTxtG"/>
        <w:spacing w:line="240" w:lineRule="auto"/>
        <w:ind w:left="2268" w:hanging="1134"/>
        <w:rPr>
          <w:lang w:val="fr-FR"/>
        </w:rPr>
      </w:pPr>
      <w:r w:rsidRPr="00175A81">
        <w:rPr>
          <w:lang w:val="fr-FR"/>
        </w:rPr>
        <w:t>« 3.1.4</w:t>
      </w:r>
      <w:r w:rsidRPr="00175A81">
        <w:rPr>
          <w:lang w:val="fr-FR"/>
        </w:rPr>
        <w:tab/>
        <w:t>Lorsqu’il s’agit d’un type de dispositif de marquage rétroréfléchissant ne différant d’un type homologué antérieurement que par la marque de fabrique ou de commerce, il suffit de présenter :</w:t>
      </w:r>
    </w:p>
    <w:p w:rsidR="00E66100" w:rsidRPr="00175A81" w:rsidRDefault="00E66100" w:rsidP="00E66100">
      <w:pPr>
        <w:pStyle w:val="SingleTxtG"/>
        <w:spacing w:line="240" w:lineRule="auto"/>
        <w:ind w:left="2268" w:hanging="1134"/>
        <w:rPr>
          <w:lang w:val="fr-FR"/>
        </w:rPr>
      </w:pPr>
      <w:r w:rsidRPr="00175A81">
        <w:rPr>
          <w:lang w:val="fr-FR"/>
        </w:rPr>
        <w:t>3.1.4.1</w:t>
      </w:r>
      <w:r w:rsidRPr="00175A81">
        <w:rPr>
          <w:lang w:val="fr-FR"/>
        </w:rPr>
        <w:tab/>
        <w:t>Une déclaration du fabricant du dispositif de marquage rétroréfléchissant précisant que, sauf quant à la marque de fabrique ou de commerce, le type soumis est identique au type déjà homologué (identifié par son code d’homologation) et provient du même fabricant ;</w:t>
      </w:r>
    </w:p>
    <w:p w:rsidR="00E66100" w:rsidRPr="00175A81" w:rsidRDefault="00E66100" w:rsidP="00E66100">
      <w:pPr>
        <w:pStyle w:val="SingleTxtG"/>
        <w:spacing w:line="240" w:lineRule="auto"/>
        <w:ind w:left="2268" w:hanging="1134"/>
        <w:rPr>
          <w:lang w:val="fr-FR"/>
        </w:rPr>
      </w:pPr>
      <w:r w:rsidRPr="00175A81">
        <w:rPr>
          <w:lang w:val="fr-FR"/>
        </w:rPr>
        <w:t>3.1.4.2</w:t>
      </w:r>
      <w:r w:rsidRPr="00175A81">
        <w:rPr>
          <w:lang w:val="fr-FR"/>
        </w:rPr>
        <w:tab/>
        <w:t>Deux échantillons portant la nouvelle marque de fabrique ou de commerce, ou un document équivalent. ».</w:t>
      </w:r>
    </w:p>
    <w:p w:rsidR="00E66100" w:rsidRPr="00175A81" w:rsidRDefault="00E66100" w:rsidP="00E66100">
      <w:pPr>
        <w:pStyle w:val="SingleTxtG"/>
        <w:spacing w:line="240" w:lineRule="auto"/>
        <w:rPr>
          <w:iCs/>
          <w:lang w:val="fr-FR"/>
        </w:rPr>
      </w:pPr>
      <w:r w:rsidRPr="00175A81">
        <w:rPr>
          <w:i/>
          <w:iCs/>
          <w:lang w:val="fr-FR"/>
        </w:rPr>
        <w:t>Paragraphe 6</w:t>
      </w:r>
      <w:r w:rsidRPr="00175A81">
        <w:rPr>
          <w:iCs/>
          <w:lang w:val="fr-FR"/>
        </w:rPr>
        <w:t>, lire :</w:t>
      </w:r>
    </w:p>
    <w:p w:rsidR="00E66100" w:rsidRPr="00175A81" w:rsidRDefault="00E66100" w:rsidP="00E66100">
      <w:pPr>
        <w:pStyle w:val="HChG"/>
        <w:spacing w:line="240" w:lineRule="auto"/>
        <w:rPr>
          <w:lang w:val="fr-FR"/>
        </w:rPr>
      </w:pPr>
      <w:r w:rsidRPr="00175A81">
        <w:rPr>
          <w:lang w:val="fr-FR"/>
        </w:rPr>
        <w:tab/>
      </w:r>
      <w:r w:rsidRPr="00175A81">
        <w:rPr>
          <w:lang w:val="fr-FR"/>
        </w:rPr>
        <w:tab/>
      </w:r>
      <w:r w:rsidRPr="00175A81">
        <w:rPr>
          <w:b w:val="0"/>
          <w:sz w:val="20"/>
          <w:lang w:val="fr-FR"/>
        </w:rPr>
        <w:t>« </w:t>
      </w:r>
      <w:r w:rsidRPr="00175A81">
        <w:rPr>
          <w:lang w:val="fr-FR"/>
        </w:rPr>
        <w:t>6.</w:t>
      </w:r>
      <w:r w:rsidRPr="00175A81">
        <w:rPr>
          <w:lang w:val="fr-FR"/>
        </w:rPr>
        <w:tab/>
      </w:r>
      <w:r w:rsidRPr="00175A81">
        <w:rPr>
          <w:lang w:val="fr-FR"/>
        </w:rPr>
        <w:tab/>
        <w:t>Prescriptions générales</w:t>
      </w:r>
    </w:p>
    <w:p w:rsidR="00E66100" w:rsidRPr="00175A81" w:rsidRDefault="00E66100" w:rsidP="00E66100">
      <w:pPr>
        <w:pStyle w:val="SingleTxtG"/>
        <w:spacing w:line="240" w:lineRule="auto"/>
        <w:ind w:left="2268"/>
        <w:rPr>
          <w:lang w:val="fr-FR"/>
        </w:rPr>
      </w:pPr>
      <w:r w:rsidRPr="00175A81">
        <w:rPr>
          <w:lang w:val="fr-FR"/>
        </w:rPr>
        <w:tab/>
        <w:t xml:space="preserve">Les prescriptions contenues dans les sections 5 “Prescriptions générales” (ou </w:t>
      </w:r>
      <w:r w:rsidRPr="00175A81">
        <w:rPr>
          <w:spacing w:val="-4"/>
          <w:lang w:val="fr-FR"/>
        </w:rPr>
        <w:t>“Spécifications générales”) et 6 “Prescriptions particulières” (ou “Spécifications</w:t>
      </w:r>
      <w:r w:rsidRPr="00175A81">
        <w:rPr>
          <w:lang w:val="fr-FR"/>
        </w:rPr>
        <w:t xml:space="preserve"> particulières”) ainsi que dans les annexes citées dans lesdites sections des Règlements </w:t>
      </w:r>
      <w:r w:rsidRPr="00175A81">
        <w:rPr>
          <w:rFonts w:eastAsia="MS Mincho"/>
          <w:szCs w:val="22"/>
          <w:lang w:val="fr-FR"/>
        </w:rPr>
        <w:t>n</w:t>
      </w:r>
      <w:r w:rsidRPr="00175A81">
        <w:rPr>
          <w:rFonts w:eastAsia="MS Mincho"/>
          <w:szCs w:val="22"/>
          <w:vertAlign w:val="superscript"/>
          <w:lang w:val="fr-FR"/>
        </w:rPr>
        <w:t>os</w:t>
      </w:r>
      <w:r w:rsidRPr="00175A81">
        <w:rPr>
          <w:lang w:val="fr-FR"/>
        </w:rPr>
        <w:t> 48 ou 86 et de leurs séries d’amendements en vigueur à la date de la demande d’homologation de type du dispositif de marquage rétroréfléchissant s’appliquent au présent Règlement.</w:t>
      </w:r>
    </w:p>
    <w:p w:rsidR="00E66100" w:rsidRPr="00175A81" w:rsidRDefault="00E66100" w:rsidP="00E66100">
      <w:pPr>
        <w:pStyle w:val="SingleTxtG"/>
        <w:spacing w:line="240" w:lineRule="auto"/>
        <w:ind w:left="2268"/>
        <w:rPr>
          <w:lang w:val="fr-FR"/>
        </w:rPr>
      </w:pPr>
      <w:r w:rsidRPr="00175A81">
        <w:rPr>
          <w:lang w:val="fr-FR"/>
        </w:rPr>
        <w:tab/>
        <w:t>Les prescriptions pertinentes pour chaque dispositif de marquage rétroréfléchissant et la ou les catégories de véhicules sur lesquelles il est prévu de l’installer sont applicables, pour autant que leur vérification soit possible lors de l’homologation de type du dispositif de marquage rétroréfléchissant.</w:t>
      </w:r>
    </w:p>
    <w:p w:rsidR="00485652" w:rsidRDefault="00E66100" w:rsidP="00E66100">
      <w:pPr>
        <w:pStyle w:val="SingleTxtG"/>
        <w:ind w:left="2268" w:hanging="1134"/>
        <w:rPr>
          <w:lang w:val="fr-FR"/>
        </w:rPr>
      </w:pPr>
      <w:r w:rsidRPr="00175A81">
        <w:rPr>
          <w:lang w:val="fr-FR"/>
        </w:rPr>
        <w:t>6.1</w:t>
      </w:r>
      <w:r w:rsidRPr="00175A81">
        <w:rPr>
          <w:lang w:val="fr-FR"/>
        </w:rPr>
        <w:tab/>
        <w:t>… ».</w:t>
      </w:r>
    </w:p>
    <w:p w:rsidR="00E66100" w:rsidRPr="00E66100" w:rsidRDefault="00E66100" w:rsidP="00E66100">
      <w:pPr>
        <w:pStyle w:val="SingleTxtG"/>
        <w:spacing w:before="240" w:after="0"/>
        <w:jc w:val="center"/>
        <w:rPr>
          <w:u w:val="single"/>
        </w:rPr>
      </w:pPr>
      <w:r>
        <w:rPr>
          <w:u w:val="single"/>
        </w:rPr>
        <w:tab/>
      </w:r>
      <w:r>
        <w:rPr>
          <w:u w:val="single"/>
        </w:rPr>
        <w:tab/>
      </w:r>
      <w:r>
        <w:rPr>
          <w:u w:val="single"/>
        </w:rPr>
        <w:tab/>
      </w:r>
    </w:p>
    <w:sectPr w:rsidR="00E66100" w:rsidRPr="00E66100" w:rsidSect="0048565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BB" w:rsidRDefault="00F820BB"/>
  </w:endnote>
  <w:endnote w:type="continuationSeparator" w:id="0">
    <w:p w:rsidR="00F820BB" w:rsidRDefault="00F820BB">
      <w:pPr>
        <w:pStyle w:val="Footer"/>
      </w:pPr>
    </w:p>
  </w:endnote>
  <w:endnote w:type="continuationNotice" w:id="1">
    <w:p w:rsidR="00F820BB" w:rsidRPr="00C451B9" w:rsidRDefault="00F820B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2" w:rsidRPr="00485652" w:rsidRDefault="00485652" w:rsidP="00485652">
    <w:pPr>
      <w:pStyle w:val="Footer"/>
      <w:tabs>
        <w:tab w:val="right" w:pos="9638"/>
      </w:tabs>
    </w:pPr>
    <w:r w:rsidRPr="00485652">
      <w:rPr>
        <w:b/>
        <w:sz w:val="18"/>
      </w:rPr>
      <w:fldChar w:fldCharType="begin"/>
    </w:r>
    <w:r w:rsidRPr="00485652">
      <w:rPr>
        <w:b/>
        <w:sz w:val="18"/>
      </w:rPr>
      <w:instrText xml:space="preserve"> PAGE  \* MERGEFORMAT </w:instrText>
    </w:r>
    <w:r w:rsidRPr="00485652">
      <w:rPr>
        <w:b/>
        <w:sz w:val="18"/>
      </w:rPr>
      <w:fldChar w:fldCharType="separate"/>
    </w:r>
    <w:r w:rsidR="00B74D61">
      <w:rPr>
        <w:b/>
        <w:noProof/>
        <w:sz w:val="18"/>
      </w:rPr>
      <w:t>2</w:t>
    </w:r>
    <w:r w:rsidRPr="00485652">
      <w:rPr>
        <w:b/>
        <w:sz w:val="18"/>
      </w:rPr>
      <w:fldChar w:fldCharType="end"/>
    </w:r>
    <w:r>
      <w:rPr>
        <w:b/>
        <w:sz w:val="18"/>
      </w:rPr>
      <w:tab/>
    </w:r>
    <w:r>
      <w:t>GE.17-21923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2" w:rsidRPr="00485652" w:rsidRDefault="00485652" w:rsidP="00485652">
    <w:pPr>
      <w:pStyle w:val="Footer"/>
      <w:tabs>
        <w:tab w:val="right" w:pos="9638"/>
      </w:tabs>
      <w:rPr>
        <w:b/>
        <w:sz w:val="18"/>
      </w:rPr>
    </w:pPr>
    <w:r>
      <w:t>GE.17-21923</w:t>
    </w:r>
    <w:r>
      <w:tab/>
    </w:r>
    <w:r w:rsidRPr="00485652">
      <w:rPr>
        <w:b/>
        <w:sz w:val="18"/>
      </w:rPr>
      <w:fldChar w:fldCharType="begin"/>
    </w:r>
    <w:r w:rsidRPr="00485652">
      <w:rPr>
        <w:b/>
        <w:sz w:val="18"/>
      </w:rPr>
      <w:instrText xml:space="preserve"> PAGE  \* MERGEFORMAT </w:instrText>
    </w:r>
    <w:r w:rsidRPr="00485652">
      <w:rPr>
        <w:b/>
        <w:sz w:val="18"/>
      </w:rPr>
      <w:fldChar w:fldCharType="separate"/>
    </w:r>
    <w:r w:rsidR="00EB0EE7">
      <w:rPr>
        <w:b/>
        <w:noProof/>
        <w:sz w:val="18"/>
      </w:rPr>
      <w:t>2</w:t>
    </w:r>
    <w:r w:rsidRPr="004856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485652" w:rsidRDefault="00485652" w:rsidP="00485652">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gramStart"/>
    <w:r>
      <w:rPr>
        <w:sz w:val="20"/>
      </w:rPr>
      <w:t>21923  (</w:t>
    </w:r>
    <w:proofErr w:type="gramEnd"/>
    <w:r>
      <w:rPr>
        <w:sz w:val="20"/>
      </w:rPr>
      <w:t>F)    020318    020318</w:t>
    </w:r>
    <w:r>
      <w:rPr>
        <w:sz w:val="20"/>
      </w:rPr>
      <w:br/>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sidRPr="0048565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3/Rev.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3/Rev.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BB" w:rsidRPr="00D27D5E" w:rsidRDefault="00F820BB" w:rsidP="00D27D5E">
      <w:pPr>
        <w:tabs>
          <w:tab w:val="right" w:pos="2155"/>
        </w:tabs>
        <w:spacing w:after="80"/>
        <w:ind w:left="680"/>
        <w:rPr>
          <w:u w:val="single"/>
        </w:rPr>
      </w:pPr>
      <w:r>
        <w:rPr>
          <w:u w:val="single"/>
        </w:rPr>
        <w:tab/>
      </w:r>
    </w:p>
  </w:footnote>
  <w:footnote w:type="continuationSeparator" w:id="0">
    <w:p w:rsidR="00F820BB" w:rsidRPr="00D171D4" w:rsidRDefault="00F820BB" w:rsidP="00D171D4">
      <w:pPr>
        <w:tabs>
          <w:tab w:val="right" w:pos="2155"/>
        </w:tabs>
        <w:spacing w:after="80"/>
        <w:ind w:left="680"/>
        <w:rPr>
          <w:u w:val="single"/>
        </w:rPr>
      </w:pPr>
      <w:r w:rsidRPr="00D171D4">
        <w:rPr>
          <w:u w:val="single"/>
        </w:rPr>
        <w:tab/>
      </w:r>
    </w:p>
  </w:footnote>
  <w:footnote w:type="continuationNotice" w:id="1">
    <w:p w:rsidR="00F820BB" w:rsidRPr="00C451B9" w:rsidRDefault="00F820BB" w:rsidP="00C451B9">
      <w:pPr>
        <w:spacing w:line="240" w:lineRule="auto"/>
        <w:rPr>
          <w:sz w:val="2"/>
          <w:szCs w:val="2"/>
        </w:rPr>
      </w:pPr>
    </w:p>
  </w:footnote>
  <w:footnote w:id="2">
    <w:p w:rsidR="00EF4309"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8172E7">
        <w:t>’</w:t>
      </w:r>
      <w:r w:rsidRPr="007817A7">
        <w:t>Accor</w:t>
      </w:r>
      <w:r>
        <w:t>d</w:t>
      </w:r>
      <w:r w:rsidR="009268D7">
        <w:t> </w:t>
      </w:r>
      <w:r>
        <w:t>:</w:t>
      </w:r>
    </w:p>
    <w:p w:rsidR="00442E31" w:rsidRDefault="00EF4309">
      <w:pPr>
        <w:pStyle w:val="FootnoteText"/>
      </w:pPr>
      <w:r>
        <w:tab/>
      </w:r>
      <w:r>
        <w:tab/>
      </w:r>
      <w:r w:rsidR="00316EC7" w:rsidRPr="00175A81">
        <w:t>Accord concernant l</w:t>
      </w:r>
      <w:r w:rsidR="008172E7">
        <w:t>’</w:t>
      </w:r>
      <w:r w:rsidR="00316EC7" w:rsidRPr="00175A81">
        <w:t>adoption de conditions uniformes d</w:t>
      </w:r>
      <w:r w:rsidR="008172E7">
        <w:t>’</w:t>
      </w:r>
      <w:r w:rsidR="00316EC7" w:rsidRPr="00175A81">
        <w:t>homologation et la reconnaissance réciproque de l</w:t>
      </w:r>
      <w:r w:rsidR="008172E7">
        <w:t>’</w:t>
      </w:r>
      <w:r w:rsidR="00316EC7" w:rsidRPr="00175A81">
        <w:t>homologation des équipements et pièces de véhicules à moteur, en date, à Genève, du</w:t>
      </w:r>
      <w:r w:rsidR="00316EC7">
        <w:t> </w:t>
      </w:r>
      <w:r w:rsidR="00316EC7" w:rsidRPr="00175A81">
        <w:t>20 mars 1958 (version originale)</w:t>
      </w:r>
      <w:r w:rsidR="00442E31" w:rsidRPr="007817A7">
        <w:t>.</w:t>
      </w:r>
    </w:p>
    <w:p w:rsidR="00316EC7" w:rsidRPr="00442E31" w:rsidRDefault="00316EC7">
      <w:pPr>
        <w:pStyle w:val="FootnoteText"/>
      </w:pPr>
      <w:r>
        <w:tab/>
      </w:r>
      <w:r>
        <w:tab/>
      </w:r>
      <w:r w:rsidRPr="008172E7">
        <w:rPr>
          <w:spacing w:val="-2"/>
        </w:rPr>
        <w:t>Accord concernant l</w:t>
      </w:r>
      <w:r w:rsidR="008172E7" w:rsidRPr="008172E7">
        <w:rPr>
          <w:spacing w:val="-2"/>
        </w:rPr>
        <w:t>’</w:t>
      </w:r>
      <w:r w:rsidRPr="008172E7">
        <w:rPr>
          <w:spacing w:val="-2"/>
        </w:rPr>
        <w:t>adoption de prescriptions techniques uniformes applicables aux véhicules à</w:t>
      </w:r>
      <w:r w:rsidR="008172E7" w:rsidRPr="008172E7">
        <w:rPr>
          <w:spacing w:val="-2"/>
        </w:rPr>
        <w:t xml:space="preserve"> </w:t>
      </w:r>
      <w:r w:rsidRPr="008172E7">
        <w:rPr>
          <w:spacing w:val="-2"/>
        </w:rPr>
        <w:t>roues,</w:t>
      </w:r>
      <w:r w:rsidRPr="00175A81">
        <w:t xml:space="preserve"> aux équipements et aux pièces susceptibles d</w:t>
      </w:r>
      <w:r w:rsidR="008172E7">
        <w:t>’</w:t>
      </w:r>
      <w:r w:rsidRPr="00175A81">
        <w:t xml:space="preserve">être montés ou utilisés sur un véhicule à roues </w:t>
      </w:r>
      <w:r w:rsidR="000B2A60">
        <w:br/>
      </w:r>
      <w:r w:rsidRPr="00175A81">
        <w:t xml:space="preserve">et les conditions de reconnaissance réciproque des homologations délivrées conformément </w:t>
      </w:r>
      <w:r w:rsidR="000B2A60">
        <w:br/>
      </w:r>
      <w:r w:rsidRPr="00175A81">
        <w:t>à ces prescriptions, en date, à Genève, du 5</w:t>
      </w:r>
      <w:r w:rsidR="00AB68D8">
        <w:t> </w:t>
      </w:r>
      <w:r w:rsidRPr="00175A81">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2" w:rsidRPr="00485652" w:rsidRDefault="00485652">
    <w:pPr>
      <w:pStyle w:val="Header"/>
      <w:rPr>
        <w:lang w:val="en-US"/>
      </w:rPr>
    </w:pPr>
    <w:r>
      <w:fldChar w:fldCharType="begin"/>
    </w:r>
    <w:r w:rsidRPr="00485652">
      <w:rPr>
        <w:lang w:val="en-US"/>
      </w:rPr>
      <w:instrText xml:space="preserve"> TITLE  \* MERGEFORMAT </w:instrText>
    </w:r>
    <w:r>
      <w:fldChar w:fldCharType="separate"/>
    </w:r>
    <w:r w:rsidR="00EB0EE7">
      <w:rPr>
        <w:lang w:val="en-US"/>
      </w:rPr>
      <w:t>E/ECE/324/Rev.2/Add.103/Rev.1/Amend.3</w:t>
    </w:r>
    <w:r>
      <w:fldChar w:fldCharType="end"/>
    </w:r>
    <w:r w:rsidRPr="00485652">
      <w:rPr>
        <w:lang w:val="en-US"/>
      </w:rPr>
      <w:br/>
    </w:r>
    <w:r>
      <w:fldChar w:fldCharType="begin"/>
    </w:r>
    <w:r w:rsidRPr="00485652">
      <w:rPr>
        <w:lang w:val="en-US"/>
      </w:rPr>
      <w:instrText xml:space="preserve"> KEYWORDS  \* MERGEFORMAT </w:instrText>
    </w:r>
    <w:r>
      <w:fldChar w:fldCharType="separate"/>
    </w:r>
    <w:r w:rsidR="00EB0EE7">
      <w:rPr>
        <w:lang w:val="en-US"/>
      </w:rPr>
      <w:t>E/ECE/TRANS/505/Rev.2/Add.103/Rev.1/Amend.3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2" w:rsidRPr="00485652" w:rsidRDefault="00485652" w:rsidP="00485652">
    <w:pPr>
      <w:pStyle w:val="Header"/>
      <w:jc w:val="right"/>
      <w:rPr>
        <w:lang w:val="en-US"/>
      </w:rPr>
    </w:pPr>
    <w:r>
      <w:fldChar w:fldCharType="begin"/>
    </w:r>
    <w:r w:rsidRPr="00485652">
      <w:rPr>
        <w:lang w:val="en-US"/>
      </w:rPr>
      <w:instrText xml:space="preserve"> TITLE  \* MERGEFORMAT </w:instrText>
    </w:r>
    <w:r>
      <w:fldChar w:fldCharType="separate"/>
    </w:r>
    <w:r w:rsidR="00EB0EE7">
      <w:rPr>
        <w:lang w:val="en-US"/>
      </w:rPr>
      <w:t>E/ECE/324/Rev.2/Add.103/Rev.1/Amend.3</w:t>
    </w:r>
    <w:r>
      <w:fldChar w:fldCharType="end"/>
    </w:r>
    <w:r w:rsidRPr="00485652">
      <w:rPr>
        <w:lang w:val="en-US"/>
      </w:rPr>
      <w:br/>
    </w:r>
    <w:r>
      <w:fldChar w:fldCharType="begin"/>
    </w:r>
    <w:r w:rsidRPr="00485652">
      <w:rPr>
        <w:lang w:val="en-US"/>
      </w:rPr>
      <w:instrText xml:space="preserve"> KEYWORDS  \* MERGEFORMAT </w:instrText>
    </w:r>
    <w:r>
      <w:fldChar w:fldCharType="separate"/>
    </w:r>
    <w:r w:rsidR="00EB0EE7">
      <w:rPr>
        <w:lang w:val="en-US"/>
      </w:rPr>
      <w:t>E/ECE/TRANS/505/Rev.2/Add.103/Rev.1/Amend.3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2A60"/>
    <w:rsid w:val="000C6CDB"/>
    <w:rsid w:val="000D4F6E"/>
    <w:rsid w:val="000D5C25"/>
    <w:rsid w:val="000E4F06"/>
    <w:rsid w:val="000E5601"/>
    <w:rsid w:val="000E5602"/>
    <w:rsid w:val="000F41F2"/>
    <w:rsid w:val="0010373B"/>
    <w:rsid w:val="001067D5"/>
    <w:rsid w:val="0011415F"/>
    <w:rsid w:val="00125446"/>
    <w:rsid w:val="001358D9"/>
    <w:rsid w:val="00141E26"/>
    <w:rsid w:val="00143EB9"/>
    <w:rsid w:val="00152C5A"/>
    <w:rsid w:val="0015389C"/>
    <w:rsid w:val="00160540"/>
    <w:rsid w:val="00162A69"/>
    <w:rsid w:val="00166C68"/>
    <w:rsid w:val="00174814"/>
    <w:rsid w:val="00181A90"/>
    <w:rsid w:val="00190D5D"/>
    <w:rsid w:val="00192EEB"/>
    <w:rsid w:val="00194484"/>
    <w:rsid w:val="001A2040"/>
    <w:rsid w:val="001A20FB"/>
    <w:rsid w:val="001A252F"/>
    <w:rsid w:val="001A376F"/>
    <w:rsid w:val="001A7444"/>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67348"/>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6EC7"/>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5652"/>
    <w:rsid w:val="0048687D"/>
    <w:rsid w:val="00490F56"/>
    <w:rsid w:val="00491F39"/>
    <w:rsid w:val="004A49A5"/>
    <w:rsid w:val="004A66A2"/>
    <w:rsid w:val="004B07A3"/>
    <w:rsid w:val="004B0CB7"/>
    <w:rsid w:val="004B261D"/>
    <w:rsid w:val="004B51CD"/>
    <w:rsid w:val="004B576C"/>
    <w:rsid w:val="004C54C0"/>
    <w:rsid w:val="004C56B2"/>
    <w:rsid w:val="004C6F4A"/>
    <w:rsid w:val="004D00B2"/>
    <w:rsid w:val="004E3182"/>
    <w:rsid w:val="004E4963"/>
    <w:rsid w:val="004E6809"/>
    <w:rsid w:val="004E7F24"/>
    <w:rsid w:val="005111B1"/>
    <w:rsid w:val="0051457E"/>
    <w:rsid w:val="00515FE3"/>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0E6F"/>
    <w:rsid w:val="00661E96"/>
    <w:rsid w:val="00665508"/>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72E7"/>
    <w:rsid w:val="008245B7"/>
    <w:rsid w:val="0082755E"/>
    <w:rsid w:val="00831A18"/>
    <w:rsid w:val="00837345"/>
    <w:rsid w:val="00844750"/>
    <w:rsid w:val="00851A74"/>
    <w:rsid w:val="00853AB8"/>
    <w:rsid w:val="00854C34"/>
    <w:rsid w:val="0085586A"/>
    <w:rsid w:val="00856DB2"/>
    <w:rsid w:val="00856EF1"/>
    <w:rsid w:val="0087375B"/>
    <w:rsid w:val="00895DE5"/>
    <w:rsid w:val="008A0FA8"/>
    <w:rsid w:val="008A1EC0"/>
    <w:rsid w:val="008A4A2E"/>
    <w:rsid w:val="008B44C4"/>
    <w:rsid w:val="008C322B"/>
    <w:rsid w:val="008C4B74"/>
    <w:rsid w:val="008C4EF8"/>
    <w:rsid w:val="008D1156"/>
    <w:rsid w:val="008D59DB"/>
    <w:rsid w:val="008E0319"/>
    <w:rsid w:val="008E4DE2"/>
    <w:rsid w:val="008E6252"/>
    <w:rsid w:val="008E7CE2"/>
    <w:rsid w:val="008E7FAE"/>
    <w:rsid w:val="00911BF7"/>
    <w:rsid w:val="0091594A"/>
    <w:rsid w:val="009230F1"/>
    <w:rsid w:val="009268D7"/>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3440"/>
    <w:rsid w:val="00A2492E"/>
    <w:rsid w:val="00A27C92"/>
    <w:rsid w:val="00A31163"/>
    <w:rsid w:val="00A34593"/>
    <w:rsid w:val="00A364DB"/>
    <w:rsid w:val="00A45E90"/>
    <w:rsid w:val="00A4770F"/>
    <w:rsid w:val="00A50D6B"/>
    <w:rsid w:val="00A51050"/>
    <w:rsid w:val="00A56945"/>
    <w:rsid w:val="00A57027"/>
    <w:rsid w:val="00A5750C"/>
    <w:rsid w:val="00A7260D"/>
    <w:rsid w:val="00A72C35"/>
    <w:rsid w:val="00A752BB"/>
    <w:rsid w:val="00A81F93"/>
    <w:rsid w:val="00A9247E"/>
    <w:rsid w:val="00AA0DCA"/>
    <w:rsid w:val="00AA7796"/>
    <w:rsid w:val="00AB68D8"/>
    <w:rsid w:val="00AC67A1"/>
    <w:rsid w:val="00AC7977"/>
    <w:rsid w:val="00AC7E56"/>
    <w:rsid w:val="00AE2617"/>
    <w:rsid w:val="00AE352C"/>
    <w:rsid w:val="00AE39A5"/>
    <w:rsid w:val="00AE5767"/>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4D61"/>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12EF"/>
    <w:rsid w:val="00C261F8"/>
    <w:rsid w:val="00C27662"/>
    <w:rsid w:val="00C32914"/>
    <w:rsid w:val="00C33100"/>
    <w:rsid w:val="00C42EDB"/>
    <w:rsid w:val="00C451B9"/>
    <w:rsid w:val="00C51D9C"/>
    <w:rsid w:val="00C54DA4"/>
    <w:rsid w:val="00C55118"/>
    <w:rsid w:val="00C577D1"/>
    <w:rsid w:val="00C57A2D"/>
    <w:rsid w:val="00C6018C"/>
    <w:rsid w:val="00C601A4"/>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CE4CEF"/>
    <w:rsid w:val="00D004AC"/>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100"/>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0EE7"/>
    <w:rsid w:val="00EB77B9"/>
    <w:rsid w:val="00EB7D07"/>
    <w:rsid w:val="00ED06E8"/>
    <w:rsid w:val="00ED3A26"/>
    <w:rsid w:val="00EF4309"/>
    <w:rsid w:val="00EF70BB"/>
    <w:rsid w:val="00F0299A"/>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461E"/>
    <w:rsid w:val="00F70372"/>
    <w:rsid w:val="00F734D9"/>
    <w:rsid w:val="00F73F83"/>
    <w:rsid w:val="00F74902"/>
    <w:rsid w:val="00F820BB"/>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92B9476-4431-4E35-91E8-059A02CD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E66100"/>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E/ECE/324/Rev.2/Add.103/Rev.1/Amend.3</vt:lpstr>
      <vt:lpstr>E/ECE/324/Rev.2/Add.103/Rev.1/Amend.3</vt:lpstr>
    </vt:vector>
  </TitlesOfParts>
  <Company>CSD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E/ECE/324/Rev.2/Add.103/Rev.1/Amend.3</dc:title>
  <dc:creator>Corinne ROBERT</dc:creator>
  <cp:keywords>E/ECE/TRANS/505/Rev.2/Add.103/Rev.1/Amend.3</cp:keywords>
  <cp:lastModifiedBy>Olivia Braud</cp:lastModifiedBy>
  <cp:revision>2</cp:revision>
  <cp:lastPrinted>2018-03-02T15:04:00Z</cp:lastPrinted>
  <dcterms:created xsi:type="dcterms:W3CDTF">2018-08-23T07:46:00Z</dcterms:created>
  <dcterms:modified xsi:type="dcterms:W3CDTF">2018-08-23T07:46:00Z</dcterms:modified>
</cp:coreProperties>
</file>