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F2642" w14:paraId="08D12C0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26E60" w14:textId="77777777" w:rsidR="006F2642" w:rsidRPr="006F2642" w:rsidRDefault="006F2642" w:rsidP="006F2642">
            <w:pPr>
              <w:jc w:val="right"/>
              <w:rPr>
                <w:lang w:val="en-US"/>
              </w:rPr>
            </w:pPr>
            <w:r w:rsidRPr="006F2642">
              <w:rPr>
                <w:sz w:val="40"/>
                <w:lang w:val="en-US"/>
              </w:rPr>
              <w:t>E</w:t>
            </w:r>
            <w:r w:rsidRPr="006F2642">
              <w:rPr>
                <w:lang w:val="en-US"/>
              </w:rPr>
              <w:t>/ECE/324/Rev.1/Add.98/Rev.3/Amend.5−</w:t>
            </w:r>
            <w:r w:rsidRPr="006F2642">
              <w:rPr>
                <w:sz w:val="40"/>
                <w:lang w:val="en-US"/>
              </w:rPr>
              <w:t>E</w:t>
            </w:r>
            <w:r w:rsidRPr="006F2642">
              <w:rPr>
                <w:lang w:val="en-US"/>
              </w:rPr>
              <w:t>/ECE/TRANS/505/Rev.1/Add.98/Rev.3/Amend.5</w:t>
            </w:r>
          </w:p>
        </w:tc>
      </w:tr>
      <w:tr w:rsidR="00421A10" w:rsidRPr="00DB58B5" w14:paraId="2D2F4F21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9393A9" w14:textId="77777777" w:rsidR="00421A10" w:rsidRPr="006F264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94A94A" w14:textId="77777777" w:rsidR="00421A10" w:rsidRPr="00DB58B5" w:rsidRDefault="006F2642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0AFB774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C1B09BF" w14:textId="77777777" w:rsidR="00421A10" w:rsidRPr="00583D68" w:rsidRDefault="0029791D" w:rsidP="0029791D">
      <w:pPr>
        <w:pStyle w:val="H1G"/>
      </w:pPr>
      <w:r>
        <w:tab/>
      </w:r>
      <w:r>
        <w:tab/>
      </w:r>
      <w:r w:rsidR="00C36F5C" w:rsidRPr="00C7340A">
        <w:t>Concernant l</w:t>
      </w:r>
      <w:r w:rsidR="00C36F5C">
        <w:t>’</w:t>
      </w:r>
      <w:r w:rsidR="00C36F5C" w:rsidRPr="00C7340A">
        <w:t xml:space="preserve">adoption de Règlements techniques harmonisés </w:t>
      </w:r>
      <w:r w:rsidR="00C36F5C">
        <w:br/>
      </w:r>
      <w:r w:rsidR="00C36F5C" w:rsidRPr="00C7340A">
        <w:t>de l</w:t>
      </w:r>
      <w:r w:rsidR="00C36F5C">
        <w:t>’</w:t>
      </w:r>
      <w:r w:rsidR="00C36F5C" w:rsidRPr="00C7340A">
        <w:t xml:space="preserve">ONU applicables aux véhicules à roues et aux équipements </w:t>
      </w:r>
      <w:r w:rsidR="00C36F5C">
        <w:br/>
      </w:r>
      <w:r w:rsidR="00C36F5C" w:rsidRPr="00C7340A">
        <w:t>et pièces susceptibles d</w:t>
      </w:r>
      <w:r w:rsidR="00C36F5C">
        <w:t>’</w:t>
      </w:r>
      <w:r w:rsidR="00C36F5C" w:rsidRPr="00C7340A">
        <w:t xml:space="preserve">être montés ou utilisés sur les véhicules </w:t>
      </w:r>
      <w:r w:rsidR="00C36F5C">
        <w:br/>
      </w:r>
      <w:r w:rsidR="00C36F5C" w:rsidRPr="00C7340A">
        <w:t xml:space="preserve">à roues et les conditions de reconnaissance réciproque </w:t>
      </w:r>
      <w:r w:rsidR="00C36F5C">
        <w:br/>
      </w:r>
      <w:r w:rsidR="00C36F5C" w:rsidRPr="00C7340A">
        <w:t>des homologations</w:t>
      </w:r>
      <w:bookmarkStart w:id="0" w:name="_GoBack"/>
      <w:bookmarkEnd w:id="0"/>
      <w:r w:rsidR="00C36F5C" w:rsidRPr="00C7340A">
        <w:t xml:space="preserve"> délivrées conformément à ces Règlements</w:t>
      </w:r>
      <w:r w:rsidR="00442E31" w:rsidRPr="00C36F5C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6451DE5E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C36F5C" w:rsidRPr="00C7340A">
        <w:t>3</w:t>
      </w:r>
      <w:r w:rsidR="00C36F5C" w:rsidRPr="00E85599">
        <w:t xml:space="preserve">, </w:t>
      </w:r>
      <w:r w:rsidR="00C36F5C" w:rsidRPr="008A4E1E">
        <w:t>comprenant les amendements entrés en vigueur le 14</w:t>
      </w:r>
      <w:r w:rsidR="00E62A9B">
        <w:t> </w:t>
      </w:r>
      <w:r w:rsidR="00C36F5C" w:rsidRPr="008A4E1E">
        <w:t>septembre 2017</w:t>
      </w:r>
      <w:r w:rsidRPr="006549FF">
        <w:t>)</w:t>
      </w:r>
    </w:p>
    <w:p w14:paraId="33CCB143" w14:textId="77777777" w:rsidR="00421A10" w:rsidRPr="006549FF" w:rsidRDefault="0029791D" w:rsidP="0029791D">
      <w:pPr>
        <w:jc w:val="center"/>
      </w:pPr>
      <w:r>
        <w:t>_______________</w:t>
      </w:r>
    </w:p>
    <w:p w14:paraId="4EB92D82" w14:textId="77777777" w:rsidR="00421A10" w:rsidRPr="006549FF" w:rsidRDefault="0029791D" w:rsidP="006807CA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62A9B">
        <w:t>98 −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62A9B">
        <w:t>99</w:t>
      </w:r>
    </w:p>
    <w:p w14:paraId="3113A9B9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4C6697">
        <w:t>3 − Amendement 5</w:t>
      </w:r>
    </w:p>
    <w:p w14:paraId="5A62DB59" w14:textId="77777777" w:rsidR="00421A10" w:rsidRPr="004C6697" w:rsidRDefault="004C6697" w:rsidP="0029791D">
      <w:pPr>
        <w:pStyle w:val="SingleTxtG"/>
        <w:spacing w:after="0"/>
        <w:rPr>
          <w:spacing w:val="-2"/>
        </w:rPr>
      </w:pPr>
      <w:r w:rsidRPr="004C6697">
        <w:rPr>
          <w:spacing w:val="-2"/>
        </w:rPr>
        <w:t xml:space="preserve">Complément 14 à la version originale du Règlement </w:t>
      </w:r>
      <w:r w:rsidRPr="004C6697">
        <w:rPr>
          <w:spacing w:val="-2"/>
        </w:rPr>
        <w:t>−</w:t>
      </w:r>
      <w:r w:rsidRPr="004C6697">
        <w:rPr>
          <w:spacing w:val="-2"/>
        </w:rPr>
        <w:t xml:space="preserve"> Date d’entrée en vigueur : 28</w:t>
      </w:r>
      <w:r w:rsidRPr="004C6697">
        <w:rPr>
          <w:spacing w:val="-2"/>
        </w:rPr>
        <w:t> </w:t>
      </w:r>
      <w:r w:rsidRPr="004C6697">
        <w:rPr>
          <w:spacing w:val="-2"/>
        </w:rPr>
        <w:t>mai 2019</w:t>
      </w:r>
    </w:p>
    <w:p w14:paraId="1D85C791" w14:textId="77777777" w:rsidR="004C6697" w:rsidRDefault="0029791D" w:rsidP="0029791D">
      <w:pPr>
        <w:pStyle w:val="H1G"/>
      </w:pPr>
      <w:r>
        <w:tab/>
      </w:r>
      <w:r>
        <w:tab/>
      </w:r>
      <w:r w:rsidR="004C6697" w:rsidRPr="00C7340A">
        <w:t>Prescriptions uniformes relatives à l</w:t>
      </w:r>
      <w:r w:rsidR="004C6697">
        <w:t>’</w:t>
      </w:r>
      <w:r w:rsidR="004C6697" w:rsidRPr="00C7340A">
        <w:t>homologation des sources lumineuses</w:t>
      </w:r>
      <w:r w:rsidR="004C6697">
        <w:t xml:space="preserve"> </w:t>
      </w:r>
      <w:r w:rsidR="004C6697" w:rsidRPr="00C7340A">
        <w:t xml:space="preserve">à décharge pour projecteurs homologués de véhicules </w:t>
      </w:r>
      <w:r w:rsidR="00C13330">
        <w:br/>
      </w:r>
      <w:r w:rsidR="004C6697" w:rsidRPr="00C7340A">
        <w:t>à moteur</w:t>
      </w:r>
      <w:r w:rsidR="004C6697">
        <w:t xml:space="preserve"> </w:t>
      </w:r>
    </w:p>
    <w:p w14:paraId="3045BE2C" w14:textId="77777777" w:rsidR="004C6697" w:rsidRPr="004C6697" w:rsidRDefault="004C6697" w:rsidP="004C6697">
      <w:pPr>
        <w:pStyle w:val="SingleTxtG"/>
        <w:spacing w:after="0"/>
      </w:pPr>
      <w:r w:rsidRPr="009F1784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9F1784">
        <w:rPr>
          <w:spacing w:val="-4"/>
          <w:lang w:eastAsia="en-GB"/>
        </w:rPr>
        <w:t>information.</w:t>
      </w:r>
      <w:r w:rsidRPr="009F1784">
        <w:rPr>
          <w:lang w:eastAsia="en-GB"/>
        </w:rPr>
        <w:t xml:space="preserve"> L</w:t>
      </w:r>
      <w:r w:rsidRPr="009F1784">
        <w:t>e texte authentique, juridiquement contraignant, est celui du document</w:t>
      </w:r>
      <w:r w:rsidRPr="009F1784">
        <w:rPr>
          <w:lang w:eastAsia="en-GB"/>
        </w:rPr>
        <w:t xml:space="preserve"> </w:t>
      </w:r>
      <w:r w:rsidRPr="00C7340A">
        <w:rPr>
          <w:spacing w:val="-6"/>
          <w:lang w:eastAsia="en-GB"/>
        </w:rPr>
        <w:t>ECE/TRANS/WP.29/2018/89.</w:t>
      </w:r>
    </w:p>
    <w:p w14:paraId="7E9D762C" w14:textId="77777777" w:rsidR="00810E6F" w:rsidRPr="0022441C" w:rsidRDefault="004C6697" w:rsidP="00613290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442AC" wp14:editId="53DEB346">
                <wp:simplePos x="0" y="0"/>
                <wp:positionH relativeFrom="margin">
                  <wp:posOffset>-2540</wp:posOffset>
                </wp:positionH>
                <wp:positionV relativeFrom="margin">
                  <wp:posOffset>6370955</wp:posOffset>
                </wp:positionV>
                <wp:extent cx="6119495" cy="11874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3AFF" w14:textId="77777777" w:rsidR="00442E31" w:rsidRPr="0029791D" w:rsidRDefault="00442E31" w:rsidP="004C6697">
                            <w:pPr>
                              <w:spacing w:before="60"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BA53F40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CB30B9A" wp14:editId="5BD0FFE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78425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42A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2pt;margin-top:501.65pt;width:481.8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" stroked="f">
                <v:textbox inset="0,0,0,0">
                  <w:txbxContent>
                    <w:p w14:paraId="58B53AFF" w14:textId="77777777" w:rsidR="00442E31" w:rsidRPr="0029791D" w:rsidRDefault="00442E31" w:rsidP="004C6697">
                      <w:pPr>
                        <w:spacing w:before="60"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BA53F40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CB30B9A" wp14:editId="5BD0FFE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78425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810E6F" w:rsidRPr="00613290">
        <w:rPr>
          <w:i/>
        </w:rPr>
        <w:lastRenderedPageBreak/>
        <w:t>Paragraphe 2.4.2</w:t>
      </w:r>
      <w:r w:rsidR="00810E6F" w:rsidRPr="0022441C">
        <w:t>, lire :</w:t>
      </w:r>
    </w:p>
    <w:p w14:paraId="79CB6E2B" w14:textId="77777777" w:rsidR="00810E6F" w:rsidRPr="0022441C" w:rsidRDefault="00810E6F" w:rsidP="00613290">
      <w:pPr>
        <w:pStyle w:val="SingleTxtG"/>
        <w:tabs>
          <w:tab w:val="left" w:pos="2268"/>
        </w:tabs>
        <w:rPr>
          <w:strike/>
          <w:color w:val="19161B"/>
        </w:rPr>
      </w:pPr>
      <w:r w:rsidRPr="0022441C">
        <w:t>«</w:t>
      </w:r>
      <w:r w:rsidR="00613290">
        <w:t> </w:t>
      </w:r>
      <w:r w:rsidRPr="0022441C">
        <w:t>2.4.2</w:t>
      </w:r>
      <w:r w:rsidRPr="0022441C">
        <w:tab/>
        <w:t>Un code d</w:t>
      </w:r>
      <w:r>
        <w:t>’</w:t>
      </w:r>
      <w:r w:rsidRPr="0022441C">
        <w:t>homologation est attribué à chaque type homologué.</w:t>
      </w:r>
    </w:p>
    <w:p w14:paraId="0C4E4EF3" w14:textId="77777777" w:rsidR="00810E6F" w:rsidRPr="0022441C" w:rsidRDefault="00810E6F" w:rsidP="00613290">
      <w:pPr>
        <w:pStyle w:val="SingleTxtG"/>
        <w:ind w:left="2268"/>
      </w:pPr>
      <w:r w:rsidRPr="0022441C">
        <w:t>Ce code d</w:t>
      </w:r>
      <w:r>
        <w:t>’</w:t>
      </w:r>
      <w:r w:rsidRPr="0022441C">
        <w:t>homologation doit constituer la section 3 du numéro d</w:t>
      </w:r>
      <w:r>
        <w:t>’</w:t>
      </w:r>
      <w:r w:rsidRPr="0022441C">
        <w:t>homologation</w:t>
      </w:r>
      <w:r w:rsidRPr="0022441C">
        <w:rPr>
          <w:sz w:val="18"/>
          <w:szCs w:val="18"/>
          <w:vertAlign w:val="superscript"/>
        </w:rPr>
        <w:t>2</w:t>
      </w:r>
      <w:r w:rsidRPr="0022441C">
        <w:t>.</w:t>
      </w:r>
    </w:p>
    <w:p w14:paraId="33378656" w14:textId="77777777" w:rsidR="00810E6F" w:rsidRPr="0022441C" w:rsidRDefault="00810E6F" w:rsidP="00613290">
      <w:pPr>
        <w:pStyle w:val="SingleTxtG"/>
        <w:ind w:left="2268"/>
      </w:pPr>
      <w:r w:rsidRPr="0022441C">
        <w:tab/>
        <w:t>Une même Partie contractante ne peut pas attribuer ce même code à un autre type de source lumineuse à décharge. Si le demandeur le désire, le même numéro d</w:t>
      </w:r>
      <w:r>
        <w:t>’</w:t>
      </w:r>
      <w:r w:rsidRPr="0022441C">
        <w:t>homologation (et le même code d</w:t>
      </w:r>
      <w:r>
        <w:t>’</w:t>
      </w:r>
      <w:r w:rsidRPr="0022441C">
        <w:t>homologation correspondant) peut être assigné à une source lumineuse à décharge émettant une lumière blanche et à une source lumineuse à décharge émettant une lumière jaune sélectif (voir par. 2.1.2). ».</w:t>
      </w:r>
    </w:p>
    <w:p w14:paraId="742964B6" w14:textId="77777777" w:rsidR="00810E6F" w:rsidRPr="0022441C" w:rsidRDefault="00810E6F" w:rsidP="00613290">
      <w:pPr>
        <w:pStyle w:val="SingleTxtG"/>
        <w:rPr>
          <w:bCs/>
          <w:szCs w:val="24"/>
        </w:rPr>
      </w:pPr>
      <w:r w:rsidRPr="0022441C">
        <w:rPr>
          <w:bCs/>
          <w:i/>
          <w:szCs w:val="24"/>
        </w:rPr>
        <w:t>Note de bas de page 2</w:t>
      </w:r>
      <w:r w:rsidRPr="0022441C">
        <w:rPr>
          <w:bCs/>
          <w:szCs w:val="24"/>
        </w:rPr>
        <w:t>, lire :</w:t>
      </w:r>
    </w:p>
    <w:p w14:paraId="7309814A" w14:textId="77777777" w:rsidR="00810E6F" w:rsidRPr="0022441C" w:rsidRDefault="00810E6F" w:rsidP="00613290">
      <w:pPr>
        <w:pStyle w:val="SingleTxtG"/>
        <w:tabs>
          <w:tab w:val="left" w:pos="2268"/>
        </w:tabs>
        <w:rPr>
          <w:bCs/>
          <w:szCs w:val="24"/>
        </w:rPr>
      </w:pPr>
      <w:r w:rsidRPr="0022441C">
        <w:rPr>
          <w:bCs/>
          <w:szCs w:val="24"/>
        </w:rPr>
        <w:t>« </w:t>
      </w:r>
      <w:r w:rsidRPr="0022441C">
        <w:rPr>
          <w:bCs/>
          <w:sz w:val="18"/>
          <w:szCs w:val="18"/>
          <w:vertAlign w:val="superscript"/>
        </w:rPr>
        <w:t>2</w:t>
      </w:r>
      <w:r w:rsidRPr="0022441C">
        <w:rPr>
          <w:bCs/>
          <w:sz w:val="18"/>
          <w:szCs w:val="18"/>
        </w:rPr>
        <w:t xml:space="preserve">  </w:t>
      </w:r>
      <w:r w:rsidRPr="0022441C">
        <w:rPr>
          <w:bCs/>
          <w:szCs w:val="24"/>
          <w:lang w:eastAsia="it-IT"/>
        </w:rPr>
        <w:t>Accord de 1958, révision 3, annexe 4 (E/ECE/TRANS/505/Rev.3). ».</w:t>
      </w:r>
    </w:p>
    <w:p w14:paraId="4EB1F8BB" w14:textId="77777777" w:rsidR="00810E6F" w:rsidRPr="0022441C" w:rsidRDefault="00810E6F" w:rsidP="00613290">
      <w:pPr>
        <w:pStyle w:val="SingleTxtG"/>
        <w:rPr>
          <w:bCs/>
          <w:szCs w:val="24"/>
        </w:rPr>
      </w:pPr>
      <w:r w:rsidRPr="0022441C">
        <w:rPr>
          <w:bCs/>
          <w:i/>
          <w:szCs w:val="24"/>
        </w:rPr>
        <w:t>Paragraphe 2.4.5</w:t>
      </w:r>
      <w:r w:rsidRPr="0022441C">
        <w:rPr>
          <w:bCs/>
          <w:szCs w:val="24"/>
        </w:rPr>
        <w:t>, lire :</w:t>
      </w:r>
    </w:p>
    <w:p w14:paraId="1C9FF9B9" w14:textId="77777777" w:rsidR="00810E6F" w:rsidRPr="0022441C" w:rsidRDefault="00810E6F" w:rsidP="00613290">
      <w:pPr>
        <w:pStyle w:val="SingleTxtG"/>
        <w:tabs>
          <w:tab w:val="left" w:pos="2268"/>
        </w:tabs>
        <w:ind w:left="2268" w:hanging="1134"/>
        <w:rPr>
          <w:szCs w:val="24"/>
        </w:rPr>
      </w:pPr>
      <w:r w:rsidRPr="0022441C">
        <w:rPr>
          <w:bCs/>
          <w:szCs w:val="24"/>
        </w:rPr>
        <w:t>«</w:t>
      </w:r>
      <w:r w:rsidR="00613290">
        <w:rPr>
          <w:bCs/>
          <w:szCs w:val="24"/>
        </w:rPr>
        <w:t> </w:t>
      </w:r>
      <w:r w:rsidRPr="0022441C">
        <w:rPr>
          <w:szCs w:val="24"/>
        </w:rPr>
        <w:t>2.4.5</w:t>
      </w:r>
      <w:r w:rsidRPr="0022441C">
        <w:rPr>
          <w:szCs w:val="24"/>
        </w:rPr>
        <w:tab/>
        <w:t>Si le demandeur a obtenu le même numéro d</w:t>
      </w:r>
      <w:r>
        <w:rPr>
          <w:szCs w:val="24"/>
        </w:rPr>
        <w:t>’</w:t>
      </w:r>
      <w:r w:rsidRPr="0022441C">
        <w:rPr>
          <w:szCs w:val="24"/>
        </w:rPr>
        <w:t>homologation (et le même code d</w:t>
      </w:r>
      <w:r>
        <w:rPr>
          <w:szCs w:val="24"/>
        </w:rPr>
        <w:t>’</w:t>
      </w:r>
      <w:r w:rsidRPr="0022441C">
        <w:rPr>
          <w:szCs w:val="24"/>
        </w:rPr>
        <w:t>homologation correspondant) pour différentes marques de fabrique ou de commerce, il suffit d</w:t>
      </w:r>
      <w:r>
        <w:rPr>
          <w:szCs w:val="24"/>
        </w:rPr>
        <w:t>’</w:t>
      </w:r>
      <w:r w:rsidRPr="0022441C">
        <w:rPr>
          <w:szCs w:val="24"/>
        </w:rPr>
        <w:t>apposer une ou plusieurs d</w:t>
      </w:r>
      <w:r>
        <w:rPr>
          <w:szCs w:val="24"/>
        </w:rPr>
        <w:t>’</w:t>
      </w:r>
      <w:r w:rsidRPr="0022441C">
        <w:rPr>
          <w:szCs w:val="24"/>
        </w:rPr>
        <w:t>entre elles pour satisfaire aux exigences du paragraphe 2.3.1.1. ».</w:t>
      </w:r>
    </w:p>
    <w:p w14:paraId="403BF53D" w14:textId="77777777" w:rsidR="00810E6F" w:rsidRPr="0022441C" w:rsidRDefault="00810E6F" w:rsidP="00613290">
      <w:pPr>
        <w:pStyle w:val="SingleTxtG"/>
        <w:rPr>
          <w:bCs/>
          <w:i/>
          <w:szCs w:val="24"/>
        </w:rPr>
      </w:pPr>
      <w:r w:rsidRPr="0022441C">
        <w:rPr>
          <w:bCs/>
          <w:i/>
          <w:szCs w:val="24"/>
        </w:rPr>
        <w:t>Annexe 2</w:t>
      </w:r>
      <w:r w:rsidRPr="0022441C">
        <w:rPr>
          <w:bCs/>
          <w:szCs w:val="24"/>
        </w:rPr>
        <w:t>,</w:t>
      </w:r>
      <w:r w:rsidRPr="0022441C">
        <w:rPr>
          <w:bCs/>
          <w:i/>
          <w:szCs w:val="24"/>
        </w:rPr>
        <w:t xml:space="preserve"> </w:t>
      </w:r>
      <w:r w:rsidRPr="0022441C">
        <w:rPr>
          <w:bCs/>
          <w:szCs w:val="24"/>
        </w:rPr>
        <w:t>lire :</w:t>
      </w:r>
    </w:p>
    <w:p w14:paraId="573C067E" w14:textId="77777777" w:rsidR="00810E6F" w:rsidRPr="00E84BC6" w:rsidRDefault="00810E6F" w:rsidP="00613290">
      <w:pPr>
        <w:pStyle w:val="SingleTxtG"/>
        <w:tabs>
          <w:tab w:val="left" w:pos="2268"/>
        </w:tabs>
        <w:ind w:left="2268" w:hanging="1134"/>
      </w:pPr>
      <w:r w:rsidRPr="00E84BC6">
        <w:rPr>
          <w:bCs/>
        </w:rPr>
        <w:t>« …</w:t>
      </w:r>
    </w:p>
    <w:p w14:paraId="34D1E7BE" w14:textId="77777777" w:rsidR="00810E6F" w:rsidRPr="0022441C" w:rsidRDefault="00810E6F" w:rsidP="00613290">
      <w:pPr>
        <w:pStyle w:val="SingleTxtG"/>
        <w:tabs>
          <w:tab w:val="left" w:pos="2268"/>
        </w:tabs>
        <w:ind w:left="2268" w:hanging="1134"/>
      </w:pPr>
      <w:r w:rsidRPr="0022441C">
        <w:rPr>
          <w:rFonts w:eastAsia="MS Mincho"/>
          <w:szCs w:val="22"/>
        </w:rPr>
        <w:t>N</w:t>
      </w:r>
      <w:r w:rsidRPr="0022441C">
        <w:rPr>
          <w:rFonts w:eastAsia="MS Mincho"/>
          <w:szCs w:val="22"/>
          <w:vertAlign w:val="superscript"/>
        </w:rPr>
        <w:t>o</w:t>
      </w:r>
      <w:r w:rsidRPr="0022441C">
        <w:t> d</w:t>
      </w:r>
      <w:r>
        <w:t>’</w:t>
      </w:r>
      <w:r w:rsidRPr="0022441C">
        <w:t>homologation :........................................</w:t>
      </w:r>
      <w:r w:rsidRPr="0022441C">
        <w:tab/>
      </w:r>
      <w:r w:rsidRPr="0022441C">
        <w:rPr>
          <w:rFonts w:eastAsia="MS Mincho"/>
          <w:szCs w:val="22"/>
        </w:rPr>
        <w:t>N</w:t>
      </w:r>
      <w:r w:rsidRPr="0022441C">
        <w:rPr>
          <w:rFonts w:eastAsia="MS Mincho"/>
          <w:szCs w:val="22"/>
          <w:vertAlign w:val="superscript"/>
        </w:rPr>
        <w:t>o</w:t>
      </w:r>
      <w:r w:rsidRPr="0022441C">
        <w:t> d</w:t>
      </w:r>
      <w:r>
        <w:t>’</w:t>
      </w:r>
      <w:r w:rsidRPr="0022441C">
        <w:t>extension :..........................................</w:t>
      </w:r>
    </w:p>
    <w:p w14:paraId="73B420F0" w14:textId="77777777" w:rsidR="00810E6F" w:rsidRPr="00E84BC6" w:rsidRDefault="00810E6F" w:rsidP="00613290">
      <w:pPr>
        <w:pStyle w:val="SingleTxtG"/>
        <w:tabs>
          <w:tab w:val="left" w:pos="2268"/>
        </w:tabs>
        <w:ind w:left="2268" w:hanging="1134"/>
      </w:pPr>
      <w:r w:rsidRPr="00E84BC6">
        <w:t>Code d</w:t>
      </w:r>
      <w:r>
        <w:t>’</w:t>
      </w:r>
      <w:r w:rsidRPr="00E84BC6">
        <w:t>homologation</w:t>
      </w:r>
      <w:r>
        <w:t> </w:t>
      </w:r>
      <w:r w:rsidRPr="00E84BC6">
        <w:t>:............</w:t>
      </w:r>
      <w:r>
        <w:t>.......................</w:t>
      </w:r>
    </w:p>
    <w:p w14:paraId="60608AE0" w14:textId="77777777" w:rsidR="00810E6F" w:rsidRPr="0022441C" w:rsidRDefault="00810E6F" w:rsidP="00613290">
      <w:pPr>
        <w:pStyle w:val="SingleTxtG"/>
        <w:tabs>
          <w:tab w:val="left" w:pos="2268"/>
        </w:tabs>
        <w:ind w:left="2268" w:hanging="1134"/>
      </w:pPr>
      <w:r w:rsidRPr="0022441C">
        <w:t>1.</w:t>
      </w:r>
      <w:r w:rsidRPr="0022441C">
        <w:tab/>
        <w:t>Source lumineuse à décharge</w:t>
      </w:r>
      <w:r w:rsidRPr="0022441C">
        <w:tab/>
        <w:t>- catégorie...................................................</w:t>
      </w:r>
    </w:p>
    <w:p w14:paraId="72BC9E98" w14:textId="77777777" w:rsidR="00810E6F" w:rsidRPr="00E84BC6" w:rsidRDefault="00810E6F" w:rsidP="00613290">
      <w:pPr>
        <w:pStyle w:val="SingleTxtG"/>
        <w:tabs>
          <w:tab w:val="left" w:pos="2268"/>
        </w:tabs>
        <w:ind w:left="2268" w:hanging="1134"/>
      </w:pPr>
      <w:r w:rsidRPr="0022441C">
        <w:tab/>
      </w:r>
      <w:r w:rsidR="00613290">
        <w:tab/>
      </w:r>
      <w:r w:rsidR="00613290">
        <w:tab/>
      </w:r>
      <w:r w:rsidR="00613290">
        <w:tab/>
      </w:r>
      <w:r w:rsidR="00613290">
        <w:tab/>
      </w:r>
      <w:r w:rsidR="00613290">
        <w:tab/>
      </w:r>
      <w:r w:rsidR="00613290">
        <w:tab/>
      </w:r>
      <w:r w:rsidRPr="00E84BC6">
        <w:t>- puissance nominale...............................</w:t>
      </w:r>
      <w:r>
        <w:t>...</w:t>
      </w:r>
    </w:p>
    <w:p w14:paraId="491D2AA6" w14:textId="77777777" w:rsidR="00810E6F" w:rsidRPr="0022441C" w:rsidRDefault="00810E6F" w:rsidP="00613290">
      <w:pPr>
        <w:pStyle w:val="SingleTxtG"/>
        <w:tabs>
          <w:tab w:val="left" w:pos="2268"/>
        </w:tabs>
        <w:ind w:left="2268" w:hanging="1134"/>
      </w:pPr>
      <w:r w:rsidRPr="0022441C">
        <w:t>… ».</w:t>
      </w:r>
    </w:p>
    <w:p w14:paraId="7EF9FED6" w14:textId="77777777" w:rsidR="00810E6F" w:rsidRPr="0022441C" w:rsidRDefault="00810E6F" w:rsidP="00613290">
      <w:pPr>
        <w:pStyle w:val="SingleTxtG"/>
        <w:tabs>
          <w:tab w:val="left" w:pos="2268"/>
        </w:tabs>
        <w:ind w:left="2268" w:hanging="1134"/>
      </w:pPr>
      <w:r w:rsidRPr="0022441C">
        <w:rPr>
          <w:i/>
        </w:rPr>
        <w:t>Annexe 3</w:t>
      </w:r>
      <w:r w:rsidRPr="0022441C">
        <w:t>, lire :</w:t>
      </w:r>
    </w:p>
    <w:p w14:paraId="57B26475" w14:textId="77777777" w:rsidR="00810E6F" w:rsidRPr="0022441C" w:rsidRDefault="00513930" w:rsidP="00513930">
      <w:pPr>
        <w:pStyle w:val="HChG"/>
      </w:pPr>
      <w:bookmarkStart w:id="1" w:name="_Toc386203006"/>
      <w:r>
        <w:tab/>
      </w:r>
      <w:r>
        <w:tab/>
      </w:r>
      <w:r w:rsidR="00810E6F" w:rsidRPr="00513930">
        <w:rPr>
          <w:b w:val="0"/>
          <w:sz w:val="20"/>
        </w:rPr>
        <w:t>«</w:t>
      </w:r>
      <w:r w:rsidR="00613290" w:rsidRPr="00513930">
        <w:rPr>
          <w:b w:val="0"/>
          <w:sz w:val="20"/>
        </w:rPr>
        <w:t> </w:t>
      </w:r>
      <w:r w:rsidR="00810E6F" w:rsidRPr="0022441C">
        <w:t>Annexe 3</w:t>
      </w:r>
      <w:bookmarkEnd w:id="1"/>
    </w:p>
    <w:p w14:paraId="71C4BB23" w14:textId="77777777" w:rsidR="00810E6F" w:rsidRPr="0022441C" w:rsidRDefault="00810E6F" w:rsidP="00513930">
      <w:pPr>
        <w:pStyle w:val="HChG"/>
      </w:pPr>
      <w:r w:rsidRPr="0022441C">
        <w:tab/>
      </w:r>
      <w:r w:rsidRPr="0022441C">
        <w:tab/>
        <w:t>Exemple de la marque d</w:t>
      </w:r>
      <w:r>
        <w:t>’</w:t>
      </w:r>
      <w:r w:rsidRPr="0022441C">
        <w:t>homologation</w:t>
      </w:r>
    </w:p>
    <w:p w14:paraId="234C175E" w14:textId="77777777" w:rsidR="00810E6F" w:rsidRPr="0022441C" w:rsidRDefault="00810E6F" w:rsidP="00513930">
      <w:pPr>
        <w:pStyle w:val="SingleTxtG"/>
      </w:pPr>
      <w:r w:rsidRPr="0022441C">
        <w:t>(Voir par. 2.4.4 du présent Règlement)</w:t>
      </w:r>
    </w:p>
    <w:p w14:paraId="3929291F" w14:textId="77777777" w:rsidR="006F2642" w:rsidRDefault="00810E6F" w:rsidP="00513930">
      <w:pPr>
        <w:spacing w:after="240"/>
        <w:ind w:left="1134"/>
      </w:pPr>
      <w:r w:rsidRPr="00810E6F">
        <w:drawing>
          <wp:inline distT="0" distB="0" distL="0" distR="0" wp14:anchorId="665F2874" wp14:editId="6B9FDFC7">
            <wp:extent cx="5400000" cy="1346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5809" w14:textId="77777777" w:rsidR="00810E6F" w:rsidRDefault="00810E6F" w:rsidP="00513930">
      <w:pPr>
        <w:pStyle w:val="SingleTxtG"/>
        <w:ind w:firstLine="567"/>
      </w:pPr>
      <w:bookmarkStart w:id="2" w:name="_Toc386203008"/>
      <w:r w:rsidRPr="0022441C">
        <w:t>La marque d</w:t>
      </w:r>
      <w:r>
        <w:t>’</w:t>
      </w:r>
      <w:r w:rsidRPr="0022441C">
        <w:t>homologation ci-dessus, apposée sur une source lumineuse à décharge, indique que cette source lumineuse a été homologuée au Royaume-Uni (E 11), sous le code d</w:t>
      </w:r>
      <w:r>
        <w:t>’</w:t>
      </w:r>
      <w:r w:rsidRPr="0022441C">
        <w:t>homologation 0001.</w:t>
      </w:r>
      <w:bookmarkEnd w:id="2"/>
      <w:r w:rsidRPr="0022441C">
        <w:t> ».</w:t>
      </w:r>
    </w:p>
    <w:p w14:paraId="630D3FF0" w14:textId="77777777" w:rsidR="00513930" w:rsidRPr="00513930" w:rsidRDefault="00513930" w:rsidP="0051393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3930" w:rsidRPr="00513930" w:rsidSect="006F264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629D" w14:textId="77777777" w:rsidR="00ED3B8A" w:rsidRDefault="00ED3B8A"/>
  </w:endnote>
  <w:endnote w:type="continuationSeparator" w:id="0">
    <w:p w14:paraId="4D2AF184" w14:textId="77777777" w:rsidR="00ED3B8A" w:rsidRDefault="00ED3B8A">
      <w:pPr>
        <w:pStyle w:val="Pieddepage"/>
      </w:pPr>
    </w:p>
  </w:endnote>
  <w:endnote w:type="continuationNotice" w:id="1">
    <w:p w14:paraId="666220FF" w14:textId="77777777" w:rsidR="00ED3B8A" w:rsidRPr="00C451B9" w:rsidRDefault="00ED3B8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BC22" w14:textId="77777777" w:rsidR="006F2642" w:rsidRPr="006F2642" w:rsidRDefault="006F2642" w:rsidP="006F2642">
    <w:pPr>
      <w:pStyle w:val="Pieddepage"/>
      <w:tabs>
        <w:tab w:val="right" w:pos="9638"/>
      </w:tabs>
    </w:pPr>
    <w:r w:rsidRPr="006F2642">
      <w:rPr>
        <w:b/>
        <w:sz w:val="18"/>
      </w:rPr>
      <w:fldChar w:fldCharType="begin"/>
    </w:r>
    <w:r w:rsidRPr="006F2642">
      <w:rPr>
        <w:b/>
        <w:sz w:val="18"/>
      </w:rPr>
      <w:instrText xml:space="preserve"> PAGE  \* MERGEFORMAT </w:instrText>
    </w:r>
    <w:r w:rsidRPr="006F2642">
      <w:rPr>
        <w:b/>
        <w:sz w:val="18"/>
      </w:rPr>
      <w:fldChar w:fldCharType="separate"/>
    </w:r>
    <w:r w:rsidRPr="006F2642">
      <w:rPr>
        <w:b/>
        <w:noProof/>
        <w:sz w:val="18"/>
      </w:rPr>
      <w:t>2</w:t>
    </w:r>
    <w:r w:rsidRPr="006F2642">
      <w:rPr>
        <w:b/>
        <w:sz w:val="18"/>
      </w:rPr>
      <w:fldChar w:fldCharType="end"/>
    </w:r>
    <w:r>
      <w:rPr>
        <w:b/>
        <w:sz w:val="18"/>
      </w:rPr>
      <w:tab/>
    </w:r>
    <w:r>
      <w:t>GE.19-10451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7E2" w14:textId="77777777" w:rsidR="006F2642" w:rsidRPr="006F2642" w:rsidRDefault="006F2642" w:rsidP="006F2642">
    <w:pPr>
      <w:pStyle w:val="Pieddepage"/>
      <w:tabs>
        <w:tab w:val="right" w:pos="9638"/>
      </w:tabs>
      <w:rPr>
        <w:b/>
        <w:sz w:val="18"/>
      </w:rPr>
    </w:pPr>
    <w:r>
      <w:t>GE.19-10451</w:t>
    </w:r>
    <w:r>
      <w:tab/>
    </w:r>
    <w:r w:rsidRPr="006F2642">
      <w:rPr>
        <w:b/>
        <w:sz w:val="18"/>
      </w:rPr>
      <w:fldChar w:fldCharType="begin"/>
    </w:r>
    <w:r w:rsidRPr="006F2642">
      <w:rPr>
        <w:b/>
        <w:sz w:val="18"/>
      </w:rPr>
      <w:instrText xml:space="preserve"> PAGE  \* MERGEFORMAT </w:instrText>
    </w:r>
    <w:r w:rsidRPr="006F2642">
      <w:rPr>
        <w:b/>
        <w:sz w:val="18"/>
      </w:rPr>
      <w:fldChar w:fldCharType="separate"/>
    </w:r>
    <w:r w:rsidRPr="006F2642">
      <w:rPr>
        <w:b/>
        <w:noProof/>
        <w:sz w:val="18"/>
      </w:rPr>
      <w:t>3</w:t>
    </w:r>
    <w:r w:rsidRPr="006F26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5D60" w14:textId="77777777" w:rsidR="00467F2C" w:rsidRPr="006F2642" w:rsidRDefault="006F2642" w:rsidP="006F264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5F17BF2A" wp14:editId="2D0D98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19-10451  (F)    020120    030120</w:t>
    </w:r>
    <w:r>
      <w:rPr>
        <w:sz w:val="20"/>
      </w:rPr>
      <w:br/>
    </w:r>
    <w:r w:rsidRPr="006F2642">
      <w:rPr>
        <w:rFonts w:ascii="C39T30Lfz" w:hAnsi="C39T30Lfz"/>
        <w:sz w:val="56"/>
      </w:rPr>
      <w:t></w:t>
    </w:r>
    <w:r w:rsidRPr="006F2642">
      <w:rPr>
        <w:rFonts w:ascii="C39T30Lfz" w:hAnsi="C39T30Lfz"/>
        <w:sz w:val="56"/>
      </w:rPr>
      <w:t></w:t>
    </w:r>
    <w:r w:rsidRPr="006F2642">
      <w:rPr>
        <w:rFonts w:ascii="C39T30Lfz" w:hAnsi="C39T30Lfz"/>
        <w:sz w:val="56"/>
      </w:rPr>
      <w:t></w:t>
    </w:r>
    <w:r w:rsidRPr="006F2642">
      <w:rPr>
        <w:rFonts w:ascii="C39T30Lfz" w:hAnsi="C39T30Lfz"/>
        <w:sz w:val="56"/>
      </w:rPr>
      <w:t></w:t>
    </w:r>
    <w:r w:rsidRPr="006F2642">
      <w:rPr>
        <w:rFonts w:ascii="C39T30Lfz" w:hAnsi="C39T30Lfz"/>
        <w:sz w:val="56"/>
      </w:rPr>
      <w:t></w:t>
    </w:r>
    <w:r w:rsidRPr="006F2642">
      <w:rPr>
        <w:rFonts w:ascii="C39T30Lfz" w:hAnsi="C39T30Lfz"/>
        <w:sz w:val="56"/>
      </w:rPr>
      <w:t></w:t>
    </w:r>
    <w:r w:rsidRPr="006F2642">
      <w:rPr>
        <w:rFonts w:ascii="C39T30Lfz" w:hAnsi="C39T30Lfz"/>
        <w:sz w:val="56"/>
      </w:rPr>
      <w:t></w:t>
    </w:r>
    <w:r w:rsidRPr="006F2642">
      <w:rPr>
        <w:rFonts w:ascii="C39T30Lfz" w:hAnsi="C39T30Lfz"/>
        <w:sz w:val="56"/>
      </w:rPr>
      <w:t></w:t>
    </w:r>
    <w:r w:rsidRPr="006F264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739E062" wp14:editId="7261DFD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98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8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68C3" w14:textId="77777777" w:rsidR="00ED3B8A" w:rsidRPr="00D27D5E" w:rsidRDefault="00ED3B8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C46ABE" w14:textId="77777777" w:rsidR="00ED3B8A" w:rsidRPr="00D171D4" w:rsidRDefault="00ED3B8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034CFB1" w14:textId="77777777" w:rsidR="00ED3B8A" w:rsidRPr="00C451B9" w:rsidRDefault="00ED3B8A" w:rsidP="00C451B9">
      <w:pPr>
        <w:spacing w:line="240" w:lineRule="auto"/>
        <w:rPr>
          <w:sz w:val="2"/>
          <w:szCs w:val="2"/>
        </w:rPr>
      </w:pPr>
    </w:p>
  </w:footnote>
  <w:footnote w:id="2">
    <w:p w14:paraId="2FD57647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B2751BE" w14:textId="77777777" w:rsidR="00591072" w:rsidRPr="00591072" w:rsidRDefault="00591072" w:rsidP="00591072">
      <w:pPr>
        <w:pStyle w:val="Notedebasdepage"/>
      </w:pPr>
      <w:r w:rsidRPr="006F2642">
        <w:tab/>
      </w:r>
      <w:r w:rsidRPr="006F2642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1E77B899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D846" w14:textId="3542E049" w:rsidR="006F2642" w:rsidRPr="006F2642" w:rsidRDefault="006F2642">
    <w:pPr>
      <w:pStyle w:val="En-tte"/>
      <w:rPr>
        <w:lang w:val="en-US"/>
      </w:rPr>
    </w:pPr>
    <w:r>
      <w:fldChar w:fldCharType="begin"/>
    </w:r>
    <w:r w:rsidRPr="006F2642">
      <w:rPr>
        <w:lang w:val="en-US"/>
      </w:rPr>
      <w:instrText xml:space="preserve"> TITLE  \* MERGEFORMAT </w:instrText>
    </w:r>
    <w:r>
      <w:fldChar w:fldCharType="separate"/>
    </w:r>
    <w:r w:rsidR="00C938ED">
      <w:rPr>
        <w:lang w:val="en-US"/>
      </w:rPr>
      <w:t>E/ECE/324/Rev.1/Add.98/Rev.3/Amend.5</w:t>
    </w:r>
    <w:r>
      <w:fldChar w:fldCharType="end"/>
    </w:r>
    <w:r w:rsidRPr="006F2642">
      <w:rPr>
        <w:lang w:val="en-US"/>
      </w:rPr>
      <w:br/>
    </w:r>
    <w:r>
      <w:fldChar w:fldCharType="begin"/>
    </w:r>
    <w:r w:rsidRPr="006F2642">
      <w:rPr>
        <w:lang w:val="en-US"/>
      </w:rPr>
      <w:instrText xml:space="preserve"> KEYWORDS  \* MERGEFORMAT </w:instrText>
    </w:r>
    <w:r>
      <w:fldChar w:fldCharType="separate"/>
    </w:r>
    <w:r w:rsidR="00C938ED">
      <w:rPr>
        <w:lang w:val="en-US"/>
      </w:rPr>
      <w:t>E/ECE/TRANS/505/Rev.1/Add.98/Rev.3/Amend.5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E9C3" w14:textId="71E9274D" w:rsidR="006F2642" w:rsidRPr="006F2642" w:rsidRDefault="006F2642" w:rsidP="006F2642">
    <w:pPr>
      <w:pStyle w:val="En-tte"/>
      <w:jc w:val="right"/>
      <w:rPr>
        <w:lang w:val="en-US"/>
      </w:rPr>
    </w:pPr>
    <w:r>
      <w:fldChar w:fldCharType="begin"/>
    </w:r>
    <w:r w:rsidRPr="006F2642">
      <w:rPr>
        <w:lang w:val="en-US"/>
      </w:rPr>
      <w:instrText xml:space="preserve"> TITLE  \* MERGEFORMAT </w:instrText>
    </w:r>
    <w:r>
      <w:fldChar w:fldCharType="separate"/>
    </w:r>
    <w:r w:rsidR="00C938ED">
      <w:rPr>
        <w:lang w:val="en-US"/>
      </w:rPr>
      <w:t>E/ECE/324/Rev.1/Add.98/Rev.3/Amend.5</w:t>
    </w:r>
    <w:r>
      <w:fldChar w:fldCharType="end"/>
    </w:r>
    <w:r w:rsidRPr="006F2642">
      <w:rPr>
        <w:lang w:val="en-US"/>
      </w:rPr>
      <w:br/>
    </w:r>
    <w:r>
      <w:fldChar w:fldCharType="begin"/>
    </w:r>
    <w:r w:rsidRPr="006F2642">
      <w:rPr>
        <w:lang w:val="en-US"/>
      </w:rPr>
      <w:instrText xml:space="preserve"> KEYWORDS  \* MERGEFORMAT </w:instrText>
    </w:r>
    <w:r>
      <w:fldChar w:fldCharType="separate"/>
    </w:r>
    <w:r w:rsidR="00C938ED">
      <w:rPr>
        <w:lang w:val="en-US"/>
      </w:rPr>
      <w:t>E/ECE/TRANS/505/Rev.1/Add.98/Rev.3/Amend.5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3B8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0AC6"/>
    <w:rsid w:val="0010373B"/>
    <w:rsid w:val="0011415F"/>
    <w:rsid w:val="00122C8D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2F7616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92F9F"/>
    <w:rsid w:val="004A49A5"/>
    <w:rsid w:val="004A66A2"/>
    <w:rsid w:val="004B07A3"/>
    <w:rsid w:val="004B261D"/>
    <w:rsid w:val="004B51CD"/>
    <w:rsid w:val="004B576C"/>
    <w:rsid w:val="004C54C0"/>
    <w:rsid w:val="004C56B2"/>
    <w:rsid w:val="004C6697"/>
    <w:rsid w:val="004C6F4A"/>
    <w:rsid w:val="004D00B2"/>
    <w:rsid w:val="004E3182"/>
    <w:rsid w:val="004E4963"/>
    <w:rsid w:val="004E6809"/>
    <w:rsid w:val="004E7F24"/>
    <w:rsid w:val="005111B1"/>
    <w:rsid w:val="00513930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290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7CA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642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235F"/>
    <w:rsid w:val="007F55CB"/>
    <w:rsid w:val="007F768E"/>
    <w:rsid w:val="008021D4"/>
    <w:rsid w:val="00810E6F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3330"/>
    <w:rsid w:val="00C14108"/>
    <w:rsid w:val="00C261F8"/>
    <w:rsid w:val="00C27662"/>
    <w:rsid w:val="00C32914"/>
    <w:rsid w:val="00C33100"/>
    <w:rsid w:val="00C36F5C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38ED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A9B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D3B8A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F5ABB6"/>
  <w15:docId w15:val="{FBDBE37D-C656-4D8D-BC56-657D1A38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C06C3-C785-440B-8F1C-993DBE2DD524}"/>
</file>

<file path=customXml/itemProps2.xml><?xml version="1.0" encoding="utf-8"?>
<ds:datastoreItem xmlns:ds="http://schemas.openxmlformats.org/officeDocument/2006/customXml" ds:itemID="{9BF2BA3B-7046-4818-B984-26086C7A1E40}"/>
</file>

<file path=customXml/itemProps3.xml><?xml version="1.0" encoding="utf-8"?>
<ds:datastoreItem xmlns:ds="http://schemas.openxmlformats.org/officeDocument/2006/customXml" ds:itemID="{416F35DD-D9B7-4714-BFC7-38DCB11BC08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357</Words>
  <Characters>2237</Characters>
  <Application>Microsoft Office Word</Application>
  <DocSecurity>0</DocSecurity>
  <Lines>54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E/ECE/324/Rev.1/Add.98/Rev.3/Amend.5</vt:lpstr>
    </vt:vector>
  </TitlesOfParts>
  <Company>CSD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E/ECE/324/Rev.1/Add.98/Rev.3/Amend.5</dc:title>
  <dc:creator>Christine CHAUTAGNAT</dc:creator>
  <cp:keywords>E/ECE/TRANS/505/Rev.1/Add.98/Rev.3/Amend.5</cp:keywords>
  <cp:lastModifiedBy>Christine Chautagnat</cp:lastModifiedBy>
  <cp:revision>3</cp:revision>
  <cp:lastPrinted>2020-01-03T09:01:00Z</cp:lastPrinted>
  <dcterms:created xsi:type="dcterms:W3CDTF">2020-01-03T09:01:00Z</dcterms:created>
  <dcterms:modified xsi:type="dcterms:W3CDTF">2020-01-03T09:01:00Z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