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A112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E9E" w:rsidRPr="00BE6E9E" w:rsidRDefault="00BE6E9E" w:rsidP="00BE6E9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BE6E9E">
              <w:rPr>
                <w:sz w:val="40"/>
                <w:lang w:val="en-US"/>
              </w:rPr>
              <w:t>E</w:t>
            </w:r>
            <w:r w:rsidRPr="00BE6E9E">
              <w:rPr>
                <w:lang w:val="en-US"/>
              </w:rPr>
              <w:t>/ECE/324/Rev.1/Add.74/Rev.2/Amend.4−</w:t>
            </w:r>
            <w:r w:rsidRPr="00BE6E9E">
              <w:rPr>
                <w:sz w:val="40"/>
                <w:lang w:val="en-US"/>
              </w:rPr>
              <w:t>E</w:t>
            </w:r>
            <w:r w:rsidRPr="00BE6E9E">
              <w:rPr>
                <w:lang w:val="en-US"/>
              </w:rPr>
              <w:t>/ECE/TRANS/505/Rev.1/Add.74/Rev.2/Amend.4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BE6E9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E6E9E" w:rsidP="00A27C92">
            <w:pPr>
              <w:spacing w:before="480" w:line="240" w:lineRule="exact"/>
            </w:pPr>
            <w:r>
              <w:t>7 décembre 2017</w:t>
            </w:r>
          </w:p>
        </w:tc>
      </w:tr>
    </w:tbl>
    <w:p w:rsidR="00BE6E9E" w:rsidRPr="006549FF" w:rsidRDefault="0029791D" w:rsidP="00BE6E9E">
      <w:pPr>
        <w:pStyle w:val="HChG"/>
      </w:pPr>
      <w:r>
        <w:tab/>
      </w:r>
      <w:r>
        <w:tab/>
      </w:r>
      <w:r w:rsidR="00BE6E9E" w:rsidRPr="006549FF">
        <w:t>Accord</w:t>
      </w:r>
    </w:p>
    <w:p w:rsidR="00BE6E9E" w:rsidRPr="00583D68" w:rsidRDefault="00BE6E9E" w:rsidP="00BE6E9E">
      <w:pPr>
        <w:pStyle w:val="H1G"/>
      </w:pPr>
      <w:r>
        <w:tab/>
      </w:r>
      <w:r>
        <w:tab/>
      </w:r>
      <w:r w:rsidRPr="00485E18">
        <w:rPr>
          <w:lang w:val="fr-FR"/>
        </w:rPr>
        <w:t>Concernant l’adoption de Règlements techniques harmonisés de l’ONU applicables aux véhicules à roues et aux équipements et pièces susceptibles d’être montés ou uti</w:t>
      </w:r>
      <w:r w:rsidR="00373583">
        <w:rPr>
          <w:lang w:val="fr-FR"/>
        </w:rPr>
        <w:t>lisés sur les véhicules à roues</w:t>
      </w:r>
      <w:r w:rsidR="00373583">
        <w:rPr>
          <w:lang w:val="fr-FR"/>
        </w:rPr>
        <w:br/>
      </w:r>
      <w:r w:rsidRPr="00485E18">
        <w:rPr>
          <w:lang w:val="fr-FR"/>
        </w:rPr>
        <w:t>et les conditions de reconnaissance réciproque des</w:t>
      </w:r>
      <w:r w:rsidR="00373583">
        <w:rPr>
          <w:lang w:val="fr-FR"/>
        </w:rPr>
        <w:t xml:space="preserve"> </w:t>
      </w:r>
      <w:r w:rsidRPr="00485E18">
        <w:rPr>
          <w:lang w:val="fr-FR"/>
        </w:rPr>
        <w:t>homologations délivrées conformément à ces Règlements</w:t>
      </w:r>
      <w:r w:rsidRPr="00B6155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E6E9E" w:rsidRPr="00A12483" w:rsidRDefault="00BE6E9E" w:rsidP="00BE6E9E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>
        <w:t>3</w:t>
      </w:r>
      <w:r w:rsidRPr="006549FF">
        <w:t>, comprenant les amen</w:t>
      </w:r>
      <w:r>
        <w:t>dements entrés en vigueur le 14 septembre 2017</w:t>
      </w:r>
      <w:r w:rsidRPr="006549FF">
        <w:t>)</w:t>
      </w:r>
    </w:p>
    <w:p w:rsidR="00BE6E9E" w:rsidRPr="006549FF" w:rsidRDefault="00BE6E9E" w:rsidP="00BE6E9E">
      <w:pPr>
        <w:jc w:val="center"/>
      </w:pPr>
      <w:r>
        <w:t>_______________</w:t>
      </w:r>
    </w:p>
    <w:p w:rsidR="00BE6E9E" w:rsidRPr="006549FF" w:rsidRDefault="00BE6E9E" w:rsidP="00BE6E9E">
      <w:pPr>
        <w:pStyle w:val="HChG"/>
      </w:pPr>
      <w:r>
        <w:tab/>
      </w:r>
      <w:r>
        <w:tab/>
      </w:r>
      <w:r w:rsidRPr="006549FF">
        <w:t xml:space="preserve">Additif </w:t>
      </w:r>
      <w:r>
        <w:t>74 −</w:t>
      </w:r>
      <w:r w:rsidRPr="006549FF">
        <w:t xml:space="preserve"> Règlement</w:t>
      </w:r>
      <w:r>
        <w:t xml:space="preserve"> </w:t>
      </w:r>
      <w:r w:rsidRPr="00B371BF">
        <w:t>n</w:t>
      </w:r>
      <w:r w:rsidRPr="00B371BF">
        <w:rPr>
          <w:vertAlign w:val="superscript"/>
        </w:rPr>
        <w:t>o</w:t>
      </w:r>
      <w:r>
        <w:t> 75</w:t>
      </w:r>
    </w:p>
    <w:p w:rsidR="00BE6E9E" w:rsidRPr="006549FF" w:rsidRDefault="00BE6E9E" w:rsidP="00BE6E9E">
      <w:pPr>
        <w:pStyle w:val="H1G"/>
      </w:pPr>
      <w:r>
        <w:tab/>
      </w:r>
      <w:r>
        <w:tab/>
      </w:r>
      <w:r w:rsidRPr="006549FF">
        <w:t xml:space="preserve">Révision </w:t>
      </w:r>
      <w:r>
        <w:t>2 − Amendement 4</w:t>
      </w:r>
    </w:p>
    <w:p w:rsidR="00BE6E9E" w:rsidRPr="00203822" w:rsidRDefault="00BE6E9E" w:rsidP="00BE6E9E">
      <w:pPr>
        <w:pStyle w:val="SingleTxtG"/>
        <w:spacing w:after="0"/>
      </w:pPr>
      <w:r w:rsidRPr="00485E18">
        <w:rPr>
          <w:spacing w:val="-2"/>
          <w:lang w:val="fr-FR"/>
        </w:rPr>
        <w:t>Complément 17 à la version originale du Règle</w:t>
      </w:r>
      <w:r>
        <w:rPr>
          <w:spacing w:val="-2"/>
          <w:lang w:val="fr-FR"/>
        </w:rPr>
        <w:t>ment − Date d’entrée en vigueur :</w:t>
      </w:r>
      <w:r w:rsidRPr="00485E18">
        <w:rPr>
          <w:spacing w:val="-2"/>
          <w:lang w:val="fr-FR"/>
        </w:rPr>
        <w:t xml:space="preserve"> </w:t>
      </w:r>
      <w:r>
        <w:rPr>
          <w:lang w:val="fr-FR"/>
        </w:rPr>
        <w:t>10 octobre </w:t>
      </w:r>
      <w:r w:rsidRPr="00485E18">
        <w:rPr>
          <w:lang w:val="fr-FR"/>
        </w:rPr>
        <w:t>2017</w:t>
      </w:r>
    </w:p>
    <w:p w:rsidR="00BE6E9E" w:rsidRPr="00376A36" w:rsidRDefault="00BE6E9E" w:rsidP="00BE6E9E">
      <w:pPr>
        <w:pStyle w:val="H1G"/>
      </w:pPr>
      <w:r w:rsidRPr="00485E18">
        <w:rPr>
          <w:lang w:val="fr-FR"/>
        </w:rPr>
        <w:tab/>
      </w:r>
      <w:r w:rsidRPr="00485E18">
        <w:rPr>
          <w:lang w:val="fr-FR"/>
        </w:rPr>
        <w:tab/>
      </w:r>
      <w:r>
        <w:rPr>
          <w:lang w:val="fr-FR"/>
        </w:rPr>
        <w:t xml:space="preserve">Prescriptions uniformes </w:t>
      </w:r>
      <w:r w:rsidRPr="00376A36">
        <w:t>relatives à l’homologation des pneumatiques pour véhicules de la catégorie L</w:t>
      </w:r>
    </w:p>
    <w:p w:rsidR="00AE44E9" w:rsidRDefault="00BE6E9E" w:rsidP="00BE6E9E">
      <w:pPr>
        <w:pStyle w:val="SingleTxtG"/>
        <w:spacing w:after="0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86A7" wp14:editId="69AD8344">
                <wp:simplePos x="0" y="0"/>
                <wp:positionH relativeFrom="margin">
                  <wp:posOffset>-7571</wp:posOffset>
                </wp:positionH>
                <wp:positionV relativeFrom="margin">
                  <wp:posOffset>6439156</wp:posOffset>
                </wp:positionV>
                <wp:extent cx="6120000" cy="126470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26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BE6E9E">
                            <w:pPr>
                              <w:spacing w:line="240" w:lineRule="auto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BE6E9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251EF04" wp14:editId="5C4B465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F86A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6pt;margin-top:507pt;width:481.9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" stroked="f">
                <v:textbox inset="0,0,0,0">
                  <w:txbxContent>
                    <w:p w:rsidR="00442E31" w:rsidRPr="0029791D" w:rsidRDefault="00442E31" w:rsidP="00BE6E9E">
                      <w:pPr>
                        <w:spacing w:line="240" w:lineRule="auto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BE6E9E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251EF04" wp14:editId="5C4B465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85E18">
        <w:rPr>
          <w:lang w:val="fr-FR"/>
        </w:rPr>
        <w:t>Le présent document est communiqué uniquement à titre d’information. Le texte authentique, juridiquement contraignant, est celui du document</w:t>
      </w:r>
      <w:r w:rsidR="007E54B3" w:rsidRPr="007E54B3">
        <w:rPr>
          <w:rStyle w:val="FootnoteReference"/>
        </w:rPr>
        <w:t> </w:t>
      </w:r>
      <w:r w:rsidRPr="007E54B3">
        <w:rPr>
          <w:rStyle w:val="FootnoteReference"/>
          <w:vertAlign w:val="baseline"/>
        </w:rPr>
        <w:t>:</w:t>
      </w:r>
      <w:r w:rsidRPr="007E54B3">
        <w:rPr>
          <w:lang w:val="fr-FR" w:eastAsia="en-GB"/>
        </w:rPr>
        <w:t xml:space="preserve"> </w:t>
      </w:r>
      <w:r w:rsidRPr="00485E18">
        <w:rPr>
          <w:spacing w:val="-6"/>
          <w:lang w:val="fr-FR" w:eastAsia="en-GB"/>
        </w:rPr>
        <w:t>ECE/TRANS/WP.29/2017/8 (1622733).</w:t>
      </w:r>
    </w:p>
    <w:p w:rsidR="00AE44E9" w:rsidRDefault="00AE44E9" w:rsidP="00AE44E9">
      <w:pPr>
        <w:pStyle w:val="SingleTxtG"/>
        <w:spacing w:after="0"/>
      </w:pPr>
      <w:r>
        <w:rPr>
          <w:spacing w:val="-6"/>
          <w:lang w:val="fr-FR" w:eastAsia="en-GB"/>
        </w:rPr>
        <w:br w:type="page"/>
      </w:r>
      <w:r w:rsidRPr="00622A4D">
        <w:rPr>
          <w:i/>
        </w:rPr>
        <w:lastRenderedPageBreak/>
        <w:t>Paragraphe 1</w:t>
      </w:r>
      <w:r w:rsidRPr="000045EE">
        <w:t>, lire</w:t>
      </w:r>
      <w:r>
        <w:t> :</w:t>
      </w:r>
      <w:bookmarkStart w:id="1" w:name="_Toc340666205"/>
      <w:bookmarkStart w:id="2" w:name="_Toc340745068"/>
    </w:p>
    <w:p w:rsidR="00AE44E9" w:rsidRPr="00545BE5" w:rsidRDefault="00AE44E9" w:rsidP="00AE44E9">
      <w:pPr>
        <w:pStyle w:val="HChG"/>
        <w:kinsoku/>
        <w:overflowPunct/>
        <w:autoSpaceDE/>
        <w:autoSpaceDN/>
        <w:adjustRightInd/>
        <w:snapToGrid/>
        <w:ind w:left="2268"/>
      </w:pPr>
      <w:r w:rsidRPr="008B32AE">
        <w:rPr>
          <w:b w:val="0"/>
          <w:bCs/>
          <w:sz w:val="20"/>
        </w:rPr>
        <w:t>«</w:t>
      </w:r>
      <w:r w:rsidRPr="000045EE">
        <w:rPr>
          <w:bCs/>
        </w:rPr>
        <w:t> </w:t>
      </w:r>
      <w:r>
        <w:t>1.</w:t>
      </w:r>
      <w:r>
        <w:tab/>
      </w:r>
      <w:r>
        <w:tab/>
      </w:r>
      <w:r w:rsidRPr="00545BE5">
        <w:t>Domaine d’application</w:t>
      </w:r>
    </w:p>
    <w:p w:rsidR="00AE44E9" w:rsidRDefault="00AE44E9" w:rsidP="00AE44E9">
      <w:pPr>
        <w:pStyle w:val="SingleTxtG"/>
        <w:ind w:left="2268"/>
      </w:pPr>
      <w:r w:rsidRPr="000045EE">
        <w:t>Le présent Règlement s’applique aux pneumatiques neufs pour les véhicules de la catégorie L</w:t>
      </w:r>
      <w:r w:rsidRPr="000045EE">
        <w:rPr>
          <w:vertAlign w:val="superscript"/>
        </w:rPr>
        <w:t>1, 2</w:t>
      </w:r>
      <w:r w:rsidRPr="000045EE">
        <w:t>. Il ne s’applique pas toutefois aux types de pneumatiques conçus exclusivement pour une utilisation tout-terrain, qui portent l’inscription “NHS” (Not for Highway Service = Ne pas utiliser sur route), ni aux types de pneumatiques conçus exclusivement pour la compétition. ».</w:t>
      </w:r>
    </w:p>
    <w:bookmarkEnd w:id="1"/>
    <w:bookmarkEnd w:id="2"/>
    <w:p w:rsidR="00AE44E9" w:rsidRDefault="00AE44E9" w:rsidP="00AE44E9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  <w:iCs/>
        </w:rPr>
        <w:t>Paragraphe 2.1</w:t>
      </w:r>
      <w:r w:rsidRPr="000045EE">
        <w:rPr>
          <w:rFonts w:eastAsia="HGMaruGothicMPRO"/>
        </w:rPr>
        <w:t>,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2.1</w:t>
      </w:r>
      <w:r w:rsidRPr="000045EE">
        <w:tab/>
      </w:r>
      <w:r>
        <w:tab/>
      </w:r>
      <w:r w:rsidRPr="000045EE">
        <w:t>“</w:t>
      </w:r>
      <w:r w:rsidRPr="000045EE">
        <w:rPr>
          <w:i/>
        </w:rPr>
        <w:t>Type de pneumatique</w:t>
      </w:r>
      <w:r w:rsidRPr="000045EE">
        <w:t>”, une catégorie de pneumatiques ne présentant pas entre eux de différences essentielles, notamment quant aux caractéristiques suivantes</w:t>
      </w:r>
      <w:r>
        <w:t> :</w:t>
      </w:r>
    </w:p>
    <w:p w:rsidR="00AE44E9" w:rsidRPr="000045EE" w:rsidRDefault="00AE44E9" w:rsidP="00AE44E9">
      <w:pPr>
        <w:pStyle w:val="SingleTxtG"/>
        <w:ind w:left="2268"/>
      </w:pPr>
      <w:r w:rsidRPr="000045EE">
        <w:t>a)</w:t>
      </w:r>
      <w:r w:rsidRPr="000045EE">
        <w:tab/>
        <w:t>Le nom du fabricant</w:t>
      </w:r>
      <w:r>
        <w:t> ;</w:t>
      </w:r>
    </w:p>
    <w:p w:rsidR="00AE44E9" w:rsidRPr="000045EE" w:rsidRDefault="00AE44E9" w:rsidP="00AE44E9">
      <w:pPr>
        <w:pStyle w:val="SingleTxtG"/>
        <w:ind w:left="2268"/>
      </w:pPr>
      <w:r w:rsidRPr="000045EE">
        <w:t>b)</w:t>
      </w:r>
      <w:r w:rsidRPr="000045EE">
        <w:tab/>
        <w:t>La désignation de la dimension du pneumatique</w:t>
      </w:r>
      <w:r>
        <w:t> ;</w:t>
      </w:r>
    </w:p>
    <w:p w:rsidR="00AE44E9" w:rsidRPr="000045EE" w:rsidRDefault="00AE44E9" w:rsidP="00AE44E9">
      <w:pPr>
        <w:pStyle w:val="SingleTxtG"/>
        <w:ind w:left="2835" w:hanging="567"/>
      </w:pPr>
      <w:r w:rsidRPr="000045EE">
        <w:t>c)</w:t>
      </w:r>
      <w:r w:rsidRPr="000045EE">
        <w:tab/>
        <w:t>La catégorie d’utilisation (normale</w:t>
      </w:r>
      <w:r>
        <w:t> :</w:t>
      </w:r>
      <w:r w:rsidRPr="000045EE">
        <w:t xml:space="preserve"> pour les pneumatiques à usage routier normal</w:t>
      </w:r>
      <w:r>
        <w:t> ;</w:t>
      </w:r>
      <w:r w:rsidRPr="000045EE">
        <w:t xml:space="preserve"> neige, cyclomoteur et tout terrain (AT)</w:t>
      </w:r>
      <w:r>
        <w:t> ;</w:t>
      </w:r>
      <w:r w:rsidRPr="000045EE">
        <w:t xml:space="preserve"> catégorie spéciale</w:t>
      </w:r>
      <w:r>
        <w:t> :</w:t>
      </w:r>
      <w:r w:rsidRPr="000045EE">
        <w:t xml:space="preserve"> pour les pneumatiques à usage spécial, tels que les pneumatiques utilisés sur route et hors-route)</w:t>
      </w:r>
      <w:r>
        <w:t> ;</w:t>
      </w:r>
    </w:p>
    <w:p w:rsidR="00AE44E9" w:rsidRPr="000045EE" w:rsidRDefault="00AE44E9" w:rsidP="00AE44E9">
      <w:pPr>
        <w:pStyle w:val="SingleTxtG"/>
        <w:ind w:left="2268"/>
      </w:pPr>
      <w:r w:rsidRPr="000045EE">
        <w:t>d)</w:t>
      </w:r>
      <w:r w:rsidRPr="000045EE">
        <w:tab/>
        <w:t>La structure (diagonale, ceinturée-croisée, radiale)</w:t>
      </w:r>
      <w:r>
        <w:t> ;</w:t>
      </w:r>
    </w:p>
    <w:p w:rsidR="00AE44E9" w:rsidRPr="000045EE" w:rsidRDefault="00AE44E9" w:rsidP="00AE44E9">
      <w:pPr>
        <w:pStyle w:val="SingleTxtG"/>
        <w:ind w:left="2268"/>
      </w:pPr>
      <w:r w:rsidRPr="000045EE">
        <w:t>e)</w:t>
      </w:r>
      <w:r w:rsidRPr="000045EE">
        <w:tab/>
        <w:t>Le symbole de catégorie de vitesse</w:t>
      </w:r>
      <w:r>
        <w:t> ;</w:t>
      </w:r>
    </w:p>
    <w:p w:rsidR="00AE44E9" w:rsidRPr="000045EE" w:rsidRDefault="00AE44E9" w:rsidP="00AE44E9">
      <w:pPr>
        <w:pStyle w:val="SingleTxtG"/>
        <w:ind w:left="2268"/>
      </w:pPr>
      <w:r w:rsidRPr="000045EE">
        <w:t>f)</w:t>
      </w:r>
      <w:r w:rsidRPr="000045EE">
        <w:tab/>
        <w:t>L’indice de capacité de charge</w:t>
      </w:r>
      <w:r>
        <w:t> ;</w:t>
      </w:r>
    </w:p>
    <w:p w:rsidR="00AE44E9" w:rsidRPr="000045EE" w:rsidRDefault="00AE44E9" w:rsidP="00AE44E9">
      <w:pPr>
        <w:pStyle w:val="SingleTxtG"/>
        <w:ind w:left="2268"/>
      </w:pPr>
      <w:r w:rsidRPr="000045EE">
        <w:t>g)</w:t>
      </w:r>
      <w:r w:rsidRPr="000045EE">
        <w:tab/>
        <w:t>La section transversale du pneumatique. ».</w:t>
      </w:r>
    </w:p>
    <w:p w:rsidR="00AE44E9" w:rsidRPr="000045EE" w:rsidRDefault="00AE44E9" w:rsidP="00AE44E9">
      <w:pPr>
        <w:pStyle w:val="SingleTxtG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 2.2</w:t>
      </w:r>
      <w:r w:rsidRPr="000045EE">
        <w:rPr>
          <w:rFonts w:eastAsia="HGMaruGothicMPRO"/>
        </w:rPr>
        <w:t>, libellé comme suit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2.2</w:t>
      </w:r>
      <w:r w:rsidRPr="000045EE">
        <w:tab/>
        <w:t>“</w:t>
      </w:r>
      <w:r w:rsidRPr="000045EE">
        <w:rPr>
          <w:i/>
        </w:rPr>
        <w:t>Fabricant</w:t>
      </w:r>
      <w:r w:rsidRPr="000045EE">
        <w:t>”, la personne ou l’organisme responsable devant l’autorité d’homologation de type de tous les aspects du processus d’homologation de type et de la conformité de la production.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 2.3</w:t>
      </w:r>
      <w:r w:rsidRPr="000045EE">
        <w:rPr>
          <w:rFonts w:eastAsia="HGMaruGothicMPRO"/>
        </w:rPr>
        <w:t>, libellé comme suit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2.3</w:t>
      </w:r>
      <w:r w:rsidRPr="000045EE">
        <w:tab/>
        <w:t>“</w:t>
      </w:r>
      <w:r w:rsidRPr="000045EE">
        <w:rPr>
          <w:i/>
        </w:rPr>
        <w:t>Nom de marque/marque de fabrique</w:t>
      </w:r>
      <w:r w:rsidRPr="000045EE">
        <w:t>”, la désignation commerciale choisie par le fabricant de pneumatiques et apposée sur le(s) flanc(s) du pneumatique. Elle peut être la même que le nom du fabricant.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 2.4</w:t>
      </w:r>
      <w:r w:rsidRPr="000045EE">
        <w:rPr>
          <w:rFonts w:eastAsia="HGMaruGothicMPRO"/>
        </w:rPr>
        <w:t>, libellé comme suit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2.4</w:t>
      </w:r>
      <w:r w:rsidRPr="000045EE">
        <w:tab/>
        <w:t>“</w:t>
      </w:r>
      <w:r w:rsidRPr="000045EE">
        <w:rPr>
          <w:i/>
        </w:rPr>
        <w:t>Désignation commerciale/nom commercial</w:t>
      </w:r>
      <w:r w:rsidRPr="000045EE">
        <w:t xml:space="preserve">”, la désignation commerciale de la gamme de pneumatiques attribuée par le </w:t>
      </w:r>
      <w:r>
        <w:t>fabricant de pneumatiques. Elle </w:t>
      </w:r>
      <w:r w:rsidRPr="000045EE">
        <w:t>peut concorder avec la marque de fabrique/marque de commerce.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Les paragraphes 2.2 à 2.2.3</w:t>
      </w:r>
      <w:r w:rsidRPr="000045EE">
        <w:rPr>
          <w:rFonts w:eastAsia="HGMaruGothicMPRO"/>
        </w:rPr>
        <w:t xml:space="preserve"> deviennent les paragraphes 2.5 à 2.5.3. 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2.2.4</w:t>
      </w:r>
      <w:r>
        <w:rPr>
          <w:rFonts w:eastAsia="HGMaruGothicMPRO"/>
        </w:rPr>
        <w:t xml:space="preserve">, renuméroter et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« 2.5.4</w:t>
      </w:r>
      <w:r w:rsidRPr="000045EE">
        <w:rPr>
          <w:rFonts w:eastAsia="HGMaruGothicMPRO"/>
        </w:rPr>
        <w:tab/>
        <w:t>“</w:t>
      </w:r>
      <w:r w:rsidRPr="000045EE">
        <w:rPr>
          <w:rFonts w:eastAsia="HGMaruGothicMPRO"/>
          <w:i/>
        </w:rPr>
        <w:t>Renforcé</w:t>
      </w:r>
      <w:r w:rsidRPr="000045EE">
        <w:rPr>
          <w:rFonts w:eastAsia="HGMaruGothicMPRO"/>
        </w:rPr>
        <w:t>” décrit un pneumatique conçu pour être utilisé sous des charges et à des pressions de gonflage plus élevées que le pneumatique standard correspondant.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Les paragraphes 2.3 à 2.33.2</w:t>
      </w:r>
      <w:r w:rsidRPr="000045EE">
        <w:rPr>
          <w:rFonts w:eastAsia="HGMaruGothicMPRO"/>
        </w:rPr>
        <w:t xml:space="preserve"> deviennent les paragraphes 2.6 à 2.36.2. 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2.33.3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2.36.3</w:t>
      </w:r>
      <w:r w:rsidRPr="000045EE">
        <w:tab/>
        <w:t>Pour les vitesses supérieures à 210 km/h mais ne dépassant pas 270 km/h, l’indice de charge maximale ne doit pas dépasser le pourcentage de la masse associée à l’indice de capacité de charge du pneumatique indiqué dans le tableau ci-après, en référence au symbole de la catégorie de vitesse du pneumatique et à la vitesse maximale par construction du véhicule sur lequel le pneumatique doit être monté</w:t>
      </w:r>
      <w:r>
        <w:t>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596"/>
        <w:gridCol w:w="2738"/>
      </w:tblGrid>
      <w:tr w:rsidR="00AE44E9" w:rsidRPr="0046340C" w:rsidTr="00510DF7">
        <w:trPr>
          <w:tblHeader/>
        </w:trPr>
        <w:tc>
          <w:tcPr>
            <w:tcW w:w="2036" w:type="dxa"/>
            <w:vMerge w:val="restart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0045EE">
              <w:rPr>
                <w:i/>
                <w:sz w:val="16"/>
                <w:szCs w:val="16"/>
              </w:rPr>
              <w:lastRenderedPageBreak/>
              <w:t>Vitesse maximale (km/h)***</w:t>
            </w:r>
          </w:p>
        </w:tc>
        <w:tc>
          <w:tcPr>
            <w:tcW w:w="5334" w:type="dxa"/>
            <w:gridSpan w:val="2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0045EE">
              <w:rPr>
                <w:i/>
                <w:sz w:val="16"/>
                <w:szCs w:val="16"/>
                <w:lang w:eastAsia="en-GB"/>
              </w:rPr>
              <w:t>Indice de charge maximale (%)</w:t>
            </w:r>
          </w:p>
        </w:tc>
      </w:tr>
      <w:tr w:rsidR="00AE44E9" w:rsidRPr="0046340C" w:rsidTr="00510DF7">
        <w:trPr>
          <w:tblHeader/>
        </w:trPr>
        <w:tc>
          <w:tcPr>
            <w:tcW w:w="20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0045EE">
              <w:rPr>
                <w:i/>
                <w:sz w:val="16"/>
                <w:szCs w:val="16"/>
              </w:rPr>
              <w:t xml:space="preserve">Symbole de catégorie de vitesse </w:t>
            </w:r>
            <w:r w:rsidRPr="000045EE">
              <w:rPr>
                <w:i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0045EE">
              <w:rPr>
                <w:i/>
                <w:sz w:val="16"/>
                <w:szCs w:val="16"/>
              </w:rPr>
              <w:t xml:space="preserve">Symbole de catégorie de vitesse </w:t>
            </w:r>
            <w:r w:rsidRPr="000045EE">
              <w:rPr>
                <w:i/>
                <w:sz w:val="16"/>
                <w:szCs w:val="16"/>
                <w:lang w:eastAsia="en-GB"/>
              </w:rPr>
              <w:t>W**</w:t>
            </w:r>
          </w:p>
        </w:tc>
      </w:tr>
      <w:tr w:rsidR="00AE44E9" w:rsidRPr="0046340C" w:rsidTr="00510DF7">
        <w:tc>
          <w:tcPr>
            <w:tcW w:w="2036" w:type="dxa"/>
            <w:tcBorders>
              <w:top w:val="single" w:sz="12" w:space="0" w:color="auto"/>
            </w:tcBorders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5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7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E44E9" w:rsidRPr="0046340C" w:rsidTr="00510DF7">
        <w:tc>
          <w:tcPr>
            <w:tcW w:w="2036" w:type="dxa"/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6340C">
              <w:rPr>
                <w:sz w:val="18"/>
              </w:rPr>
              <w:t>220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95</w:t>
            </w:r>
          </w:p>
        </w:tc>
        <w:tc>
          <w:tcPr>
            <w:tcW w:w="2738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100</w:t>
            </w:r>
          </w:p>
        </w:tc>
      </w:tr>
      <w:tr w:rsidR="00AE44E9" w:rsidRPr="0046340C" w:rsidTr="00510DF7">
        <w:tc>
          <w:tcPr>
            <w:tcW w:w="2036" w:type="dxa"/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6340C">
              <w:rPr>
                <w:sz w:val="18"/>
              </w:rPr>
              <w:t>230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90</w:t>
            </w:r>
          </w:p>
        </w:tc>
        <w:tc>
          <w:tcPr>
            <w:tcW w:w="2738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100</w:t>
            </w:r>
          </w:p>
        </w:tc>
      </w:tr>
      <w:tr w:rsidR="00AE44E9" w:rsidRPr="0046340C" w:rsidTr="00510DF7">
        <w:tc>
          <w:tcPr>
            <w:tcW w:w="2036" w:type="dxa"/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6340C">
              <w:rPr>
                <w:sz w:val="18"/>
              </w:rPr>
              <w:t>240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85</w:t>
            </w:r>
          </w:p>
        </w:tc>
        <w:tc>
          <w:tcPr>
            <w:tcW w:w="2738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100</w:t>
            </w:r>
          </w:p>
        </w:tc>
      </w:tr>
      <w:tr w:rsidR="00AE44E9" w:rsidRPr="0046340C" w:rsidTr="00510DF7">
        <w:tc>
          <w:tcPr>
            <w:tcW w:w="2036" w:type="dxa"/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6340C">
              <w:rPr>
                <w:sz w:val="18"/>
              </w:rPr>
              <w:t>250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(80)*</w:t>
            </w:r>
          </w:p>
        </w:tc>
        <w:tc>
          <w:tcPr>
            <w:tcW w:w="2738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95</w:t>
            </w:r>
          </w:p>
        </w:tc>
      </w:tr>
      <w:tr w:rsidR="00AE44E9" w:rsidRPr="0046340C" w:rsidTr="00510DF7">
        <w:tc>
          <w:tcPr>
            <w:tcW w:w="2036" w:type="dxa"/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6340C">
              <w:rPr>
                <w:sz w:val="18"/>
              </w:rPr>
              <w:t>260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(75)*</w:t>
            </w:r>
          </w:p>
        </w:tc>
        <w:tc>
          <w:tcPr>
            <w:tcW w:w="2738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85</w:t>
            </w:r>
          </w:p>
        </w:tc>
      </w:tr>
      <w:tr w:rsidR="00AE44E9" w:rsidRPr="0046340C" w:rsidTr="00510DF7">
        <w:tc>
          <w:tcPr>
            <w:tcW w:w="2036" w:type="dxa"/>
            <w:shd w:val="clear" w:color="auto" w:fill="auto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6340C">
              <w:rPr>
                <w:sz w:val="18"/>
              </w:rPr>
              <w:t>270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(70)*</w:t>
            </w:r>
          </w:p>
        </w:tc>
        <w:tc>
          <w:tcPr>
            <w:tcW w:w="2738" w:type="dxa"/>
            <w:shd w:val="clear" w:color="auto" w:fill="auto"/>
            <w:vAlign w:val="bottom"/>
          </w:tcPr>
          <w:p w:rsidR="00AE44E9" w:rsidRPr="0046340C" w:rsidRDefault="00AE44E9" w:rsidP="00D62B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6340C">
              <w:rPr>
                <w:sz w:val="18"/>
              </w:rPr>
              <w:t>75</w:t>
            </w:r>
          </w:p>
        </w:tc>
      </w:tr>
    </w:tbl>
    <w:p w:rsidR="00AE44E9" w:rsidRPr="0046340C" w:rsidRDefault="00AE44E9" w:rsidP="00AE44E9">
      <w:pPr>
        <w:pStyle w:val="SingleTxtG"/>
        <w:spacing w:before="120" w:after="0"/>
        <w:ind w:firstLine="170"/>
        <w:rPr>
          <w:sz w:val="18"/>
          <w:szCs w:val="18"/>
        </w:rPr>
      </w:pPr>
      <w:r w:rsidRPr="0046340C">
        <w:rPr>
          <w:sz w:val="18"/>
          <w:szCs w:val="18"/>
        </w:rPr>
        <w:t>*  Applicable uniquement aux pneumatiques identifiés par la lettre de code “V” dans la désignation de la dimension et jusqu’à la vitesse maximale spécifiée par le fabricant du pneumatique.</w:t>
      </w:r>
    </w:p>
    <w:p w:rsidR="00AE44E9" w:rsidRPr="0046340C" w:rsidRDefault="00AE44E9" w:rsidP="00AE44E9">
      <w:pPr>
        <w:pStyle w:val="SingleTxtG"/>
        <w:spacing w:after="0"/>
        <w:ind w:firstLine="170"/>
        <w:rPr>
          <w:sz w:val="18"/>
          <w:szCs w:val="18"/>
        </w:rPr>
      </w:pPr>
      <w:r w:rsidRPr="0046340C">
        <w:rPr>
          <w:sz w:val="18"/>
          <w:szCs w:val="18"/>
        </w:rPr>
        <w:t>**  Applicable aussi aux pneumatiques identifiés par la lettre de code “Z” dans la désignation de la dimension.</w:t>
      </w:r>
    </w:p>
    <w:p w:rsidR="00AE44E9" w:rsidRPr="000045EE" w:rsidRDefault="00AE44E9" w:rsidP="00AE44E9">
      <w:pPr>
        <w:pStyle w:val="SingleTxtG"/>
        <w:ind w:firstLine="170"/>
      </w:pPr>
      <w:r w:rsidRPr="0046340C">
        <w:rPr>
          <w:sz w:val="18"/>
          <w:szCs w:val="18"/>
        </w:rPr>
        <w:t>***  Pour des vitesses intermédiaires, des interpolations linéaires de la charge maximale sont autorisées.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Les paragraphes 2.33.4 et 2.34</w:t>
      </w:r>
      <w:r w:rsidRPr="000045EE">
        <w:rPr>
          <w:rFonts w:eastAsia="HGMaruGothicMPRO"/>
        </w:rPr>
        <w:t xml:space="preserve"> deviennent les paragraphes 2.36.4 et 2.37.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3.1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« 3.1</w:t>
      </w:r>
      <w:r w:rsidRPr="000045EE">
        <w:rPr>
          <w:rFonts w:eastAsia="HGMaruGothicMPRO"/>
        </w:rPr>
        <w:tab/>
        <w:t xml:space="preserve">Les </w:t>
      </w:r>
      <w:r w:rsidRPr="000045EE">
        <w:t>pneumatiques</w:t>
      </w:r>
      <w:r w:rsidRPr="000045EE">
        <w:rPr>
          <w:rFonts w:eastAsia="HGMaruGothicMPRO"/>
        </w:rPr>
        <w:t xml:space="preserve"> présentés à l’homologation doivent porter au moins sur un flanc les inscriptions suivantes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3.1.1</w:t>
      </w:r>
      <w:r w:rsidRPr="000045EE">
        <w:rPr>
          <w:rFonts w:eastAsia="HGMaruGothicMPRO"/>
        </w:rPr>
        <w:tab/>
        <w:t>Le nom du fabricant ou la marque de fabrique ou de commerce</w:t>
      </w:r>
      <w:r>
        <w:rPr>
          <w:rFonts w:eastAsia="HGMaruGothicMPRO"/>
        </w:rPr>
        <w:t> ;</w:t>
      </w:r>
      <w:r w:rsidRPr="000045EE">
        <w:rPr>
          <w:rFonts w:eastAsia="HGMaruGothicMPRO"/>
        </w:rPr>
        <w:t>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Ajouter un nouveau paragraphe 3.1.2</w:t>
      </w:r>
      <w:r w:rsidRPr="000045EE">
        <w:rPr>
          <w:rFonts w:eastAsia="HGMaruGothicMPRO"/>
        </w:rPr>
        <w:t>, libellé comme suit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« 3.1.2</w:t>
      </w:r>
      <w:r w:rsidRPr="000045EE">
        <w:rPr>
          <w:rFonts w:eastAsia="HGMaruGothicMPRO"/>
        </w:rPr>
        <w:tab/>
        <w:t xml:space="preserve">La </w:t>
      </w:r>
      <w:r w:rsidRPr="000045EE">
        <w:t>désignation</w:t>
      </w:r>
      <w:r w:rsidRPr="000045EE">
        <w:rPr>
          <w:rFonts w:eastAsia="HGMaruGothicMPRO"/>
        </w:rPr>
        <w:t xml:space="preserve"> commerciale ou le nom commercial (voir le paragraphe 2.4 du présent Règlement). La désignation commerciale toutefois n’est pas requise quand elle est identique au nom de marque et à la marque de fabrique. ».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3.1.2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3.1.3</w:t>
      </w:r>
      <w:r w:rsidRPr="000045EE">
        <w:tab/>
      </w:r>
      <w:r w:rsidRPr="000045EE">
        <w:tab/>
        <w:t>La désignation de la dimension du pneumatique</w:t>
      </w:r>
      <w:r>
        <w:t> ;</w:t>
      </w:r>
      <w:r w:rsidRPr="000045EE">
        <w:t> ».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rPr>
          <w:rFonts w:eastAsia="HGMaruGothicMPRO"/>
          <w:i/>
        </w:rPr>
        <w:t>Les paragraphes 3.1.3 à 3.1.3.3</w:t>
      </w:r>
      <w:r w:rsidRPr="000045EE">
        <w:rPr>
          <w:rFonts w:eastAsia="HGMaruGothicMPRO"/>
        </w:rPr>
        <w:t xml:space="preserve"> deviennent les paragraphes 3.1.4 à 3.1.4.3.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Paragraphes 3.1.4 à 3.1.5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rPr>
          <w:strike/>
        </w:rPr>
      </w:pPr>
      <w:r w:rsidRPr="000045EE">
        <w:t>« 3.1.5</w:t>
      </w:r>
      <w:r w:rsidRPr="000045EE">
        <w:tab/>
        <w:t>Le symbole de catégorie de vitesse</w:t>
      </w:r>
      <w:r>
        <w:t> ;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3.1.6</w:t>
      </w:r>
      <w:r w:rsidRPr="000045EE">
        <w:tab/>
        <w:t>L’indice de capacité de charge</w:t>
      </w:r>
      <w:r>
        <w:t> ;</w:t>
      </w:r>
      <w:r w:rsidRPr="000045EE">
        <w:t> ».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rPr>
          <w:rFonts w:eastAsia="HGMaruGothicMPRO"/>
          <w:i/>
        </w:rPr>
        <w:t>Les paragraphes 3.1.6 à 3.1.15</w:t>
      </w:r>
      <w:r w:rsidRPr="000045EE">
        <w:rPr>
          <w:rFonts w:eastAsia="HGMaruGothicMPRO"/>
        </w:rPr>
        <w:t xml:space="preserve"> deviennent les paragraphes 3.1.7 à 3.1.16.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Paragraphes 4.1 à 4.1.2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4.1</w:t>
      </w:r>
      <w:r w:rsidRPr="000045EE">
        <w:tab/>
        <w:t>La demande d’homologation d’un type de pneumatique en application du présent Règlement doit être présentée par le fabricant du pneumatique ou par son représentant dûment accrédité. Elle doit spécifier</w:t>
      </w:r>
      <w: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4.1.1</w:t>
      </w:r>
      <w:r w:rsidRPr="000045EE">
        <w:tab/>
        <w:t>La désignation de la dimension du pneumatique</w:t>
      </w:r>
      <w:r>
        <w:t> ;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t>4.1.2</w:t>
      </w:r>
      <w:r w:rsidRPr="000045EE">
        <w:tab/>
        <w:t>Le nom du fabricant</w:t>
      </w:r>
      <w:r>
        <w:t> ;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</w:rPr>
        <w:t>4.1.2.1</w:t>
      </w:r>
      <w:r w:rsidRPr="000045EE">
        <w:rPr>
          <w:rFonts w:eastAsia="HGMaruGothicMPRO"/>
        </w:rPr>
        <w:tab/>
      </w:r>
      <w:r w:rsidRPr="000045EE">
        <w:t>La marque de fabrique ou de commerce</w:t>
      </w:r>
      <w:r>
        <w:t> ;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rPr>
          <w:rFonts w:eastAsia="HGMaruGothicMPRO"/>
        </w:rPr>
        <w:t>4.1.2.2</w:t>
      </w:r>
      <w:r w:rsidRPr="000045EE">
        <w:rPr>
          <w:rFonts w:eastAsia="HGMaruGothicMPRO"/>
        </w:rPr>
        <w:tab/>
      </w:r>
      <w:r w:rsidRPr="000045EE">
        <w:t>La désignation commerciale ou le nom commercial</w:t>
      </w:r>
      <w:r w:rsidRPr="000045EE">
        <w:rPr>
          <w:rFonts w:eastAsia="HGMaruGothicMPRO"/>
        </w:rPr>
        <w:t>. ».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4.1.3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4.1.3</w:t>
      </w:r>
      <w:r w:rsidRPr="000045EE">
        <w:tab/>
        <w:t>La catégorie d’utilisation (normale, neige, cyclomoteur, tout terrain (AT), spéciale)</w:t>
      </w:r>
      <w:r>
        <w:t> ;</w:t>
      </w:r>
      <w:r w:rsidRPr="000045EE">
        <w:t> ».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4.1.8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4.1.8</w:t>
      </w:r>
      <w:r w:rsidRPr="000045EE">
        <w:tab/>
        <w:t>S’il s’agit d’un pneumatique “standard” ou “renforcé”</w:t>
      </w:r>
      <w:r>
        <w:t> ;</w:t>
      </w:r>
      <w:r w:rsidRPr="000045EE">
        <w:t>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  <w:i/>
        </w:rPr>
      </w:pPr>
      <w:r w:rsidRPr="000045EE">
        <w:rPr>
          <w:rFonts w:eastAsia="HGMaruGothicMPRO"/>
          <w:i/>
        </w:rPr>
        <w:lastRenderedPageBreak/>
        <w:t>Paragraphe 5.1</w:t>
      </w:r>
      <w:r w:rsidRPr="000045EE">
        <w:rPr>
          <w:rFonts w:eastAsia="HGMaruGothicMPRO"/>
        </w:rPr>
        <w:t>, modification sans objet en français.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5.2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5.2</w:t>
      </w:r>
      <w:r w:rsidRPr="000045EE">
        <w:tab/>
        <w:t xml:space="preserve">À chaque type homologué il est attribué un numéro d’homologation dont les deux </w:t>
      </w:r>
      <w:r>
        <w:t>premiers chiffres (actuellement </w:t>
      </w:r>
      <w:r w:rsidRPr="000045EE">
        <w:t>00) indiquent la série d’amendements correspondant aux plus récentes modifications techniques majeures apportées au Règlement à la date de la délivrance de l’homologation. Une même Partie contractante ne peut pas attribuer ce numéro à un autre type de pneumatique en application du présent Règlement. ».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Paragraphe 5.3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</w:pPr>
      <w:r w:rsidRPr="000045EE">
        <w:t>« 5.3</w:t>
      </w:r>
      <w:r w:rsidRPr="000045EE">
        <w:tab/>
        <w:t>L’homologation ou l’extension ou le refus ou le retrait d’homologation ou l’arrêt définitif de la production d’un type de pneumatique, en application du présent Règlement, est communiqué aux Parties à l’Accord de 1958 appliquant le présent Règlement, au moyen d’une fiche conforme au modèle de l’annexe 1 du présent Règlement.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  <w:i/>
        </w:rPr>
      </w:pPr>
      <w:r w:rsidRPr="000045EE">
        <w:rPr>
          <w:rFonts w:eastAsia="HGMaruGothicMPRO"/>
          <w:i/>
        </w:rPr>
        <w:t>Paragraphes 5.4, 6.1.3, 6.2.1, 6.3.3.1</w:t>
      </w:r>
      <w:r w:rsidRPr="000045EE">
        <w:rPr>
          <w:rFonts w:eastAsia="HGMaruGothicMPRO"/>
        </w:rPr>
        <w:t xml:space="preserve">, ainsi que dans les titres des </w:t>
      </w:r>
      <w:r w:rsidRPr="000045EE">
        <w:rPr>
          <w:rFonts w:eastAsia="HGMaruGothicMPRO"/>
          <w:i/>
        </w:rPr>
        <w:t>paragraphes 7, 7.1, 7.1.1</w:t>
      </w:r>
      <w:r w:rsidRPr="000045EE">
        <w:rPr>
          <w:rFonts w:eastAsia="HGMaruGothicMPRO"/>
        </w:rPr>
        <w:t xml:space="preserve">, </w:t>
      </w:r>
      <w:r w:rsidRPr="000045EE">
        <w:rPr>
          <w:rFonts w:eastAsia="HGMaruGothicMPRO"/>
          <w:i/>
        </w:rPr>
        <w:t>9.1 et 10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modification sans objet en français.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  <w:i/>
        </w:rPr>
      </w:pPr>
      <w:r w:rsidRPr="000045EE">
        <w:rPr>
          <w:rFonts w:eastAsia="HGMaruGothicMPRO"/>
          <w:i/>
        </w:rPr>
        <w:t>Paragraphe 11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HChG"/>
        <w:kinsoku/>
        <w:overflowPunct/>
        <w:autoSpaceDE/>
        <w:autoSpaceDN/>
        <w:adjustRightInd/>
        <w:snapToGrid/>
        <w:ind w:left="2268"/>
        <w:rPr>
          <w:rFonts w:eastAsia="MS Mincho"/>
          <w:lang w:eastAsia="fr-FR"/>
        </w:rPr>
      </w:pPr>
      <w:r w:rsidRPr="00A00AD2">
        <w:rPr>
          <w:rFonts w:eastAsia="MS Mincho"/>
          <w:b w:val="0"/>
          <w:sz w:val="20"/>
          <w:lang w:eastAsia="fr-FR"/>
        </w:rPr>
        <w:t>«</w:t>
      </w:r>
      <w:r w:rsidRPr="000045EE">
        <w:rPr>
          <w:rFonts w:eastAsia="MS Mincho"/>
          <w:lang w:eastAsia="fr-FR"/>
        </w:rPr>
        <w:t> 11.</w:t>
      </w:r>
      <w:r w:rsidRPr="000045EE">
        <w:rPr>
          <w:rFonts w:eastAsia="MS Mincho"/>
          <w:lang w:eastAsia="fr-FR"/>
        </w:rPr>
        <w:tab/>
      </w:r>
      <w:r w:rsidRPr="000045EE">
        <w:t xml:space="preserve">Noms et adresses des services techniques chargés des essais d’homologation, des </w:t>
      </w:r>
      <w:r w:rsidRPr="000045EE">
        <w:rPr>
          <w:rFonts w:eastAsia="MS Mincho"/>
          <w:lang w:eastAsia="fr-FR"/>
        </w:rPr>
        <w:t xml:space="preserve">laboratoires </w:t>
      </w:r>
      <w:r w:rsidRPr="000045EE">
        <w:t xml:space="preserve">d’essais et des </w:t>
      </w:r>
      <w:r w:rsidRPr="000045EE">
        <w:rPr>
          <w:rFonts w:eastAsia="MS Mincho"/>
          <w:lang w:eastAsia="fr-FR"/>
        </w:rPr>
        <w:t xml:space="preserve">autorités </w:t>
      </w:r>
      <w:r w:rsidRPr="000045EE">
        <w:t xml:space="preserve">d’homologation de </w:t>
      </w:r>
      <w:r w:rsidRPr="000045EE">
        <w:rPr>
          <w:rFonts w:eastAsia="MS Mincho"/>
          <w:lang w:eastAsia="fr-FR"/>
        </w:rPr>
        <w:t>type</w:t>
      </w:r>
    </w:p>
    <w:p w:rsidR="00AE44E9" w:rsidRPr="000045EE" w:rsidRDefault="00AE44E9" w:rsidP="00AE44E9">
      <w:pPr>
        <w:pStyle w:val="SingleTxtG"/>
        <w:ind w:left="2268" w:hanging="1134"/>
        <w:rPr>
          <w:lang w:eastAsia="fr-FR"/>
        </w:rPr>
      </w:pPr>
      <w:r w:rsidRPr="000045EE">
        <w:rPr>
          <w:lang w:eastAsia="fr-FR"/>
        </w:rPr>
        <w:t>11.1</w:t>
      </w:r>
      <w:r w:rsidRPr="000045EE">
        <w:rPr>
          <w:lang w:eastAsia="fr-FR"/>
        </w:rPr>
        <w:tab/>
      </w:r>
      <w:r>
        <w:rPr>
          <w:lang w:eastAsia="fr-FR"/>
        </w:rPr>
        <w:tab/>
      </w:r>
      <w:r w:rsidRPr="000045EE">
        <w:t>Les Parties contractantes</w:t>
      </w:r>
      <w:r w:rsidRPr="000045EE">
        <w:rPr>
          <w:lang w:eastAsia="fr-FR"/>
        </w:rPr>
        <w:t xml:space="preserve"> </w:t>
      </w:r>
      <w:r w:rsidRPr="000045EE">
        <w:t xml:space="preserve">à l’Accord de 1958 appliquant le présent Règlement communiquent au Secrétariat de l’Organisation des Nations Unies les noms et adresses des services techniques chargés d’exécuter les essais d’homologation et, lorsqu’il y a lieu, des </w:t>
      </w:r>
      <w:r w:rsidRPr="000045EE">
        <w:rPr>
          <w:rFonts w:eastAsia="MS Mincho"/>
          <w:bCs/>
          <w:lang w:eastAsia="fr-FR"/>
        </w:rPr>
        <w:t xml:space="preserve">laboratoires </w:t>
      </w:r>
      <w:r w:rsidRPr="000045EE">
        <w:rPr>
          <w:szCs w:val="24"/>
        </w:rPr>
        <w:t xml:space="preserve">d’essais agréés </w:t>
      </w:r>
      <w:r w:rsidRPr="000045EE">
        <w:t xml:space="preserve">ainsi que des </w:t>
      </w:r>
      <w:r w:rsidRPr="000045EE">
        <w:rPr>
          <w:rFonts w:eastAsia="MS Mincho"/>
          <w:bCs/>
          <w:lang w:eastAsia="fr-FR"/>
        </w:rPr>
        <w:t xml:space="preserve">autorités </w:t>
      </w:r>
      <w:r w:rsidRPr="000045EE">
        <w:rPr>
          <w:szCs w:val="24"/>
        </w:rPr>
        <w:t xml:space="preserve">d’homologation de </w:t>
      </w:r>
      <w:r w:rsidRPr="000045EE">
        <w:rPr>
          <w:rFonts w:eastAsia="MS Mincho"/>
          <w:bCs/>
          <w:lang w:eastAsia="fr-FR"/>
        </w:rPr>
        <w:t xml:space="preserve">type </w:t>
      </w:r>
      <w:r w:rsidRPr="000045EE">
        <w:t>qui délivrent l’homologation et auxquelles doivent être envoyées les fiches d’homologation ou d’extension ou de refus ou de retrait d’homologation ou d’arrêt définitif de la production émises dans d’autres pays</w:t>
      </w:r>
      <w:r w:rsidRPr="000045EE">
        <w:rPr>
          <w:lang w:eastAsia="fr-FR"/>
        </w:rPr>
        <w:t>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  <w:strike/>
        </w:rPr>
      </w:pPr>
      <w:r w:rsidRPr="000045EE">
        <w:rPr>
          <w:rFonts w:eastAsia="HGMaruGothicMPRO"/>
        </w:rPr>
        <w:t>11.2</w:t>
      </w:r>
      <w:r w:rsidRPr="000045EE">
        <w:rPr>
          <w:rFonts w:eastAsia="HGMaruGothicMPRO"/>
        </w:rPr>
        <w:tab/>
        <w:t>Les Parties contractantes à l’Accord de 1958 appliquant le présent Règlement peuvent désigner des laboratoires des fabricants de pneumatiques comme laboratoires d’essais agréés.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  <w:i/>
        </w:rPr>
      </w:pPr>
      <w:r w:rsidRPr="000045EE">
        <w:rPr>
          <w:rFonts w:eastAsia="HGMaruGothicMPRO"/>
        </w:rPr>
        <w:t>11.3</w:t>
      </w:r>
      <w:r w:rsidRPr="000045EE">
        <w:rPr>
          <w:rFonts w:eastAsia="HGMaruGothicMPRO"/>
        </w:rPr>
        <w:tab/>
      </w:r>
      <w:r w:rsidRPr="000045EE">
        <w:t xml:space="preserve">Si une Partie </w:t>
      </w:r>
      <w:r w:rsidRPr="000045EE">
        <w:rPr>
          <w:lang w:eastAsia="fr-FR"/>
        </w:rPr>
        <w:t xml:space="preserve">contractante </w:t>
      </w:r>
      <w:r w:rsidRPr="000045EE">
        <w:t>à l’Accord de 1958 choisit d’appliquer le paragraphe 11.2 ci-dessus, elle peut, si elle le juge bon, se faire représenter aux essais par une ou plusieurs personnes de son choix</w:t>
      </w:r>
      <w:r w:rsidRPr="000045EE">
        <w:rPr>
          <w:rFonts w:eastAsia="HGMaruGothicMPRO"/>
        </w:rPr>
        <w:t>.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Annexe 1</w:t>
      </w:r>
      <w:r w:rsidRPr="000045EE">
        <w:rPr>
          <w:rFonts w:eastAsia="HGMaruGothicMPRO"/>
        </w:rPr>
        <w:t>,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HChG"/>
      </w:pPr>
      <w:r>
        <w:tab/>
      </w:r>
      <w:r>
        <w:tab/>
      </w:r>
      <w:r w:rsidRPr="00136C91">
        <w:rPr>
          <w:b w:val="0"/>
          <w:sz w:val="20"/>
        </w:rPr>
        <w:t>«</w:t>
      </w:r>
      <w:r w:rsidRPr="00136C91">
        <w:rPr>
          <w:sz w:val="20"/>
        </w:rPr>
        <w:t> </w:t>
      </w:r>
      <w:r w:rsidRPr="000045EE">
        <w:t>Communication</w:t>
      </w:r>
    </w:p>
    <w:p w:rsidR="00AE44E9" w:rsidRPr="000045EE" w:rsidRDefault="00AE44E9" w:rsidP="00AE44E9">
      <w:pPr>
        <w:pStyle w:val="SingleTxtG"/>
        <w:rPr>
          <w:lang w:eastAsia="fr-FR"/>
        </w:rPr>
      </w:pPr>
      <w:r>
        <w:rPr>
          <w:lang w:eastAsia="fr-FR"/>
        </w:rPr>
        <w:t>… </w:t>
      </w:r>
      <w:r w:rsidRPr="000045EE">
        <w:t xml:space="preserve">d’un type de </w:t>
      </w:r>
      <w:r w:rsidRPr="000045EE">
        <w:rPr>
          <w:rFonts w:eastAsia="HGMaruGothicMPRO"/>
        </w:rPr>
        <w:t>pneumatique</w:t>
      </w:r>
      <w:r w:rsidRPr="000045EE">
        <w:t xml:space="preserve"> pour motocycles et cyclomoteurs conformément au Règlement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> 75 ».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Annexe 1, point 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tabs>
          <w:tab w:val="right" w:leader="dot" w:pos="8505"/>
          <w:tab w:val="right" w:leader="dot" w:pos="9639"/>
        </w:tabs>
        <w:ind w:left="2268" w:hanging="1134"/>
        <w:rPr>
          <w:lang w:eastAsia="fr-FR"/>
        </w:rPr>
      </w:pPr>
      <w:r w:rsidRPr="000045EE">
        <w:rPr>
          <w:lang w:eastAsia="fr-FR"/>
        </w:rPr>
        <w:t>« 1.</w:t>
      </w:r>
      <w:r w:rsidRPr="000045EE">
        <w:rPr>
          <w:lang w:eastAsia="fr-FR"/>
        </w:rPr>
        <w:tab/>
      </w:r>
      <w:r w:rsidRPr="000045EE">
        <w:t xml:space="preserve">Nom </w:t>
      </w:r>
      <w:r w:rsidRPr="000045EE">
        <w:rPr>
          <w:lang w:eastAsia="fr-FR"/>
        </w:rPr>
        <w:t xml:space="preserve">et adresse </w:t>
      </w:r>
      <w:r w:rsidRPr="000045EE">
        <w:t>du fabricant</w:t>
      </w:r>
      <w:r>
        <w:t> :</w:t>
      </w:r>
      <w:r w:rsidRPr="000045EE">
        <w:rPr>
          <w:lang w:eastAsia="fr-FR"/>
        </w:rPr>
        <w:tab/>
        <w:t>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Annexe 1, point 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tabs>
          <w:tab w:val="right" w:leader="dot" w:pos="8505"/>
          <w:tab w:val="right" w:leader="dot" w:pos="9639"/>
        </w:tabs>
        <w:ind w:left="2268" w:hanging="1134"/>
        <w:rPr>
          <w:lang w:eastAsia="fr-FR"/>
        </w:rPr>
      </w:pPr>
      <w:r w:rsidRPr="000045EE">
        <w:rPr>
          <w:lang w:eastAsia="fr-FR"/>
        </w:rPr>
        <w:t>« 2.</w:t>
      </w:r>
      <w:r w:rsidRPr="000045EE">
        <w:rPr>
          <w:lang w:eastAsia="fr-FR"/>
        </w:rPr>
        <w:tab/>
      </w:r>
      <w:r w:rsidRPr="000045EE">
        <w:t>Désignation du type de pneumatique</w:t>
      </w:r>
      <w:r w:rsidRPr="002073A7">
        <w:rPr>
          <w:sz w:val="18"/>
          <w:szCs w:val="18"/>
          <w:vertAlign w:val="superscript"/>
          <w:lang w:eastAsia="fr-FR"/>
        </w:rPr>
        <w:t>3</w:t>
      </w:r>
      <w:r>
        <w:rPr>
          <w:vertAlign w:val="superscript"/>
          <w:lang w:eastAsia="fr-FR"/>
        </w:rPr>
        <w:t> </w:t>
      </w:r>
      <w:r>
        <w:rPr>
          <w:lang w:eastAsia="fr-FR"/>
        </w:rPr>
        <w:t>:</w:t>
      </w:r>
      <w:r>
        <w:rPr>
          <w:lang w:eastAsia="fr-FR"/>
        </w:rPr>
        <w:tab/>
      </w:r>
    </w:p>
    <w:p w:rsidR="00AE44E9" w:rsidRPr="000045EE" w:rsidRDefault="00AE44E9" w:rsidP="00AE44E9">
      <w:pPr>
        <w:pStyle w:val="SingleTxtG"/>
        <w:tabs>
          <w:tab w:val="right" w:leader="dot" w:pos="8505"/>
          <w:tab w:val="right" w:leader="dot" w:pos="9639"/>
        </w:tabs>
        <w:ind w:left="2268" w:hanging="1134"/>
        <w:rPr>
          <w:lang w:eastAsia="fr-FR"/>
        </w:rPr>
      </w:pPr>
      <w:r w:rsidRPr="000045EE">
        <w:rPr>
          <w:lang w:eastAsia="fr-FR"/>
        </w:rPr>
        <w:t>2.1</w:t>
      </w:r>
      <w:r w:rsidRPr="000045EE">
        <w:rPr>
          <w:lang w:eastAsia="fr-FR"/>
        </w:rPr>
        <w:tab/>
        <w:t xml:space="preserve">Nom de marque/marque de </w:t>
      </w:r>
      <w:r w:rsidRPr="000045EE">
        <w:t>fabrique</w:t>
      </w:r>
      <w:r>
        <w:rPr>
          <w:lang w:eastAsia="fr-FR"/>
        </w:rPr>
        <w:t> :</w:t>
      </w:r>
      <w:r>
        <w:rPr>
          <w:lang w:eastAsia="fr-FR"/>
        </w:rPr>
        <w:tab/>
      </w:r>
    </w:p>
    <w:p w:rsidR="00AE44E9" w:rsidRPr="000045EE" w:rsidRDefault="00AE44E9" w:rsidP="00AE44E9">
      <w:pPr>
        <w:pStyle w:val="SingleTxtG"/>
        <w:tabs>
          <w:tab w:val="right" w:leader="dot" w:pos="8505"/>
          <w:tab w:val="right" w:leader="dot" w:pos="9639"/>
        </w:tabs>
        <w:ind w:left="2268" w:hanging="1134"/>
        <w:rPr>
          <w:lang w:eastAsia="fr-FR"/>
        </w:rPr>
      </w:pPr>
      <w:r w:rsidRPr="000045EE">
        <w:rPr>
          <w:lang w:eastAsia="fr-FR"/>
        </w:rPr>
        <w:t>2.2</w:t>
      </w:r>
      <w:r w:rsidRPr="000045EE">
        <w:rPr>
          <w:lang w:eastAsia="fr-FR"/>
        </w:rPr>
        <w:tab/>
        <w:t>Désignation commerciale/nom commercial</w:t>
      </w:r>
      <w:r>
        <w:rPr>
          <w:lang w:eastAsia="fr-FR"/>
        </w:rPr>
        <w:t> :</w:t>
      </w:r>
      <w:r>
        <w:rPr>
          <w:lang w:eastAsia="fr-FR"/>
        </w:rPr>
        <w:tab/>
      </w:r>
    </w:p>
    <w:p w:rsidR="00AE44E9" w:rsidRPr="000045EE" w:rsidRDefault="00AE44E9" w:rsidP="00AE44E9">
      <w:pPr>
        <w:keepNext/>
        <w:suppressAutoHyphens w:val="0"/>
        <w:spacing w:after="120" w:line="240" w:lineRule="auto"/>
        <w:ind w:left="680" w:right="1134"/>
        <w:jc w:val="both"/>
        <w:rPr>
          <w:lang w:eastAsia="fr-FR"/>
        </w:rPr>
      </w:pPr>
      <w:r>
        <w:lastRenderedPageBreak/>
        <w:t>______________</w:t>
      </w:r>
    </w:p>
    <w:p w:rsidR="00AE44E9" w:rsidRPr="000045EE" w:rsidRDefault="00AE44E9" w:rsidP="00AE44E9">
      <w:pPr>
        <w:pStyle w:val="FootnoteText"/>
        <w:spacing w:after="240"/>
        <w:rPr>
          <w:lang w:eastAsia="fr-FR"/>
        </w:rPr>
      </w:pPr>
      <w:r w:rsidRPr="00855628">
        <w:rPr>
          <w:lang w:eastAsia="fr-FR"/>
        </w:rPr>
        <w:tab/>
      </w:r>
      <w:r w:rsidRPr="00855628">
        <w:rPr>
          <w:vertAlign w:val="superscript"/>
          <w:lang w:eastAsia="fr-FR"/>
        </w:rPr>
        <w:t>3</w:t>
      </w:r>
      <w:r w:rsidRPr="00855628">
        <w:rPr>
          <w:lang w:eastAsia="fr-FR"/>
        </w:rPr>
        <w:tab/>
      </w:r>
      <w:r w:rsidRPr="000045EE">
        <w:t>Une liste des noms de marques/marques de fabrique ou de désignations commerciales/noms commerciaux peut être jointe en annexe à la présente communication</w:t>
      </w:r>
      <w:r w:rsidRPr="000045EE">
        <w:rPr>
          <w:lang w:eastAsia="fr-FR"/>
        </w:rPr>
        <w:t>.</w:t>
      </w:r>
      <w:r w:rsidRPr="00855628">
        <w:rPr>
          <w:lang w:eastAsia="fr-FR"/>
        </w:rPr>
        <w:t> ».</w:t>
      </w:r>
    </w:p>
    <w:p w:rsidR="00AE44E9" w:rsidRPr="000045EE" w:rsidRDefault="00AE44E9" w:rsidP="00AE44E9">
      <w:pPr>
        <w:pStyle w:val="SingleTxtG"/>
        <w:ind w:left="2268" w:hanging="1134"/>
        <w:rPr>
          <w:lang w:eastAsia="fr-FR"/>
        </w:rPr>
      </w:pPr>
      <w:r w:rsidRPr="000045EE">
        <w:rPr>
          <w:rFonts w:eastAsia="HGMaruGothicMPRO"/>
          <w:i/>
        </w:rPr>
        <w:t>Annexe 1, point 3</w:t>
      </w:r>
      <w:r w:rsidRPr="000045EE">
        <w:rPr>
          <w:rFonts w:eastAsia="HGMaruGothicMPRO"/>
        </w:rPr>
        <w:t>, supprimer.</w:t>
      </w:r>
    </w:p>
    <w:p w:rsidR="00AE44E9" w:rsidRPr="00C06C59" w:rsidRDefault="00AE44E9" w:rsidP="00AE44E9">
      <w:pPr>
        <w:pStyle w:val="SingleTxtG"/>
        <w:ind w:left="2268" w:hanging="1134"/>
        <w:rPr>
          <w:iCs/>
          <w:lang w:eastAsia="fr-FR"/>
        </w:rPr>
      </w:pPr>
      <w:r w:rsidRPr="000045EE">
        <w:rPr>
          <w:rFonts w:eastAsia="HGMaruGothicMPRO"/>
          <w:i/>
        </w:rPr>
        <w:t xml:space="preserve">Annexe 1, les points 4 à 5.1 </w:t>
      </w:r>
      <w:r w:rsidRPr="000045EE">
        <w:rPr>
          <w:rFonts w:eastAsia="HGMaruGothicMPRO"/>
        </w:rPr>
        <w:t>deviennent</w:t>
      </w:r>
      <w:r w:rsidRPr="000045EE">
        <w:rPr>
          <w:rFonts w:eastAsia="HGMaruGothicMPRO"/>
          <w:i/>
        </w:rPr>
        <w:t xml:space="preserve"> </w:t>
      </w:r>
      <w:r w:rsidRPr="00C06C59">
        <w:rPr>
          <w:rFonts w:eastAsia="HGMaruGothicMPRO"/>
          <w:iCs/>
        </w:rPr>
        <w:t>les points 3 à 4.1.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</w:rPr>
      </w:pPr>
      <w:r w:rsidRPr="000045EE">
        <w:rPr>
          <w:rFonts w:eastAsia="HGMaruGothicMPRO"/>
          <w:i/>
        </w:rPr>
        <w:t>Annexe 1, point 5.2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renuméroter et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jc w:val="left"/>
        <w:rPr>
          <w:lang w:eastAsia="en-GB"/>
        </w:rPr>
      </w:pPr>
      <w:r w:rsidRPr="000045EE">
        <w:rPr>
          <w:lang w:eastAsia="fr-FR"/>
        </w:rPr>
        <w:t>« 4.2</w:t>
      </w:r>
      <w:r w:rsidRPr="000045EE">
        <w:rPr>
          <w:lang w:eastAsia="fr-FR"/>
        </w:rPr>
        <w:tab/>
      </w:r>
      <w:r w:rsidRPr="000045EE">
        <w:t>Catégorie d’utilisation</w:t>
      </w:r>
      <w:r>
        <w:t> :</w:t>
      </w:r>
      <w:r w:rsidRPr="000045EE">
        <w:t xml:space="preserve"> </w:t>
      </w:r>
      <w:r w:rsidRPr="000045EE">
        <w:rPr>
          <w:lang w:eastAsia="en-GB"/>
        </w:rPr>
        <w:t>normale</w:t>
      </w:r>
      <w:r w:rsidRPr="000045EE">
        <w:t>/neige/cyclomoteur/tout terrain</w:t>
      </w:r>
      <w:r>
        <w:rPr>
          <w:iCs/>
          <w:lang w:eastAsia="en-GB"/>
        </w:rPr>
        <w:t xml:space="preserve"> (AT)/</w:t>
      </w:r>
      <w:r w:rsidRPr="000045EE">
        <w:rPr>
          <w:iCs/>
          <w:lang w:eastAsia="en-GB"/>
        </w:rPr>
        <w:t>spéciale</w:t>
      </w:r>
      <w:r w:rsidRPr="000045EE">
        <w:rPr>
          <w:vertAlign w:val="superscript"/>
          <w:lang w:eastAsia="en-GB"/>
        </w:rPr>
        <w:t>2</w:t>
      </w:r>
      <w:r w:rsidRPr="000045EE">
        <w:rPr>
          <w:lang w:eastAsia="en-GB"/>
        </w:rPr>
        <w:t> ».</w:t>
      </w:r>
    </w:p>
    <w:p w:rsidR="00AE44E9" w:rsidRPr="00C06C59" w:rsidRDefault="00AE44E9" w:rsidP="00AE44E9">
      <w:pPr>
        <w:pStyle w:val="SingleTxtG"/>
        <w:ind w:left="2268" w:hanging="1134"/>
        <w:rPr>
          <w:iCs/>
          <w:lang w:eastAsia="fr-FR"/>
        </w:rPr>
      </w:pPr>
      <w:r w:rsidRPr="000045EE">
        <w:rPr>
          <w:rFonts w:eastAsia="HGMaruGothicMPRO"/>
          <w:i/>
        </w:rPr>
        <w:t xml:space="preserve">Annexe 1, les points 5.3 à 14 </w:t>
      </w:r>
      <w:r w:rsidRPr="000045EE">
        <w:rPr>
          <w:rFonts w:eastAsia="HGMaruGothicMPRO"/>
        </w:rPr>
        <w:t>deviennent</w:t>
      </w:r>
      <w:r w:rsidRPr="000045EE">
        <w:rPr>
          <w:rFonts w:eastAsia="HGMaruGothicMPRO"/>
          <w:i/>
        </w:rPr>
        <w:t xml:space="preserve"> </w:t>
      </w:r>
      <w:r w:rsidRPr="00C06C59">
        <w:rPr>
          <w:rFonts w:eastAsia="HGMaruGothicMPRO"/>
          <w:iCs/>
        </w:rPr>
        <w:t>les points 4.3 à 13.</w:t>
      </w:r>
    </w:p>
    <w:p w:rsidR="00AE44E9" w:rsidRPr="000045EE" w:rsidRDefault="00AE44E9" w:rsidP="00AE44E9">
      <w:pPr>
        <w:pStyle w:val="SingleTxtG"/>
        <w:keepNext/>
        <w:ind w:left="2268" w:hanging="1134"/>
        <w:rPr>
          <w:rFonts w:eastAsia="HGMaruGothicMPRO"/>
          <w:i/>
        </w:rPr>
      </w:pPr>
      <w:r w:rsidRPr="000045EE">
        <w:rPr>
          <w:rFonts w:eastAsia="HGMaruGothicMPRO"/>
          <w:i/>
        </w:rPr>
        <w:t xml:space="preserve">Annexe 2,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ind w:left="2268" w:hanging="1134"/>
        <w:rPr>
          <w:lang w:eastAsia="fr-FR"/>
        </w:rPr>
      </w:pPr>
      <w:r w:rsidRPr="000045EE">
        <w:rPr>
          <w:lang w:eastAsia="fr-FR"/>
        </w:rPr>
        <w:t>« …</w:t>
      </w:r>
    </w:p>
    <w:p w:rsidR="00AE44E9" w:rsidRPr="000045EE" w:rsidRDefault="00AE44E9" w:rsidP="00AE44E9">
      <w:pPr>
        <w:pStyle w:val="SingleTxtG"/>
        <w:ind w:firstLine="567"/>
        <w:rPr>
          <w:lang w:eastAsia="fr-FR"/>
        </w:rPr>
      </w:pPr>
      <w:r w:rsidRPr="000045EE">
        <w:t xml:space="preserve">La marque d’homologation ci-dessus, apposée sur un pneumatique, indique que ce type de pneumatique pour motocycles et cyclomoteurs a été homologué aux Pays-Bas (E4), en application du Règlement </w:t>
      </w:r>
      <w:r w:rsidRPr="000045EE">
        <w:rPr>
          <w:rFonts w:eastAsia="MS Mincho"/>
        </w:rPr>
        <w:t>n</w:t>
      </w:r>
      <w:r w:rsidRPr="000045EE">
        <w:rPr>
          <w:rFonts w:eastAsia="MS Mincho"/>
          <w:vertAlign w:val="superscript"/>
        </w:rPr>
        <w:t>o</w:t>
      </w:r>
      <w:r w:rsidRPr="000045EE">
        <w:t xml:space="preserve"> 75 sous le </w:t>
      </w:r>
      <w:r w:rsidRPr="00C76224">
        <w:rPr>
          <w:rFonts w:eastAsia="MS Mincho"/>
        </w:rPr>
        <w:t>n</w:t>
      </w:r>
      <w:r w:rsidRPr="00C76224">
        <w:rPr>
          <w:rFonts w:eastAsia="MS Mincho"/>
          <w:vertAlign w:val="superscript"/>
        </w:rPr>
        <w:t>o</w:t>
      </w:r>
      <w:r>
        <w:rPr>
          <w:rFonts w:eastAsia="MS Mincho"/>
        </w:rPr>
        <w:t xml:space="preserve"> </w:t>
      </w:r>
      <w:r w:rsidRPr="000045EE">
        <w:rPr>
          <w:lang w:eastAsia="fr-FR"/>
        </w:rPr>
        <w:t>022439.</w:t>
      </w:r>
    </w:p>
    <w:p w:rsidR="00AE44E9" w:rsidRPr="000045EE" w:rsidRDefault="00AE44E9" w:rsidP="00AE44E9">
      <w:pPr>
        <w:pStyle w:val="SingleTxtG"/>
        <w:ind w:left="2268" w:hanging="1134"/>
        <w:rPr>
          <w:lang w:eastAsia="fr-FR"/>
        </w:rPr>
      </w:pPr>
      <w:r w:rsidRPr="000045EE">
        <w:rPr>
          <w:lang w:eastAsia="fr-FR"/>
        </w:rPr>
        <w:t>… ».</w:t>
      </w:r>
    </w:p>
    <w:p w:rsidR="00AE44E9" w:rsidRPr="000045EE" w:rsidRDefault="00AE44E9" w:rsidP="00AE44E9">
      <w:pPr>
        <w:pStyle w:val="SingleTxtG"/>
        <w:ind w:left="2268" w:hanging="1134"/>
        <w:rPr>
          <w:rFonts w:eastAsia="HGMaruGothicMPRO"/>
          <w:i/>
        </w:rPr>
      </w:pPr>
      <w:r w:rsidRPr="000045EE">
        <w:rPr>
          <w:rFonts w:eastAsia="HGMaruGothicMPRO"/>
          <w:i/>
        </w:rPr>
        <w:t>Annexe 3</w:t>
      </w:r>
      <w:r w:rsidRPr="000045EE">
        <w:rPr>
          <w:rFonts w:eastAsia="HGMaruGothicMPRO"/>
        </w:rPr>
        <w:t>, modification sans objet en français.</w:t>
      </w:r>
    </w:p>
    <w:p w:rsidR="00AE44E9" w:rsidRPr="000045EE" w:rsidRDefault="00AE44E9" w:rsidP="00AE44E9">
      <w:pPr>
        <w:pStyle w:val="SingleTxtG"/>
        <w:ind w:left="2268" w:hanging="1134"/>
        <w:rPr>
          <w:lang w:eastAsia="fr-FR"/>
        </w:rPr>
      </w:pPr>
      <w:r w:rsidRPr="000045EE">
        <w:rPr>
          <w:rFonts w:eastAsia="HGMaruGothicMPRO"/>
          <w:i/>
        </w:rPr>
        <w:t>Annexe 6</w:t>
      </w:r>
      <w:r w:rsidRPr="000045EE">
        <w:rPr>
          <w:rFonts w:eastAsia="HGMaruGothicMPRO"/>
        </w:rPr>
        <w:t>, modification sans objet en français.</w:t>
      </w:r>
    </w:p>
    <w:p w:rsidR="00AE44E9" w:rsidRPr="000045EE" w:rsidRDefault="00AE44E9" w:rsidP="00AE44E9">
      <w:pPr>
        <w:pStyle w:val="SingleTxtG"/>
        <w:ind w:left="2268" w:hanging="1134"/>
        <w:rPr>
          <w:i/>
          <w:lang w:eastAsia="fr-FR"/>
        </w:rPr>
      </w:pPr>
      <w:r w:rsidRPr="000045EE">
        <w:rPr>
          <w:rFonts w:eastAsia="HGMaruGothicMPRO"/>
          <w:i/>
        </w:rPr>
        <w:t>Annexe 6, r</w:t>
      </w:r>
      <w:r w:rsidRPr="000045EE">
        <w:rPr>
          <w:i/>
          <w:lang w:eastAsia="fr-FR"/>
        </w:rPr>
        <w:t xml:space="preserve">emplacer le tableau du paragraphe 1 </w:t>
      </w:r>
      <w:r w:rsidRPr="000045EE">
        <w:rPr>
          <w:rFonts w:eastAsia="HGMaruGothicMPRO"/>
        </w:rPr>
        <w:t>par</w:t>
      </w:r>
      <w:r w:rsidRPr="000045EE">
        <w:rPr>
          <w:lang w:eastAsia="fr-FR"/>
        </w:rPr>
        <w:t xml:space="preserve"> le suivant</w:t>
      </w:r>
      <w:r>
        <w:rPr>
          <w:lang w:eastAsia="fr-FR"/>
        </w:rPr>
        <w:t> :</w:t>
      </w:r>
    </w:p>
    <w:p w:rsidR="00AE44E9" w:rsidRDefault="00AE44E9" w:rsidP="00AE44E9">
      <w:pPr>
        <w:pStyle w:val="SingleTxtG"/>
        <w:ind w:left="2268" w:hanging="1134"/>
        <w:rPr>
          <w:lang w:eastAsia="fr-FR"/>
        </w:rPr>
      </w:pPr>
      <w:r w:rsidRPr="000045EE">
        <w:rPr>
          <w:lang w:eastAsia="fr-FR"/>
        </w:rPr>
        <w:t>« 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1645"/>
        <w:gridCol w:w="1129"/>
        <w:gridCol w:w="2879"/>
        <w:gridCol w:w="884"/>
        <w:gridCol w:w="834"/>
      </w:tblGrid>
      <w:tr w:rsidR="00AE44E9" w:rsidRPr="00914DA2" w:rsidTr="00510DF7">
        <w:trPr>
          <w:tblHeader/>
        </w:trPr>
        <w:tc>
          <w:tcPr>
            <w:tcW w:w="2774" w:type="dxa"/>
            <w:gridSpan w:val="2"/>
            <w:vMerge w:val="restart"/>
            <w:vAlign w:val="bottom"/>
          </w:tcPr>
          <w:p w:rsidR="00AE44E9" w:rsidRPr="00914DA2" w:rsidRDefault="00AE44E9" w:rsidP="00510DF7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Version du pneumatique</w:t>
            </w:r>
          </w:p>
        </w:tc>
        <w:tc>
          <w:tcPr>
            <w:tcW w:w="2879" w:type="dxa"/>
            <w:vMerge w:val="restart"/>
            <w:vAlign w:val="bottom"/>
          </w:tcPr>
          <w:p w:rsidR="00AE44E9" w:rsidRPr="00914DA2" w:rsidRDefault="00AE44E9" w:rsidP="00510DF7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Symbole de catégorie de vitesse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AE44E9" w:rsidRDefault="00AE44E9" w:rsidP="00510DF7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Pression de gonflage</w:t>
            </w:r>
          </w:p>
        </w:tc>
      </w:tr>
      <w:tr w:rsidR="00AE44E9" w:rsidRPr="00914DA2" w:rsidTr="00510DF7">
        <w:trPr>
          <w:tblHeader/>
        </w:trPr>
        <w:tc>
          <w:tcPr>
            <w:tcW w:w="2774" w:type="dxa"/>
            <w:gridSpan w:val="2"/>
            <w:vMerge/>
            <w:tcBorders>
              <w:bottom w:val="single" w:sz="12" w:space="0" w:color="auto"/>
            </w:tcBorders>
          </w:tcPr>
          <w:p w:rsidR="00AE44E9" w:rsidRPr="00914DA2" w:rsidRDefault="00AE44E9" w:rsidP="00510DF7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bottom w:val="single" w:sz="12" w:space="0" w:color="auto"/>
            </w:tcBorders>
          </w:tcPr>
          <w:p w:rsidR="00AE44E9" w:rsidRPr="00914DA2" w:rsidRDefault="00AE44E9" w:rsidP="00510DF7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</w:tcPr>
          <w:p w:rsidR="00AE44E9" w:rsidRPr="00914DA2" w:rsidRDefault="00AE44E9" w:rsidP="00510DF7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14DA2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</w:tcPr>
          <w:p w:rsidR="00AE44E9" w:rsidRPr="00914DA2" w:rsidRDefault="00AE44E9" w:rsidP="00510DF7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14DA2">
              <w:rPr>
                <w:i/>
                <w:sz w:val="16"/>
                <w:szCs w:val="16"/>
              </w:rPr>
              <w:t>kPa</w:t>
            </w:r>
          </w:p>
        </w:tc>
      </w:tr>
      <w:tr w:rsidR="00AE44E9" w:rsidRPr="00380557" w:rsidTr="00510DF7">
        <w:tc>
          <w:tcPr>
            <w:tcW w:w="27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879" w:type="dxa"/>
            <w:tcBorders>
              <w:top w:val="single" w:sz="12" w:space="0" w:color="auto"/>
            </w:tcBorders>
          </w:tcPr>
          <w:p w:rsidR="00AE44E9" w:rsidRPr="00775D5F" w:rsidRDefault="00AE44E9" w:rsidP="00510DF7">
            <w:pPr>
              <w:keepNext/>
              <w:keepLines/>
              <w:spacing w:before="40" w:after="40" w:line="220" w:lineRule="exact"/>
              <w:ind w:left="57" w:right="57"/>
              <w:rPr>
                <w:sz w:val="18"/>
                <w:szCs w:val="18"/>
                <w:lang w:val="en-US"/>
              </w:rPr>
            </w:pPr>
            <w:r w:rsidRPr="00775D5F">
              <w:rPr>
                <w:sz w:val="18"/>
                <w:szCs w:val="18"/>
                <w:lang w:val="en-US"/>
              </w:rPr>
              <w:t>F, G, J, K, L, M, N, P, Q, R,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75D5F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80557">
              <w:rPr>
                <w:sz w:val="18"/>
                <w:szCs w:val="18"/>
              </w:rPr>
              <w:t>25</w:t>
            </w:r>
          </w:p>
        </w:tc>
        <w:tc>
          <w:tcPr>
            <w:tcW w:w="834" w:type="dxa"/>
            <w:tcBorders>
              <w:top w:val="single" w:sz="12" w:space="0" w:color="auto"/>
            </w:tcBorders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225</w:t>
            </w:r>
          </w:p>
        </w:tc>
      </w:tr>
      <w:tr w:rsidR="00AE44E9" w:rsidRPr="00380557" w:rsidTr="00510DF7">
        <w:tc>
          <w:tcPr>
            <w:tcW w:w="2774" w:type="dxa"/>
            <w:gridSpan w:val="2"/>
            <w:vMerge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rPr>
                <w:rFonts w:ascii="Courier" w:hAnsi="Courier" w:cs="Courier"/>
                <w:sz w:val="18"/>
                <w:szCs w:val="18"/>
              </w:rPr>
            </w:pPr>
          </w:p>
        </w:tc>
        <w:tc>
          <w:tcPr>
            <w:tcW w:w="2879" w:type="dxa"/>
          </w:tcPr>
          <w:p w:rsidR="00AE44E9" w:rsidRPr="00380557" w:rsidRDefault="00AE44E9" w:rsidP="00510DF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T, U, H, V, W</w:t>
            </w:r>
          </w:p>
        </w:tc>
        <w:tc>
          <w:tcPr>
            <w:tcW w:w="884" w:type="dxa"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80</w:t>
            </w:r>
          </w:p>
        </w:tc>
        <w:tc>
          <w:tcPr>
            <w:tcW w:w="834" w:type="dxa"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280</w:t>
            </w:r>
          </w:p>
        </w:tc>
      </w:tr>
      <w:tr w:rsidR="00AE44E9" w:rsidRPr="00380557" w:rsidTr="00510DF7">
        <w:tc>
          <w:tcPr>
            <w:tcW w:w="2774" w:type="dxa"/>
            <w:gridSpan w:val="2"/>
            <w:vMerge w:val="restart"/>
            <w:vAlign w:val="center"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Renforcé</w:t>
            </w:r>
          </w:p>
        </w:tc>
        <w:tc>
          <w:tcPr>
            <w:tcW w:w="2879" w:type="dxa"/>
          </w:tcPr>
          <w:p w:rsidR="00AE44E9" w:rsidRPr="00380557" w:rsidRDefault="001C1426" w:rsidP="00510DF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à</w:t>
            </w:r>
            <w:r w:rsidR="00AE44E9" w:rsidRPr="00380557">
              <w:rPr>
                <w:sz w:val="18"/>
                <w:szCs w:val="18"/>
              </w:rPr>
              <w:t xml:space="preserve"> P</w:t>
            </w:r>
          </w:p>
        </w:tc>
        <w:tc>
          <w:tcPr>
            <w:tcW w:w="884" w:type="dxa"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80</w:t>
            </w:r>
          </w:p>
        </w:tc>
        <w:tc>
          <w:tcPr>
            <w:tcW w:w="834" w:type="dxa"/>
          </w:tcPr>
          <w:p w:rsidR="00AE44E9" w:rsidRPr="00380557" w:rsidRDefault="00AE44E9" w:rsidP="00510DF7">
            <w:pPr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280</w:t>
            </w:r>
          </w:p>
        </w:tc>
      </w:tr>
      <w:tr w:rsidR="00AE44E9" w:rsidRPr="00380557" w:rsidTr="00510DF7">
        <w:tc>
          <w:tcPr>
            <w:tcW w:w="2774" w:type="dxa"/>
            <w:gridSpan w:val="2"/>
            <w:vMerge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Q, R, S, T, U, H, V, W</w:t>
            </w:r>
          </w:p>
        </w:tc>
        <w:tc>
          <w:tcPr>
            <w:tcW w:w="884" w:type="dxa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30</w:t>
            </w:r>
          </w:p>
        </w:tc>
        <w:tc>
          <w:tcPr>
            <w:tcW w:w="834" w:type="dxa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330</w:t>
            </w:r>
          </w:p>
        </w:tc>
      </w:tr>
      <w:tr w:rsidR="00AE44E9" w:rsidRPr="00380557" w:rsidTr="00510DF7">
        <w:trPr>
          <w:trHeight w:val="144"/>
        </w:trPr>
        <w:tc>
          <w:tcPr>
            <w:tcW w:w="1645" w:type="dxa"/>
            <w:vMerge w:val="restart"/>
            <w:vAlign w:val="center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Dérivés de Motocycles</w:t>
            </w:r>
            <w:r w:rsidRPr="00C06C59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9" w:type="dxa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4PR</w:t>
            </w:r>
          </w:p>
        </w:tc>
        <w:tc>
          <w:tcPr>
            <w:tcW w:w="2879" w:type="dxa"/>
            <w:vMerge w:val="restart"/>
            <w:vAlign w:val="center"/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à</w:t>
            </w:r>
            <w:r w:rsidRPr="00380557">
              <w:rPr>
                <w:sz w:val="18"/>
                <w:szCs w:val="18"/>
              </w:rPr>
              <w:t xml:space="preserve"> M</w:t>
            </w:r>
          </w:p>
        </w:tc>
        <w:tc>
          <w:tcPr>
            <w:tcW w:w="884" w:type="dxa"/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34" w:type="dxa"/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350</w:t>
            </w:r>
          </w:p>
        </w:tc>
      </w:tr>
      <w:tr w:rsidR="00AE44E9" w:rsidRPr="00380557" w:rsidTr="00510DF7">
        <w:trPr>
          <w:trHeight w:val="143"/>
        </w:trPr>
        <w:tc>
          <w:tcPr>
            <w:tcW w:w="1645" w:type="dxa"/>
            <w:vMerge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6PR</w:t>
            </w:r>
          </w:p>
        </w:tc>
        <w:tc>
          <w:tcPr>
            <w:tcW w:w="2879" w:type="dxa"/>
            <w:vMerge/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380557">
              <w:rPr>
                <w:sz w:val="18"/>
                <w:szCs w:val="18"/>
              </w:rPr>
              <w:t>00</w:t>
            </w:r>
          </w:p>
        </w:tc>
        <w:tc>
          <w:tcPr>
            <w:tcW w:w="834" w:type="dxa"/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400</w:t>
            </w:r>
          </w:p>
        </w:tc>
      </w:tr>
      <w:tr w:rsidR="00AE44E9" w:rsidRPr="00380557" w:rsidTr="00510DF7">
        <w:trPr>
          <w:trHeight w:val="143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8PR</w:t>
            </w:r>
          </w:p>
        </w:tc>
        <w:tc>
          <w:tcPr>
            <w:tcW w:w="2879" w:type="dxa"/>
            <w:vMerge/>
            <w:tcBorders>
              <w:bottom w:val="single" w:sz="4" w:space="0" w:color="auto"/>
            </w:tcBorders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450</w:t>
            </w:r>
          </w:p>
        </w:tc>
      </w:tr>
      <w:tr w:rsidR="00AE44E9" w:rsidRPr="00380557" w:rsidTr="00510DF7">
        <w:trPr>
          <w:trHeight w:val="202"/>
        </w:trPr>
        <w:tc>
          <w:tcPr>
            <w:tcW w:w="1645" w:type="dxa"/>
            <w:vMerge w:val="restart"/>
            <w:tcBorders>
              <w:right w:val="single" w:sz="4" w:space="0" w:color="auto"/>
            </w:tcBorders>
            <w:vAlign w:val="center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Cyclomoteur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Standard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B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225</w:t>
            </w:r>
          </w:p>
        </w:tc>
      </w:tr>
      <w:tr w:rsidR="00AE44E9" w:rsidRPr="00380557" w:rsidTr="00510DF7">
        <w:trPr>
          <w:trHeight w:val="201"/>
        </w:trPr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nforcé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80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280</w:t>
            </w:r>
          </w:p>
        </w:tc>
      </w:tr>
      <w:tr w:rsidR="00AE44E9" w:rsidRPr="00380557" w:rsidTr="00510DF7">
        <w:trPr>
          <w:trHeight w:val="143"/>
        </w:trPr>
        <w:tc>
          <w:tcPr>
            <w:tcW w:w="1645" w:type="dxa"/>
            <w:vMerge w:val="restart"/>
            <w:tcBorders>
              <w:right w:val="single" w:sz="4" w:space="0" w:color="auto"/>
            </w:tcBorders>
            <w:vAlign w:val="center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Tout terrain (AT)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rFonts w:ascii="Wingdings" w:hAnsi="Wingdings"/>
                <w:sz w:val="18"/>
                <w:szCs w:val="18"/>
              </w:rPr>
            </w:pPr>
            <w:r w:rsidRPr="00380557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E44E9" w:rsidRPr="00380557" w:rsidRDefault="00AE44E9" w:rsidP="00510DF7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tous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80557">
              <w:rPr>
                <w:sz w:val="18"/>
                <w:szCs w:val="18"/>
              </w:rPr>
              <w:t>25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25</w:t>
            </w:r>
          </w:p>
        </w:tc>
      </w:tr>
      <w:tr w:rsidR="00AE44E9" w:rsidRPr="00380557" w:rsidTr="00510DF7">
        <w:trPr>
          <w:trHeight w:val="143"/>
        </w:trPr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rFonts w:ascii="Wingdings" w:hAnsi="Wingdings"/>
                <w:sz w:val="18"/>
                <w:szCs w:val="18"/>
              </w:rPr>
            </w:pPr>
            <w:r w:rsidRPr="00380557">
              <w:rPr>
                <w:rFonts w:ascii="Wingdings" w:hAnsi="Wingdings"/>
                <w:sz w:val="18"/>
                <w:szCs w:val="18"/>
              </w:rPr>
              <w:t></w:t>
            </w:r>
            <w:r w:rsidRPr="00380557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E9" w:rsidRDefault="00AE44E9" w:rsidP="00510DF7">
            <w:pPr>
              <w:ind w:left="57" w:right="57"/>
              <w:jc w:val="center"/>
            </w:pPr>
            <w:r w:rsidRPr="00E14744">
              <w:rPr>
                <w:sz w:val="18"/>
                <w:szCs w:val="18"/>
              </w:rPr>
              <w:t>tous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80557">
              <w:rPr>
                <w:sz w:val="18"/>
                <w:szCs w:val="18"/>
              </w:rPr>
              <w:t>35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35</w:t>
            </w:r>
          </w:p>
        </w:tc>
      </w:tr>
      <w:tr w:rsidR="00AE44E9" w:rsidRPr="00380557" w:rsidTr="00510DF7">
        <w:trPr>
          <w:trHeight w:val="143"/>
        </w:trPr>
        <w:tc>
          <w:tcPr>
            <w:tcW w:w="164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rFonts w:ascii="Wingdings" w:hAnsi="Wingdings"/>
                <w:sz w:val="18"/>
                <w:szCs w:val="18"/>
              </w:rPr>
            </w:pPr>
            <w:r w:rsidRPr="00380557">
              <w:rPr>
                <w:rFonts w:ascii="Wingdings" w:hAnsi="Wingdings"/>
                <w:sz w:val="18"/>
                <w:szCs w:val="18"/>
              </w:rPr>
              <w:t></w:t>
            </w:r>
            <w:r w:rsidRPr="00380557">
              <w:rPr>
                <w:rFonts w:ascii="Wingdings" w:hAnsi="Wingdings"/>
                <w:sz w:val="18"/>
                <w:szCs w:val="18"/>
              </w:rPr>
              <w:t></w:t>
            </w:r>
            <w:r w:rsidRPr="00380557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4E9" w:rsidRDefault="00AE44E9" w:rsidP="00510DF7">
            <w:pPr>
              <w:ind w:left="57" w:right="57"/>
              <w:jc w:val="center"/>
            </w:pPr>
            <w:r w:rsidRPr="00E14744">
              <w:rPr>
                <w:sz w:val="18"/>
                <w:szCs w:val="18"/>
              </w:rPr>
              <w:t>tous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80557">
              <w:rPr>
                <w:sz w:val="18"/>
                <w:szCs w:val="18"/>
              </w:rPr>
              <w:t>45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E44E9" w:rsidRPr="00380557" w:rsidRDefault="00AE44E9" w:rsidP="00510DF7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45</w:t>
            </w:r>
          </w:p>
        </w:tc>
      </w:tr>
    </w:tbl>
    <w:p w:rsidR="00AE44E9" w:rsidRPr="000045EE" w:rsidRDefault="00AE44E9" w:rsidP="00AE44E9">
      <w:pPr>
        <w:pStyle w:val="SingleTxtG"/>
        <w:jc w:val="right"/>
      </w:pPr>
      <w:r w:rsidRPr="000045EE">
        <w:t> ».</w:t>
      </w:r>
    </w:p>
    <w:p w:rsidR="00AE44E9" w:rsidRPr="000045EE" w:rsidRDefault="00AE44E9" w:rsidP="00AE44E9">
      <w:pPr>
        <w:pStyle w:val="SingleTxtG"/>
        <w:keepNext/>
        <w:keepLines/>
        <w:ind w:left="2268" w:hanging="1134"/>
        <w:rPr>
          <w:rFonts w:eastAsia="HGMaruGothicMPRO"/>
        </w:rPr>
      </w:pPr>
      <w:r>
        <w:rPr>
          <w:rFonts w:eastAsia="HGMaruGothicMPRO"/>
          <w:i/>
        </w:rPr>
        <w:br w:type="page"/>
      </w:r>
      <w:r w:rsidRPr="000045EE">
        <w:rPr>
          <w:rFonts w:eastAsia="HGMaruGothicMPRO"/>
          <w:i/>
        </w:rPr>
        <w:lastRenderedPageBreak/>
        <w:t>Annexe 7, paragraphe 1.2</w:t>
      </w:r>
      <w:r w:rsidRPr="000045EE">
        <w:rPr>
          <w:rFonts w:eastAsia="HGMaruGothicMPRO"/>
        </w:rPr>
        <w:t>, 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  <w:keepNext/>
        <w:keepLines/>
      </w:pPr>
      <w:r w:rsidRPr="000045EE">
        <w:t>« 1.2</w:t>
      </w:r>
      <w:r w:rsidRPr="000045EE">
        <w:tab/>
        <w:t>Il doit être gonflé à la pression appropriée, conformément au tableau ci</w:t>
      </w:r>
      <w:r w:rsidRPr="000045EE">
        <w:noBreakHyphen/>
        <w:t>dessous</w:t>
      </w:r>
      <w:r>
        <w:t> :</w:t>
      </w:r>
    </w:p>
    <w:p w:rsidR="00AE44E9" w:rsidRDefault="00AE44E9" w:rsidP="00AE44E9">
      <w:pPr>
        <w:pStyle w:val="Heading1"/>
        <w:spacing w:after="120"/>
        <w:rPr>
          <w:rFonts w:eastAsia="HGMaruGothicMPRO"/>
        </w:rPr>
      </w:pPr>
      <w:r w:rsidRPr="000045EE">
        <w:t xml:space="preserve">Pression de gonflage </w:t>
      </w:r>
      <w:r w:rsidRPr="000045EE">
        <w:rPr>
          <w:rFonts w:eastAsia="HGMaruGothicMPRO"/>
        </w:rPr>
        <w:t>d’essai</w:t>
      </w:r>
    </w:p>
    <w:tbl>
      <w:tblPr>
        <w:tblStyle w:val="TableGrid"/>
        <w:tblW w:w="7371" w:type="dxa"/>
        <w:tblInd w:w="1134" w:type="dxa"/>
        <w:tblLook w:val="01E0" w:firstRow="1" w:lastRow="1" w:firstColumn="1" w:lastColumn="1" w:noHBand="0" w:noVBand="0"/>
      </w:tblPr>
      <w:tblGrid>
        <w:gridCol w:w="1668"/>
        <w:gridCol w:w="1134"/>
        <w:gridCol w:w="2835"/>
        <w:gridCol w:w="850"/>
        <w:gridCol w:w="884"/>
      </w:tblGrid>
      <w:tr w:rsidR="00AE44E9" w:rsidRPr="00914DA2" w:rsidTr="00510DF7">
        <w:trPr>
          <w:tblHeader/>
        </w:trPr>
        <w:tc>
          <w:tcPr>
            <w:tcW w:w="2802" w:type="dxa"/>
            <w:gridSpan w:val="2"/>
            <w:vMerge w:val="restart"/>
            <w:vAlign w:val="bottom"/>
          </w:tcPr>
          <w:p w:rsidR="00AE44E9" w:rsidRPr="00914DA2" w:rsidRDefault="00AE44E9" w:rsidP="00D533C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Version du pneumatique</w:t>
            </w:r>
          </w:p>
        </w:tc>
        <w:tc>
          <w:tcPr>
            <w:tcW w:w="2835" w:type="dxa"/>
            <w:vMerge w:val="restart"/>
            <w:vAlign w:val="bottom"/>
          </w:tcPr>
          <w:p w:rsidR="00AE44E9" w:rsidRPr="00914DA2" w:rsidRDefault="00AE44E9" w:rsidP="00D533CA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Symbole de catégorie de vitesse</w:t>
            </w:r>
          </w:p>
        </w:tc>
        <w:tc>
          <w:tcPr>
            <w:tcW w:w="1734" w:type="dxa"/>
            <w:gridSpan w:val="2"/>
          </w:tcPr>
          <w:p w:rsidR="00AE44E9" w:rsidRPr="00914DA2" w:rsidRDefault="00AE44E9" w:rsidP="00D533C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0045EE">
              <w:rPr>
                <w:i/>
                <w:sz w:val="16"/>
                <w:szCs w:val="16"/>
              </w:rPr>
              <w:t>Pression de gonflage</w:t>
            </w:r>
          </w:p>
        </w:tc>
      </w:tr>
      <w:tr w:rsidR="00AE44E9" w:rsidRPr="00914DA2" w:rsidTr="00510DF7">
        <w:trPr>
          <w:tblHeader/>
        </w:trPr>
        <w:tc>
          <w:tcPr>
            <w:tcW w:w="2802" w:type="dxa"/>
            <w:gridSpan w:val="2"/>
            <w:vMerge/>
            <w:tcBorders>
              <w:bottom w:val="single" w:sz="12" w:space="0" w:color="auto"/>
            </w:tcBorders>
          </w:tcPr>
          <w:p w:rsidR="00AE44E9" w:rsidRPr="00914DA2" w:rsidRDefault="00AE44E9" w:rsidP="00D533CA">
            <w:pPr>
              <w:spacing w:before="80" w:after="80" w:line="200" w:lineRule="exact"/>
              <w:ind w:left="57" w:right="57"/>
              <w:jc w:val="center"/>
              <w:rPr>
                <w:i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AE44E9" w:rsidRPr="00914DA2" w:rsidRDefault="00AE44E9" w:rsidP="00D533CA">
            <w:pPr>
              <w:spacing w:before="80" w:after="80" w:line="200" w:lineRule="exact"/>
              <w:ind w:left="57" w:right="57"/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AE44E9" w:rsidRPr="00914DA2" w:rsidRDefault="00AE44E9" w:rsidP="00D533C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14DA2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884" w:type="dxa"/>
            <w:tcBorders>
              <w:bottom w:val="single" w:sz="12" w:space="0" w:color="auto"/>
            </w:tcBorders>
            <w:vAlign w:val="bottom"/>
          </w:tcPr>
          <w:p w:rsidR="00AE44E9" w:rsidRPr="00914DA2" w:rsidRDefault="00AE44E9" w:rsidP="00D533C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14DA2">
              <w:rPr>
                <w:i/>
                <w:sz w:val="16"/>
                <w:szCs w:val="16"/>
              </w:rPr>
              <w:t>kPa</w:t>
            </w:r>
          </w:p>
        </w:tc>
      </w:tr>
      <w:tr w:rsidR="00AE44E9" w:rsidRPr="00914DA2" w:rsidTr="00510DF7">
        <w:tc>
          <w:tcPr>
            <w:tcW w:w="2802" w:type="dxa"/>
            <w:gridSpan w:val="2"/>
            <w:vMerge w:val="restart"/>
            <w:tcBorders>
              <w:top w:val="single" w:sz="12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Standard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b/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F, G, J, K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250</w:t>
            </w:r>
          </w:p>
        </w:tc>
      </w:tr>
      <w:tr w:rsidR="00AE44E9" w:rsidRPr="00914DA2" w:rsidTr="00510DF7">
        <w:tc>
          <w:tcPr>
            <w:tcW w:w="2802" w:type="dxa"/>
            <w:gridSpan w:val="2"/>
            <w:vMerge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L, M, N, P</w:t>
            </w:r>
          </w:p>
        </w:tc>
        <w:tc>
          <w:tcPr>
            <w:tcW w:w="850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250</w:t>
            </w:r>
          </w:p>
        </w:tc>
      </w:tr>
      <w:tr w:rsidR="00AE44E9" w:rsidRPr="00914DA2" w:rsidTr="00510DF7">
        <w:tc>
          <w:tcPr>
            <w:tcW w:w="2802" w:type="dxa"/>
            <w:gridSpan w:val="2"/>
            <w:vMerge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Q, R, S</w:t>
            </w:r>
          </w:p>
        </w:tc>
        <w:tc>
          <w:tcPr>
            <w:tcW w:w="850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00</w:t>
            </w:r>
          </w:p>
        </w:tc>
        <w:tc>
          <w:tcPr>
            <w:tcW w:w="884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300</w:t>
            </w:r>
          </w:p>
        </w:tc>
      </w:tr>
      <w:tr w:rsidR="00AE44E9" w:rsidRPr="00914DA2" w:rsidTr="00510DF7">
        <w:tc>
          <w:tcPr>
            <w:tcW w:w="2802" w:type="dxa"/>
            <w:gridSpan w:val="2"/>
            <w:vMerge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T, U, H, V</w:t>
            </w:r>
          </w:p>
        </w:tc>
        <w:tc>
          <w:tcPr>
            <w:tcW w:w="850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350</w:t>
            </w:r>
          </w:p>
        </w:tc>
      </w:tr>
      <w:tr w:rsidR="00AE44E9" w:rsidRPr="00914DA2" w:rsidTr="00510DF7">
        <w:tc>
          <w:tcPr>
            <w:tcW w:w="2802" w:type="dxa"/>
            <w:gridSpan w:val="2"/>
            <w:vMerge w:val="restart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nforcé</w:t>
            </w:r>
          </w:p>
        </w:tc>
        <w:tc>
          <w:tcPr>
            <w:tcW w:w="2835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b/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F, G, J, K, L, M, N, P</w:t>
            </w:r>
          </w:p>
        </w:tc>
        <w:tc>
          <w:tcPr>
            <w:tcW w:w="850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30</w:t>
            </w:r>
          </w:p>
        </w:tc>
        <w:tc>
          <w:tcPr>
            <w:tcW w:w="884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330</w:t>
            </w:r>
          </w:p>
        </w:tc>
      </w:tr>
      <w:tr w:rsidR="00AE44E9" w:rsidRPr="00914DA2" w:rsidTr="00510DF7">
        <w:tc>
          <w:tcPr>
            <w:tcW w:w="2802" w:type="dxa"/>
            <w:gridSpan w:val="2"/>
            <w:vMerge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Q, R, S, T, U, H, V</w:t>
            </w:r>
          </w:p>
        </w:tc>
        <w:tc>
          <w:tcPr>
            <w:tcW w:w="850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90</w:t>
            </w:r>
          </w:p>
        </w:tc>
        <w:tc>
          <w:tcPr>
            <w:tcW w:w="884" w:type="dxa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390</w:t>
            </w:r>
          </w:p>
        </w:tc>
      </w:tr>
      <w:tr w:rsidR="00AE44E9" w:rsidRPr="00914DA2" w:rsidTr="00510DF7">
        <w:trPr>
          <w:trHeight w:val="123"/>
        </w:trPr>
        <w:tc>
          <w:tcPr>
            <w:tcW w:w="1668" w:type="dxa"/>
            <w:vMerge w:val="restart"/>
            <w:vAlign w:val="center"/>
          </w:tcPr>
          <w:p w:rsidR="00AE44E9" w:rsidRPr="00380557" w:rsidRDefault="00AE44E9" w:rsidP="00D533CA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Dérivés de Motocycles</w:t>
            </w:r>
            <w:r w:rsidRPr="00C06C59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4PR</w:t>
            </w:r>
          </w:p>
        </w:tc>
        <w:tc>
          <w:tcPr>
            <w:tcW w:w="2835" w:type="dxa"/>
            <w:vMerge w:val="restart"/>
            <w:vAlign w:val="center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F, G, J, K, L, 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70</w:t>
            </w:r>
          </w:p>
        </w:tc>
        <w:tc>
          <w:tcPr>
            <w:tcW w:w="884" w:type="dxa"/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370</w:t>
            </w:r>
          </w:p>
        </w:tc>
      </w:tr>
      <w:tr w:rsidR="00AE44E9" w:rsidRPr="00914DA2" w:rsidTr="00510DF7">
        <w:trPr>
          <w:trHeight w:val="123"/>
        </w:trPr>
        <w:tc>
          <w:tcPr>
            <w:tcW w:w="1668" w:type="dxa"/>
            <w:vMerge/>
          </w:tcPr>
          <w:p w:rsidR="00AE44E9" w:rsidRPr="00380557" w:rsidRDefault="00AE44E9" w:rsidP="00D533CA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6PR</w:t>
            </w:r>
          </w:p>
        </w:tc>
        <w:tc>
          <w:tcPr>
            <w:tcW w:w="2835" w:type="dxa"/>
            <w:vMerge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450</w:t>
            </w:r>
          </w:p>
        </w:tc>
      </w:tr>
      <w:tr w:rsidR="00AE44E9" w:rsidRPr="00914DA2" w:rsidTr="00510DF7">
        <w:trPr>
          <w:trHeight w:val="123"/>
        </w:trPr>
        <w:tc>
          <w:tcPr>
            <w:tcW w:w="1668" w:type="dxa"/>
            <w:vMerge/>
          </w:tcPr>
          <w:p w:rsidR="00AE44E9" w:rsidRPr="00380557" w:rsidRDefault="00AE44E9" w:rsidP="00D533CA">
            <w:pPr>
              <w:tabs>
                <w:tab w:val="left" w:pos="960"/>
                <w:tab w:val="left" w:pos="1200"/>
                <w:tab w:val="left" w:pos="1800"/>
                <w:tab w:val="left" w:pos="2400"/>
                <w:tab w:val="left" w:pos="4200"/>
                <w:tab w:val="left" w:pos="6480"/>
                <w:tab w:val="left" w:pos="9480"/>
              </w:tabs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8PR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380557">
              <w:rPr>
                <w:sz w:val="18"/>
                <w:szCs w:val="18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520</w:t>
            </w:r>
          </w:p>
        </w:tc>
      </w:tr>
      <w:tr w:rsidR="00AE44E9" w:rsidRPr="00914DA2" w:rsidTr="00510DF7">
        <w:trPr>
          <w:trHeight w:val="121"/>
        </w:trPr>
        <w:tc>
          <w:tcPr>
            <w:tcW w:w="1668" w:type="dxa"/>
            <w:vMerge w:val="restart"/>
            <w:vAlign w:val="center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C06C59">
              <w:rPr>
                <w:sz w:val="18"/>
                <w:szCs w:val="18"/>
              </w:rPr>
              <w:t>Cyclomoteur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Standard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380557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250</w:t>
            </w:r>
          </w:p>
        </w:tc>
      </w:tr>
      <w:tr w:rsidR="00AE44E9" w:rsidRPr="00914DA2" w:rsidTr="00510DF7">
        <w:trPr>
          <w:trHeight w:val="12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nforcé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380557">
              <w:rPr>
                <w:sz w:val="18"/>
                <w:szCs w:val="18"/>
              </w:rPr>
              <w:t>00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pStyle w:val="SingleTxtG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300</w:t>
            </w:r>
          </w:p>
        </w:tc>
      </w:tr>
      <w:tr w:rsidR="00AE44E9" w:rsidRPr="00914DA2" w:rsidTr="00510DF7">
        <w:trPr>
          <w:trHeight w:val="121"/>
        </w:trPr>
        <w:tc>
          <w:tcPr>
            <w:tcW w:w="1668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E44E9" w:rsidRPr="00914DA2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terrain</w:t>
            </w:r>
            <w:r w:rsidRPr="00914DA2">
              <w:rPr>
                <w:sz w:val="18"/>
                <w:szCs w:val="18"/>
              </w:rPr>
              <w:t xml:space="preserve"> (AT)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4E9" w:rsidRDefault="00AE44E9" w:rsidP="00D533CA">
            <w:pPr>
              <w:spacing w:before="40" w:after="40" w:line="220" w:lineRule="exact"/>
              <w:ind w:left="57" w:right="57"/>
              <w:jc w:val="center"/>
            </w:pPr>
            <w:r w:rsidRPr="00914DA2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80557">
              <w:rPr>
                <w:sz w:val="18"/>
                <w:szCs w:val="18"/>
              </w:rPr>
              <w:t>25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25</w:t>
            </w:r>
          </w:p>
        </w:tc>
      </w:tr>
      <w:tr w:rsidR="00AE44E9" w:rsidRPr="00914DA2" w:rsidTr="00510DF7">
        <w:trPr>
          <w:trHeight w:val="121"/>
        </w:trPr>
        <w:tc>
          <w:tcPr>
            <w:tcW w:w="166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4E9" w:rsidRPr="00914DA2" w:rsidRDefault="00AE44E9" w:rsidP="00D533CA">
            <w:pPr>
              <w:spacing w:before="40" w:after="40" w:line="220" w:lineRule="exact"/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4E9" w:rsidRDefault="00AE44E9" w:rsidP="00D533CA">
            <w:pPr>
              <w:spacing w:before="40" w:after="40" w:line="220" w:lineRule="exact"/>
              <w:ind w:left="57" w:right="57"/>
              <w:jc w:val="center"/>
            </w:pPr>
            <w:r w:rsidRPr="00914DA2">
              <w:rPr>
                <w:rFonts w:ascii="Wingdings" w:hAnsi="Wingdings"/>
                <w:szCs w:val="18"/>
              </w:rPr>
              <w:t></w:t>
            </w:r>
            <w:r w:rsidRPr="00914DA2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80557">
              <w:rPr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35</w:t>
            </w:r>
          </w:p>
        </w:tc>
      </w:tr>
      <w:tr w:rsidR="00AE44E9" w:rsidRPr="00914DA2" w:rsidTr="00510DF7">
        <w:trPr>
          <w:trHeight w:val="121"/>
        </w:trPr>
        <w:tc>
          <w:tcPr>
            <w:tcW w:w="166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E9" w:rsidRPr="00914DA2" w:rsidRDefault="00AE44E9" w:rsidP="00D533CA">
            <w:pPr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4E9" w:rsidRPr="00914DA2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rFonts w:ascii="Wingdings" w:hAnsi="Wingdings"/>
                <w:szCs w:val="18"/>
              </w:rPr>
            </w:pPr>
            <w:r w:rsidRPr="00914DA2">
              <w:rPr>
                <w:rFonts w:ascii="Wingdings" w:hAnsi="Wingdings"/>
                <w:szCs w:val="18"/>
              </w:rPr>
              <w:t></w:t>
            </w:r>
            <w:r w:rsidRPr="00914DA2">
              <w:rPr>
                <w:rFonts w:ascii="Wingdings" w:hAnsi="Wingdings"/>
                <w:szCs w:val="18"/>
              </w:rPr>
              <w:t></w:t>
            </w:r>
            <w:r w:rsidRPr="00914DA2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tabs>
                <w:tab w:val="left" w:pos="-1440"/>
                <w:tab w:val="left" w:pos="-720"/>
                <w:tab w:val="left" w:pos="0"/>
                <w:tab w:val="left" w:pos="303"/>
                <w:tab w:val="left" w:pos="840"/>
                <w:tab w:val="left" w:pos="1440"/>
              </w:tabs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380557">
              <w:rPr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4E9" w:rsidRPr="00380557" w:rsidRDefault="00AE44E9" w:rsidP="00D533C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380557">
              <w:rPr>
                <w:sz w:val="18"/>
                <w:szCs w:val="18"/>
              </w:rPr>
              <w:t>45</w:t>
            </w:r>
          </w:p>
        </w:tc>
      </w:tr>
      <w:tr w:rsidR="00AE44E9" w:rsidRPr="005A25D1" w:rsidTr="00510DF7">
        <w:trPr>
          <w:trHeight w:val="121"/>
        </w:trPr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4E9" w:rsidRPr="005A25D1" w:rsidRDefault="00AE44E9" w:rsidP="00D533CA">
            <w:pPr>
              <w:tabs>
                <w:tab w:val="left" w:pos="136"/>
              </w:tabs>
              <w:spacing w:before="120" w:after="40" w:line="220" w:lineRule="exact"/>
              <w:ind w:left="57" w:right="57" w:firstLine="170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  <w:vertAlign w:val="superscript"/>
              </w:rPr>
              <w:t>1</w:t>
            </w:r>
            <w:r w:rsidRPr="005A25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B235D">
              <w:rPr>
                <w:sz w:val="18"/>
                <w:szCs w:val="18"/>
              </w:rPr>
              <w:t xml:space="preserve">À compter de la date d’entrée en vigueur du complément 8 au présent Règlement, aucune nouvelle homologation ne doit être délivrée à ces pneumatiques en application du Règlement </w:t>
            </w:r>
            <w:r w:rsidRPr="00D24670">
              <w:rPr>
                <w:rFonts w:eastAsia="MS Mincho"/>
                <w:sz w:val="18"/>
                <w:szCs w:val="18"/>
              </w:rPr>
              <w:t>n</w:t>
            </w:r>
            <w:r w:rsidRPr="00D24670">
              <w:rPr>
                <w:rFonts w:eastAsia="MS Mincho"/>
                <w:sz w:val="18"/>
                <w:szCs w:val="18"/>
                <w:vertAlign w:val="superscript"/>
              </w:rPr>
              <w:t>o</w:t>
            </w:r>
            <w:r>
              <w:rPr>
                <w:rFonts w:eastAsia="MS Mincho"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75. Ces </w:t>
            </w:r>
            <w:r w:rsidRPr="000B235D">
              <w:rPr>
                <w:sz w:val="18"/>
                <w:szCs w:val="18"/>
              </w:rPr>
              <w:t xml:space="preserve">dimensions de pneumatique relèvent désormais du Règlement </w:t>
            </w:r>
            <w:r w:rsidRPr="00D24670">
              <w:rPr>
                <w:rFonts w:eastAsia="MS Mincho"/>
                <w:sz w:val="18"/>
                <w:szCs w:val="18"/>
              </w:rPr>
              <w:t>n</w:t>
            </w:r>
            <w:r w:rsidRPr="00D24670">
              <w:rPr>
                <w:rFonts w:eastAsia="MS Mincho"/>
                <w:sz w:val="18"/>
                <w:szCs w:val="18"/>
                <w:vertAlign w:val="superscript"/>
              </w:rPr>
              <w:t>o</w:t>
            </w:r>
            <w:r>
              <w:rPr>
                <w:rFonts w:eastAsia="MS Mincho"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106</w:t>
            </w:r>
            <w:r w:rsidRPr="000B235D">
              <w:rPr>
                <w:sz w:val="18"/>
                <w:szCs w:val="18"/>
              </w:rPr>
              <w:t>.</w:t>
            </w:r>
          </w:p>
        </w:tc>
      </w:tr>
    </w:tbl>
    <w:p w:rsidR="00AE44E9" w:rsidRDefault="00AE44E9" w:rsidP="00AE44E9">
      <w:pPr>
        <w:pStyle w:val="SingleTxtG"/>
        <w:spacing w:before="240"/>
      </w:pPr>
      <w:r w:rsidRPr="000045EE">
        <w:t xml:space="preserve">Pour les vitesses </w:t>
      </w:r>
      <w:r w:rsidRPr="000045EE">
        <w:rPr>
          <w:rFonts w:eastAsia="HGMaruGothicMPRO"/>
        </w:rPr>
        <w:t>supérieures</w:t>
      </w:r>
      <w:r w:rsidRPr="000045EE">
        <w:t xml:space="preserve"> à 240 km/h, la pression d’essai doit être de 3,20 bar (320 kPa).</w:t>
      </w:r>
    </w:p>
    <w:p w:rsidR="00AE44E9" w:rsidRDefault="00AE44E9" w:rsidP="00AE44E9">
      <w:pPr>
        <w:pStyle w:val="SingleTxtG"/>
      </w:pPr>
      <w:r w:rsidRPr="000045EE">
        <w:t>Pour les autres types de pneumatiques, gonfler à la pression spécifiée par le fabricant de pneumatiques. ».</w:t>
      </w:r>
    </w:p>
    <w:p w:rsidR="00AE44E9" w:rsidRDefault="00AE44E9" w:rsidP="00AE44E9">
      <w:pPr>
        <w:pStyle w:val="SingleTxtG"/>
        <w:rPr>
          <w:rFonts w:eastAsia="HGMaruGothicMPRO"/>
          <w:iCs/>
        </w:rPr>
      </w:pPr>
      <w:r w:rsidRPr="000045EE">
        <w:rPr>
          <w:rFonts w:eastAsia="HGMaruGothicMPRO"/>
          <w:i/>
        </w:rPr>
        <w:t>Annexe 9</w:t>
      </w:r>
      <w:r w:rsidRPr="006D7DAD">
        <w:rPr>
          <w:rFonts w:eastAsia="HGMaruGothicMPRO"/>
          <w:iCs/>
        </w:rPr>
        <w:t xml:space="preserve">, </w:t>
      </w:r>
    </w:p>
    <w:p w:rsidR="00AE44E9" w:rsidRDefault="00AE44E9" w:rsidP="00AE44E9">
      <w:pPr>
        <w:pStyle w:val="SingleTxtG"/>
        <w:keepNext/>
        <w:rPr>
          <w:rFonts w:eastAsia="HGMaruGothicMPRO"/>
        </w:rPr>
      </w:pPr>
      <w:r>
        <w:rPr>
          <w:rFonts w:eastAsia="HGMaruGothicMPRO"/>
          <w:i/>
        </w:rPr>
        <w:t>P</w:t>
      </w:r>
      <w:r w:rsidRPr="000045EE">
        <w:rPr>
          <w:rFonts w:eastAsia="HGMaruGothicMPRO"/>
          <w:i/>
        </w:rPr>
        <w:t>aragraphe 3.4.1</w:t>
      </w:r>
      <w:r w:rsidRPr="000045EE">
        <w:rPr>
          <w:rFonts w:eastAsia="HGMaruGothicMPRO"/>
        </w:rPr>
        <w:t>,</w:t>
      </w:r>
      <w:r w:rsidRPr="000045EE">
        <w:rPr>
          <w:rFonts w:eastAsia="HGMaruGothicMPRO"/>
          <w:i/>
        </w:rPr>
        <w:t xml:space="preserve"> </w:t>
      </w:r>
      <w:r w:rsidRPr="000045EE">
        <w:rPr>
          <w:rFonts w:eastAsia="HGMaruGothicMPRO"/>
        </w:rPr>
        <w:t>lire</w:t>
      </w:r>
      <w:r>
        <w:rPr>
          <w:rFonts w:eastAsia="HGMaruGothicMPRO"/>
        </w:rPr>
        <w:t> :</w:t>
      </w:r>
    </w:p>
    <w:p w:rsidR="00AE44E9" w:rsidRPr="000045EE" w:rsidRDefault="00AE44E9" w:rsidP="00AE44E9">
      <w:pPr>
        <w:pStyle w:val="SingleTxtG"/>
      </w:pPr>
      <w:r w:rsidRPr="000045EE">
        <w:t>« 3.4.1</w:t>
      </w:r>
      <w:r w:rsidRPr="000045EE">
        <w:tab/>
      </w:r>
      <w:r>
        <w:tab/>
      </w:r>
      <w:r w:rsidRPr="000045EE">
        <w:t>Pneus routiers à structure diagonale et à structure ceinturée-croisée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2184"/>
        <w:gridCol w:w="1475"/>
        <w:gridCol w:w="1485"/>
      </w:tblGrid>
      <w:tr w:rsidR="00AE44E9" w:rsidRPr="005A25D1" w:rsidTr="00510DF7">
        <w:trPr>
          <w:tblHeader/>
        </w:trPr>
        <w:tc>
          <w:tcPr>
            <w:tcW w:w="2227" w:type="dxa"/>
            <w:vMerge w:val="restart"/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5A25D1">
              <w:rPr>
                <w:i/>
                <w:sz w:val="16"/>
              </w:rPr>
              <w:t>Symbole de catégorie de vitesse</w:t>
            </w:r>
          </w:p>
        </w:tc>
        <w:tc>
          <w:tcPr>
            <w:tcW w:w="2184" w:type="dxa"/>
            <w:vMerge w:val="restart"/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5A25D1">
              <w:rPr>
                <w:i/>
                <w:sz w:val="16"/>
              </w:rPr>
              <w:t>Version du pneumatique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5A25D1">
              <w:rPr>
                <w:i/>
                <w:sz w:val="16"/>
              </w:rPr>
              <w:t>Pression de gonflage</w:t>
            </w:r>
          </w:p>
        </w:tc>
      </w:tr>
      <w:tr w:rsidR="00AE44E9" w:rsidRPr="005A25D1" w:rsidTr="00510DF7">
        <w:trPr>
          <w:tblHeader/>
        </w:trPr>
        <w:tc>
          <w:tcPr>
            <w:tcW w:w="222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rPr>
                <w:sz w:val="18"/>
              </w:rPr>
            </w:pPr>
          </w:p>
        </w:tc>
        <w:tc>
          <w:tcPr>
            <w:tcW w:w="218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A25D1">
              <w:rPr>
                <w:i/>
                <w:sz w:val="16"/>
                <w:szCs w:val="16"/>
              </w:rPr>
              <w:t>bar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A25D1">
              <w:rPr>
                <w:i/>
                <w:sz w:val="16"/>
                <w:szCs w:val="16"/>
              </w:rPr>
              <w:t>kPa</w:t>
            </w:r>
          </w:p>
        </w:tc>
      </w:tr>
      <w:tr w:rsidR="00AE44E9" w:rsidRPr="005A25D1" w:rsidTr="00510DF7"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P/Q/R/S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Standard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2,5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250</w:t>
            </w:r>
          </w:p>
        </w:tc>
      </w:tr>
      <w:tr w:rsidR="00AE44E9" w:rsidRPr="005A25D1" w:rsidTr="00510DF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T et au-dessus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Standard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4E9" w:rsidRPr="005A25D1" w:rsidRDefault="00AE44E9" w:rsidP="00510DF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5A25D1">
              <w:rPr>
                <w:sz w:val="18"/>
                <w:szCs w:val="18"/>
              </w:rPr>
              <w:t>290</w:t>
            </w:r>
          </w:p>
        </w:tc>
      </w:tr>
    </w:tbl>
    <w:p w:rsidR="00AE44E9" w:rsidRDefault="00AE44E9" w:rsidP="00AE44E9">
      <w:pPr>
        <w:pStyle w:val="SingleTxtG"/>
        <w:jc w:val="right"/>
      </w:pPr>
      <w:r w:rsidRPr="000045EE">
        <w:t>».</w:t>
      </w:r>
    </w:p>
    <w:p w:rsidR="005F0207" w:rsidRPr="00AE44E9" w:rsidRDefault="00AE44E9" w:rsidP="00AE44E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E44E9" w:rsidSect="00BE6E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5B" w:rsidRDefault="00E0205B"/>
  </w:endnote>
  <w:endnote w:type="continuationSeparator" w:id="0">
    <w:p w:rsidR="00E0205B" w:rsidRDefault="00E0205B">
      <w:pPr>
        <w:pStyle w:val="Footer"/>
      </w:pPr>
    </w:p>
  </w:endnote>
  <w:endnote w:type="continuationNotice" w:id="1">
    <w:p w:rsidR="00E0205B" w:rsidRPr="00C451B9" w:rsidRDefault="00E0205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9E" w:rsidRPr="00BE6E9E" w:rsidRDefault="00BE6E9E" w:rsidP="00BE6E9E">
    <w:pPr>
      <w:pStyle w:val="Footer"/>
      <w:tabs>
        <w:tab w:val="right" w:pos="9638"/>
      </w:tabs>
    </w:pPr>
    <w:r w:rsidRPr="00BE6E9E">
      <w:rPr>
        <w:b/>
        <w:sz w:val="18"/>
      </w:rPr>
      <w:fldChar w:fldCharType="begin"/>
    </w:r>
    <w:r w:rsidRPr="00BE6E9E">
      <w:rPr>
        <w:b/>
        <w:sz w:val="18"/>
      </w:rPr>
      <w:instrText xml:space="preserve"> PAGE  \* MERGEFORMAT </w:instrText>
    </w:r>
    <w:r w:rsidRPr="00BE6E9E">
      <w:rPr>
        <w:b/>
        <w:sz w:val="18"/>
      </w:rPr>
      <w:fldChar w:fldCharType="separate"/>
    </w:r>
    <w:r w:rsidR="00E97EC8">
      <w:rPr>
        <w:b/>
        <w:noProof/>
        <w:sz w:val="18"/>
      </w:rPr>
      <w:t>6</w:t>
    </w:r>
    <w:r w:rsidRPr="00BE6E9E">
      <w:rPr>
        <w:b/>
        <w:sz w:val="18"/>
      </w:rPr>
      <w:fldChar w:fldCharType="end"/>
    </w:r>
    <w:r>
      <w:rPr>
        <w:b/>
        <w:sz w:val="18"/>
      </w:rPr>
      <w:tab/>
    </w:r>
    <w:r>
      <w:t>GE.17-21892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9E" w:rsidRPr="00BE6E9E" w:rsidRDefault="00BE6E9E" w:rsidP="00BE6E9E">
    <w:pPr>
      <w:pStyle w:val="Footer"/>
      <w:tabs>
        <w:tab w:val="right" w:pos="9638"/>
      </w:tabs>
      <w:rPr>
        <w:b/>
        <w:sz w:val="18"/>
      </w:rPr>
    </w:pPr>
    <w:r>
      <w:t>GE.17-21892</w:t>
    </w:r>
    <w:r>
      <w:tab/>
    </w:r>
    <w:r w:rsidRPr="00BE6E9E">
      <w:rPr>
        <w:b/>
        <w:sz w:val="18"/>
      </w:rPr>
      <w:fldChar w:fldCharType="begin"/>
    </w:r>
    <w:r w:rsidRPr="00BE6E9E">
      <w:rPr>
        <w:b/>
        <w:sz w:val="18"/>
      </w:rPr>
      <w:instrText xml:space="preserve"> PAGE  \* MERGEFORMAT </w:instrText>
    </w:r>
    <w:r w:rsidRPr="00BE6E9E">
      <w:rPr>
        <w:b/>
        <w:sz w:val="18"/>
      </w:rPr>
      <w:fldChar w:fldCharType="separate"/>
    </w:r>
    <w:r w:rsidR="00E97EC8">
      <w:rPr>
        <w:b/>
        <w:noProof/>
        <w:sz w:val="18"/>
      </w:rPr>
      <w:t>5</w:t>
    </w:r>
    <w:r w:rsidRPr="00BE6E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BE6E9E" w:rsidRDefault="00BE6E9E" w:rsidP="00BE6E9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17-21892  (F)</w:t>
    </w:r>
    <w:r w:rsidR="00FF1376">
      <w:rPr>
        <w:sz w:val="20"/>
      </w:rPr>
      <w:t xml:space="preserve">    080318    090418</w:t>
    </w:r>
    <w:r>
      <w:rPr>
        <w:sz w:val="20"/>
      </w:rPr>
      <w:br/>
    </w:r>
    <w:r w:rsidRPr="00BE6E9E">
      <w:rPr>
        <w:rFonts w:ascii="C39T30Lfz" w:hAnsi="C39T30Lfz"/>
        <w:sz w:val="56"/>
      </w:rPr>
      <w:t></w:t>
    </w:r>
    <w:r w:rsidRPr="00BE6E9E">
      <w:rPr>
        <w:rFonts w:ascii="C39T30Lfz" w:hAnsi="C39T30Lfz"/>
        <w:sz w:val="56"/>
      </w:rPr>
      <w:t></w:t>
    </w:r>
    <w:r w:rsidRPr="00BE6E9E">
      <w:rPr>
        <w:rFonts w:ascii="C39T30Lfz" w:hAnsi="C39T30Lfz"/>
        <w:sz w:val="56"/>
      </w:rPr>
      <w:t></w:t>
    </w:r>
    <w:r w:rsidRPr="00BE6E9E">
      <w:rPr>
        <w:rFonts w:ascii="C39T30Lfz" w:hAnsi="C39T30Lfz"/>
        <w:sz w:val="56"/>
      </w:rPr>
      <w:t></w:t>
    </w:r>
    <w:r w:rsidRPr="00BE6E9E">
      <w:rPr>
        <w:rFonts w:ascii="C39T30Lfz" w:hAnsi="C39T30Lfz"/>
        <w:sz w:val="56"/>
      </w:rPr>
      <w:t></w:t>
    </w:r>
    <w:r w:rsidRPr="00BE6E9E">
      <w:rPr>
        <w:rFonts w:ascii="C39T30Lfz" w:hAnsi="C39T30Lfz"/>
        <w:sz w:val="56"/>
      </w:rPr>
      <w:t></w:t>
    </w:r>
    <w:r w:rsidRPr="00BE6E9E">
      <w:rPr>
        <w:rFonts w:ascii="C39T30Lfz" w:hAnsi="C39T30Lfz"/>
        <w:sz w:val="56"/>
      </w:rPr>
      <w:t></w:t>
    </w:r>
    <w:r w:rsidRPr="00BE6E9E">
      <w:rPr>
        <w:rFonts w:ascii="C39T30Lfz" w:hAnsi="C39T30Lfz"/>
        <w:sz w:val="56"/>
      </w:rPr>
      <w:t></w:t>
    </w:r>
    <w:r w:rsidRPr="00BE6E9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4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4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5B" w:rsidRPr="00D27D5E" w:rsidRDefault="00E0205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205B" w:rsidRPr="00D171D4" w:rsidRDefault="00E0205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0205B" w:rsidRPr="00C451B9" w:rsidRDefault="00E0205B" w:rsidP="00C451B9">
      <w:pPr>
        <w:spacing w:line="240" w:lineRule="auto"/>
        <w:rPr>
          <w:sz w:val="2"/>
          <w:szCs w:val="2"/>
        </w:rPr>
      </w:pPr>
    </w:p>
  </w:footnote>
  <w:footnote w:id="2">
    <w:p w:rsidR="00BE6E9E" w:rsidRPr="00442E31" w:rsidRDefault="00BE6E9E" w:rsidP="00BE6E9E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F1376" w:rsidRPr="000C29B3">
        <w:t>A</w:t>
      </w:r>
      <w:r w:rsidR="00FF1376">
        <w:t xml:space="preserve">nciens titres de l’Accord : </w:t>
      </w:r>
      <w:r w:rsidR="00FF1376">
        <w:br/>
        <w:t>A</w:t>
      </w:r>
      <w:r w:rsidR="00FF1376" w:rsidRPr="000C29B3">
        <w:t>ccord concernant l’adoption de conditions uniformes d’homologation et la reconnaissance réciproque de l’homologation des équipements et pièces de véhicules à moteur, en d</w:t>
      </w:r>
      <w:r w:rsidR="00FF1376">
        <w:t>ate, à Genève, du </w:t>
      </w:r>
      <w:r w:rsidR="00FF1376" w:rsidRPr="000C29B3">
        <w:t>2</w:t>
      </w:r>
      <w:r w:rsidR="00FF1376">
        <w:t>0 mars 1958 (version originale)</w:t>
      </w:r>
      <w:r w:rsidR="00B55586">
        <w:t> ;</w:t>
      </w:r>
      <w:r>
        <w:br/>
      </w:r>
      <w:r w:rsidRPr="000C29B3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</w:t>
      </w:r>
      <w:r w:rsidR="00B55586">
        <w:t>ptions, en date, à Genève, du 5 octobre 1995 (Révision </w:t>
      </w:r>
      <w:r w:rsidRPr="000C29B3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9E" w:rsidRPr="00BE6E9E" w:rsidRDefault="00BE6E9E">
    <w:pPr>
      <w:pStyle w:val="Header"/>
      <w:rPr>
        <w:lang w:val="en-US"/>
      </w:rPr>
    </w:pPr>
    <w:r>
      <w:fldChar w:fldCharType="begin"/>
    </w:r>
    <w:r w:rsidRPr="00BE6E9E">
      <w:rPr>
        <w:lang w:val="en-US"/>
      </w:rPr>
      <w:instrText xml:space="preserve"> TITLE  \* MERGEFORMAT </w:instrText>
    </w:r>
    <w:r>
      <w:fldChar w:fldCharType="separate"/>
    </w:r>
    <w:r w:rsidR="00E97EC8">
      <w:rPr>
        <w:lang w:val="en-US"/>
      </w:rPr>
      <w:t>E/ECE/324/Rev.1/Add.74/Rev.2/Amend.4</w:t>
    </w:r>
    <w:r>
      <w:fldChar w:fldCharType="end"/>
    </w:r>
    <w:r w:rsidRPr="00BE6E9E">
      <w:rPr>
        <w:lang w:val="en-US"/>
      </w:rPr>
      <w:br/>
    </w:r>
    <w:r>
      <w:fldChar w:fldCharType="begin"/>
    </w:r>
    <w:r w:rsidRPr="00BE6E9E">
      <w:rPr>
        <w:lang w:val="en-US"/>
      </w:rPr>
      <w:instrText xml:space="preserve"> KEYWORDS  \* MERGEFORMAT </w:instrText>
    </w:r>
    <w:r>
      <w:fldChar w:fldCharType="separate"/>
    </w:r>
    <w:r w:rsidR="00E97EC8">
      <w:rPr>
        <w:lang w:val="en-US"/>
      </w:rPr>
      <w:t>E/ECE/TRANS/505/Rev.1/Add.74/Rev.2/Amend.4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9E" w:rsidRPr="00BE6E9E" w:rsidRDefault="00BE6E9E" w:rsidP="00BE6E9E">
    <w:pPr>
      <w:pStyle w:val="Header"/>
      <w:jc w:val="right"/>
      <w:rPr>
        <w:lang w:val="en-US"/>
      </w:rPr>
    </w:pPr>
    <w:r>
      <w:fldChar w:fldCharType="begin"/>
    </w:r>
    <w:r w:rsidRPr="00BE6E9E">
      <w:rPr>
        <w:lang w:val="en-US"/>
      </w:rPr>
      <w:instrText xml:space="preserve"> TITLE  \* MERGEFORMAT </w:instrText>
    </w:r>
    <w:r>
      <w:fldChar w:fldCharType="separate"/>
    </w:r>
    <w:r w:rsidR="00E97EC8">
      <w:rPr>
        <w:lang w:val="en-US"/>
      </w:rPr>
      <w:t>E/ECE/324/Rev.1/Add.74/Rev.2/Amend.4</w:t>
    </w:r>
    <w:r>
      <w:fldChar w:fldCharType="end"/>
    </w:r>
    <w:r w:rsidRPr="00BE6E9E">
      <w:rPr>
        <w:lang w:val="en-US"/>
      </w:rPr>
      <w:br/>
    </w:r>
    <w:r>
      <w:fldChar w:fldCharType="begin"/>
    </w:r>
    <w:r w:rsidRPr="00BE6E9E">
      <w:rPr>
        <w:lang w:val="en-US"/>
      </w:rPr>
      <w:instrText xml:space="preserve"> KEYWORDS  \* MERGEFORMAT </w:instrText>
    </w:r>
    <w:r>
      <w:fldChar w:fldCharType="separate"/>
    </w:r>
    <w:r w:rsidR="00E97EC8">
      <w:rPr>
        <w:lang w:val="en-US"/>
      </w:rPr>
      <w:t>E/ECE/TRANS/505/Rev.1/Add.74/Rev.2/Amend.4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5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0F23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1426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3583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0A15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54B3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0F6C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1125"/>
    <w:rsid w:val="00AA7796"/>
    <w:rsid w:val="00AC67A1"/>
    <w:rsid w:val="00AC7977"/>
    <w:rsid w:val="00AC7E56"/>
    <w:rsid w:val="00AE2617"/>
    <w:rsid w:val="00AE352C"/>
    <w:rsid w:val="00AE39A5"/>
    <w:rsid w:val="00AE44E9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55586"/>
    <w:rsid w:val="00B61557"/>
    <w:rsid w:val="00B61990"/>
    <w:rsid w:val="00B6249B"/>
    <w:rsid w:val="00B70CCD"/>
    <w:rsid w:val="00B75E66"/>
    <w:rsid w:val="00B7618C"/>
    <w:rsid w:val="00B773BF"/>
    <w:rsid w:val="00BC3F20"/>
    <w:rsid w:val="00BC76F0"/>
    <w:rsid w:val="00BD13E6"/>
    <w:rsid w:val="00BD28B2"/>
    <w:rsid w:val="00BD5A8D"/>
    <w:rsid w:val="00BD7343"/>
    <w:rsid w:val="00BE6E9E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7CD7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33CA"/>
    <w:rsid w:val="00D62BF3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05B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97EC8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37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CB6FB83-3CD7-4474-BB91-6A909BB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BE6E9E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17F50-17E8-404A-8556-36C945B62B37}"/>
</file>

<file path=customXml/itemProps2.xml><?xml version="1.0" encoding="utf-8"?>
<ds:datastoreItem xmlns:ds="http://schemas.openxmlformats.org/officeDocument/2006/customXml" ds:itemID="{A78D5F6B-6A13-4A6C-8E75-1EABF4B0A08E}"/>
</file>

<file path=customXml/itemProps3.xml><?xml version="1.0" encoding="utf-8"?>
<ds:datastoreItem xmlns:ds="http://schemas.openxmlformats.org/officeDocument/2006/customXml" ds:itemID="{4043F538-1541-46A8-8C51-CCBB85A3E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E/ECE/324/Rev.1/Add.74/Rev.2/Amend.4</vt:lpstr>
      <vt:lpstr>E/ECE/324/Rev.1/Add.74/Rev.2/Amend.4</vt:lpstr>
    </vt:vector>
  </TitlesOfParts>
  <Company>CSD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E/ECE/324/Rev.1/Add.74/Rev.2/Amend.4</dc:title>
  <dc:creator>Sylvie LAMY</dc:creator>
  <cp:keywords>E/ECE/TRANS/505/Rev.1/Add.74/Rev.2/Amend.4</cp:keywords>
  <cp:lastModifiedBy>Olivia Braud</cp:lastModifiedBy>
  <cp:revision>2</cp:revision>
  <cp:lastPrinted>2018-04-09T12:10:00Z</cp:lastPrinted>
  <dcterms:created xsi:type="dcterms:W3CDTF">2018-08-22T13:17:00Z</dcterms:created>
  <dcterms:modified xsi:type="dcterms:W3CDTF">2018-08-22T13:17:00Z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489600</vt:r8>
  </property>
</Properties>
</file>