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33939" w14:paraId="5FAF6993" w14:textId="77777777" w:rsidTr="00A27C92">
        <w:trPr>
          <w:trHeight w:hRule="exact" w:val="851"/>
        </w:trPr>
        <w:tc>
          <w:tcPr>
            <w:tcW w:w="9639" w:type="dxa"/>
            <w:gridSpan w:val="2"/>
            <w:tcBorders>
              <w:bottom w:val="single" w:sz="4" w:space="0" w:color="auto"/>
            </w:tcBorders>
            <w:shd w:val="clear" w:color="auto" w:fill="auto"/>
            <w:vAlign w:val="bottom"/>
          </w:tcPr>
          <w:p w14:paraId="7D41C855" w14:textId="77777777" w:rsidR="00233939" w:rsidRPr="00233939" w:rsidRDefault="00233939" w:rsidP="00233939">
            <w:pPr>
              <w:jc w:val="right"/>
              <w:rPr>
                <w:lang w:val="en-US"/>
              </w:rPr>
            </w:pPr>
            <w:r w:rsidRPr="00233939">
              <w:rPr>
                <w:sz w:val="40"/>
                <w:lang w:val="en-US"/>
              </w:rPr>
              <w:t>E</w:t>
            </w:r>
            <w:r w:rsidRPr="00233939">
              <w:rPr>
                <w:lang w:val="en-US"/>
              </w:rPr>
              <w:t>/ECE/324/Rev.1/Add.52/Rev.3/Amend.7−</w:t>
            </w:r>
            <w:r w:rsidRPr="00233939">
              <w:rPr>
                <w:sz w:val="40"/>
                <w:lang w:val="en-US"/>
              </w:rPr>
              <w:t>E</w:t>
            </w:r>
            <w:r w:rsidRPr="00233939">
              <w:rPr>
                <w:lang w:val="en-US"/>
              </w:rPr>
              <w:t>/ECE/TRANS/505/Rev.1/Add.52/Rev.3/Amend.7</w:t>
            </w:r>
          </w:p>
        </w:tc>
      </w:tr>
      <w:tr w:rsidR="00421A10" w:rsidRPr="00DB58B5" w14:paraId="3C0AD311" w14:textId="77777777" w:rsidTr="00A27C92">
        <w:trPr>
          <w:trHeight w:hRule="exact" w:val="2835"/>
        </w:trPr>
        <w:tc>
          <w:tcPr>
            <w:tcW w:w="6804" w:type="dxa"/>
            <w:tcBorders>
              <w:top w:val="single" w:sz="4" w:space="0" w:color="auto"/>
              <w:bottom w:val="single" w:sz="12" w:space="0" w:color="auto"/>
            </w:tcBorders>
            <w:shd w:val="clear" w:color="auto" w:fill="auto"/>
          </w:tcPr>
          <w:p w14:paraId="6772209D" w14:textId="77777777" w:rsidR="00421A10" w:rsidRPr="0023393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05A1CAD" w14:textId="77777777" w:rsidR="00421A10" w:rsidRPr="00DB58B5" w:rsidRDefault="00233939" w:rsidP="00A27C92">
            <w:pPr>
              <w:spacing w:before="480" w:line="240" w:lineRule="exact"/>
            </w:pPr>
            <w:r>
              <w:t>21 novembre 20</w:t>
            </w:r>
            <w:r w:rsidR="007C64A8">
              <w:t>19</w:t>
            </w:r>
          </w:p>
        </w:tc>
      </w:tr>
    </w:tbl>
    <w:p w14:paraId="06501230" w14:textId="77777777" w:rsidR="00421A10" w:rsidRPr="006549FF" w:rsidRDefault="0029791D" w:rsidP="0029791D">
      <w:pPr>
        <w:pStyle w:val="HChG"/>
      </w:pPr>
      <w:r>
        <w:tab/>
      </w:r>
      <w:r>
        <w:tab/>
      </w:r>
      <w:r w:rsidR="00421A10" w:rsidRPr="006549FF">
        <w:t>Accord</w:t>
      </w:r>
    </w:p>
    <w:p w14:paraId="48D67B34" w14:textId="77777777" w:rsidR="00421A10" w:rsidRPr="00583D68" w:rsidRDefault="0029791D" w:rsidP="0029791D">
      <w:pPr>
        <w:pStyle w:val="H1G"/>
      </w:pPr>
      <w:r>
        <w:tab/>
      </w:r>
      <w:r>
        <w:tab/>
      </w:r>
      <w:r w:rsidR="00421A10" w:rsidRPr="00583D68">
        <w:t xml:space="preserve">Concernant l’adoption </w:t>
      </w:r>
      <w:r w:rsidR="00233939" w:rsidRPr="00EC185C">
        <w:rPr>
          <w:color w:val="000000"/>
          <w:sz w:val="27"/>
          <w:szCs w:val="27"/>
        </w:rPr>
        <w:t>de Règlements techniques harmonisés de</w:t>
      </w:r>
      <w:r w:rsidR="007C64A8">
        <w:rPr>
          <w:color w:val="000000"/>
          <w:sz w:val="27"/>
          <w:szCs w:val="27"/>
        </w:rPr>
        <w:t> </w:t>
      </w:r>
      <w:r w:rsidR="00233939" w:rsidRPr="00EC185C">
        <w:rPr>
          <w:color w:val="000000"/>
          <w:sz w:val="27"/>
          <w:szCs w:val="27"/>
        </w:rPr>
        <w:t>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233939">
        <w:rPr>
          <w:rStyle w:val="Appelnotedebasdep"/>
          <w:b w:val="0"/>
          <w:bCs/>
          <w:sz w:val="20"/>
          <w:vertAlign w:val="baseline"/>
        </w:rPr>
        <w:footnoteReference w:customMarkFollows="1" w:id="2"/>
        <w:t>*</w:t>
      </w:r>
    </w:p>
    <w:p w14:paraId="67414378" w14:textId="77777777" w:rsidR="00421A10" w:rsidRPr="00A12483" w:rsidRDefault="00421A10" w:rsidP="0029791D">
      <w:pPr>
        <w:pStyle w:val="SingleTxtG"/>
        <w:jc w:val="left"/>
        <w:rPr>
          <w:b/>
          <w:sz w:val="24"/>
          <w:szCs w:val="24"/>
        </w:rPr>
      </w:pPr>
      <w:r w:rsidRPr="006549FF">
        <w:t xml:space="preserve">(Révision </w:t>
      </w:r>
      <w:r w:rsidR="00233939" w:rsidRPr="00A7126A">
        <w:t>3, comprenant les amendements entrés en vigueur le 14 septembre 2017</w:t>
      </w:r>
      <w:r w:rsidRPr="006549FF">
        <w:t>)</w:t>
      </w:r>
    </w:p>
    <w:p w14:paraId="4DC63AAB" w14:textId="77777777" w:rsidR="00421A10" w:rsidRPr="006549FF" w:rsidRDefault="0029791D" w:rsidP="0029791D">
      <w:pPr>
        <w:jc w:val="center"/>
      </w:pPr>
      <w:r>
        <w:t>_______________</w:t>
      </w:r>
    </w:p>
    <w:p w14:paraId="48C5976D" w14:textId="77777777" w:rsidR="00421A10" w:rsidRPr="006549FF" w:rsidRDefault="0029791D" w:rsidP="0029791D">
      <w:pPr>
        <w:pStyle w:val="HChG"/>
      </w:pPr>
      <w:r>
        <w:tab/>
      </w:r>
      <w:r>
        <w:tab/>
      </w:r>
      <w:r w:rsidR="00421A10" w:rsidRPr="006549FF">
        <w:t xml:space="preserve">Additif </w:t>
      </w:r>
      <w:r w:rsidR="00233939">
        <w:t xml:space="preserve">52 </w:t>
      </w:r>
      <w:r w:rsidR="00233939">
        <w:rPr>
          <w:lang w:val="fr-FR"/>
        </w:rPr>
        <w:t>−</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233939">
        <w:t>53</w:t>
      </w:r>
    </w:p>
    <w:p w14:paraId="5F4EFA40" w14:textId="77777777" w:rsidR="00421A10" w:rsidRPr="006549FF" w:rsidRDefault="0029791D" w:rsidP="0029791D">
      <w:pPr>
        <w:pStyle w:val="H1G"/>
      </w:pPr>
      <w:r>
        <w:tab/>
      </w:r>
      <w:r>
        <w:tab/>
      </w:r>
      <w:r w:rsidR="00421A10" w:rsidRPr="006549FF">
        <w:t xml:space="preserve">Révision </w:t>
      </w:r>
      <w:r w:rsidR="00233939">
        <w:t xml:space="preserve">3 </w:t>
      </w:r>
      <w:r w:rsidR="00233939">
        <w:rPr>
          <w:lang w:val="fr-FR"/>
        </w:rPr>
        <w:t>−</w:t>
      </w:r>
      <w:r w:rsidR="00233939">
        <w:rPr>
          <w:lang w:val="fr-FR"/>
        </w:rPr>
        <w:t xml:space="preserve"> </w:t>
      </w:r>
      <w:r w:rsidR="00233939" w:rsidRPr="00650CC0">
        <w:t>Amendement 7</w:t>
      </w:r>
    </w:p>
    <w:p w14:paraId="73E3584A" w14:textId="77777777" w:rsidR="00421A10" w:rsidRPr="0029791D" w:rsidRDefault="00233939" w:rsidP="00233939">
      <w:pPr>
        <w:pStyle w:val="SingleTxtG"/>
        <w:spacing w:after="0"/>
      </w:pPr>
      <w:r w:rsidRPr="00650CC0">
        <w:rPr>
          <w:spacing w:val="-2"/>
        </w:rPr>
        <w:t>Complément 20 à la série 01 d’amendements </w:t>
      </w:r>
      <w:r w:rsidR="00C057F9">
        <w:rPr>
          <w:lang w:val="fr-FR"/>
        </w:rPr>
        <w:t>−</w:t>
      </w:r>
      <w:r w:rsidRPr="00650CC0">
        <w:rPr>
          <w:spacing w:val="-2"/>
        </w:rPr>
        <w:t xml:space="preserve"> Date </w:t>
      </w:r>
      <w:r>
        <w:rPr>
          <w:spacing w:val="-2"/>
        </w:rPr>
        <w:t>d’entrée en vigueur</w:t>
      </w:r>
      <w:r w:rsidR="00687E17">
        <w:rPr>
          <w:spacing w:val="-2"/>
        </w:rPr>
        <w:t> </w:t>
      </w:r>
      <w:r w:rsidRPr="00650CC0">
        <w:rPr>
          <w:spacing w:val="-2"/>
        </w:rPr>
        <w:t xml:space="preserve">: </w:t>
      </w:r>
      <w:r w:rsidRPr="00650CC0">
        <w:t>15</w:t>
      </w:r>
      <w:r>
        <w:t> octobre </w:t>
      </w:r>
      <w:r w:rsidRPr="00650CC0">
        <w:t>2019</w:t>
      </w:r>
    </w:p>
    <w:p w14:paraId="73BF166D" w14:textId="77777777" w:rsidR="00421A10" w:rsidRDefault="0029791D" w:rsidP="0029791D">
      <w:pPr>
        <w:pStyle w:val="H1G"/>
      </w:pPr>
      <w:r>
        <w:tab/>
      </w:r>
      <w:r>
        <w:tab/>
      </w:r>
      <w:r w:rsidR="00233939" w:rsidRPr="00233939">
        <w:t>Prescriptions uniformes relatives à l’homologation des véhicules de</w:t>
      </w:r>
      <w:r w:rsidR="00233939">
        <w:t> </w:t>
      </w:r>
      <w:r w:rsidR="00233939" w:rsidRPr="00233939">
        <w:t>catégorie L3 en ce qui concerne l’installation des dispositifs d’éclairage et de signalisation lumineuse</w:t>
      </w:r>
    </w:p>
    <w:p w14:paraId="04CC4412" w14:textId="77777777" w:rsidR="007C64A8" w:rsidRDefault="00233939" w:rsidP="00CA27BE">
      <w:pPr>
        <w:pStyle w:val="SingleTxtG"/>
        <w:rPr>
          <w:spacing w:val="-2"/>
          <w:lang w:eastAsia="en-GB"/>
        </w:rPr>
      </w:pPr>
      <w:r w:rsidRPr="007C64A8">
        <w:rPr>
          <w:noProof/>
          <w:spacing w:val="-2"/>
          <w:lang w:eastAsia="fr-CH"/>
        </w:rPr>
        <mc:AlternateContent>
          <mc:Choice Requires="wps">
            <w:drawing>
              <wp:anchor distT="0" distB="0" distL="114300" distR="114300" simplePos="0" relativeHeight="251660288" behindDoc="0" locked="0" layoutInCell="1" allowOverlap="1" wp14:anchorId="68D1E197" wp14:editId="56C83C6A">
                <wp:simplePos x="0" y="0"/>
                <wp:positionH relativeFrom="margin">
                  <wp:posOffset>0</wp:posOffset>
                </wp:positionH>
                <wp:positionV relativeFrom="margin">
                  <wp:posOffset>6487746</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6DACB35C" w14:textId="77777777" w:rsidR="00442E31" w:rsidRPr="0029791D" w:rsidRDefault="00442E31" w:rsidP="00C9521D">
                            <w:pPr>
                              <w:ind w:left="1134" w:right="1134"/>
                              <w:jc w:val="center"/>
                            </w:pPr>
                            <w:r>
                              <w:t>_______________</w:t>
                            </w:r>
                          </w:p>
                          <w:p w14:paraId="1569BFB1" w14:textId="77777777" w:rsidR="00442E31" w:rsidRDefault="00442E31" w:rsidP="00C9521D">
                            <w:pPr>
                              <w:jc w:val="center"/>
                              <w:rPr>
                                <w:b/>
                                <w:bCs/>
                                <w:sz w:val="22"/>
                              </w:rPr>
                            </w:pPr>
                            <w:r>
                              <w:rPr>
                                <w:noProof/>
                                <w:lang w:eastAsia="fr-CH"/>
                              </w:rPr>
                              <w:drawing>
                                <wp:inline distT="0" distB="0" distL="0" distR="0" wp14:anchorId="1457B112" wp14:editId="0330C214">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EBB91A"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1E197" id="_x0000_t202" coordsize="21600,21600" o:spt="202" path="m,l,21600r21600,l21600,xe">
                <v:stroke joinstyle="miter"/>
                <v:path gradientshapeok="t" o:connecttype="rect"/>
              </v:shapetype>
              <v:shape id="Zone de texte 4" o:spid="_x0000_s1026" type="#_x0000_t202" style="position:absolute;left:0;text-align:left;margin-left:0;margin-top:510.85pt;width:481.85pt;height:9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" stroked="f">
                <v:textbox inset="0,0,0,0">
                  <w:txbxContent>
                    <w:p w14:paraId="6DACB35C" w14:textId="77777777" w:rsidR="00442E31" w:rsidRPr="0029791D" w:rsidRDefault="00442E31" w:rsidP="00C9521D">
                      <w:pPr>
                        <w:ind w:left="1134" w:right="1134"/>
                        <w:jc w:val="center"/>
                      </w:pPr>
                      <w:r>
                        <w:t>_______________</w:t>
                      </w:r>
                    </w:p>
                    <w:p w14:paraId="1569BFB1" w14:textId="77777777" w:rsidR="00442E31" w:rsidRDefault="00442E31" w:rsidP="00C9521D">
                      <w:pPr>
                        <w:jc w:val="center"/>
                        <w:rPr>
                          <w:b/>
                          <w:bCs/>
                          <w:sz w:val="22"/>
                        </w:rPr>
                      </w:pPr>
                      <w:r>
                        <w:rPr>
                          <w:noProof/>
                          <w:lang w:eastAsia="fr-CH"/>
                        </w:rPr>
                        <w:drawing>
                          <wp:inline distT="0" distB="0" distL="0" distR="0" wp14:anchorId="1457B112" wp14:editId="0330C214">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EBB91A"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7C64A8">
        <w:rPr>
          <w:spacing w:val="-2"/>
          <w:lang w:eastAsia="en-GB"/>
        </w:rPr>
        <w:t>Le présent document est communiqué uniquement à titre d’information. Le texte authentique, juridiquement contraignant, est celui du document ECE/TRANS/WP.29/2019/18 (modifié par les documents ECE/TRANS/WP.29/1145, par</w:t>
      </w:r>
      <w:r w:rsidR="007C64A8" w:rsidRPr="007C64A8">
        <w:rPr>
          <w:spacing w:val="-2"/>
          <w:lang w:eastAsia="en-GB"/>
        </w:rPr>
        <w:t>.</w:t>
      </w:r>
      <w:r w:rsidRPr="007C64A8">
        <w:rPr>
          <w:spacing w:val="-2"/>
          <w:lang w:eastAsia="en-GB"/>
        </w:rPr>
        <w:t> 108, ECE/TRANS/WP.29/2018/87/Rev.1 et ECE/TRANS/WP.29/2018/105 modifié par le document ECE/TRANS/WP.29/1145, par</w:t>
      </w:r>
      <w:r w:rsidR="007C64A8" w:rsidRPr="007C64A8">
        <w:rPr>
          <w:spacing w:val="-2"/>
          <w:lang w:eastAsia="en-GB"/>
        </w:rPr>
        <w:t>.</w:t>
      </w:r>
      <w:r w:rsidRPr="007C64A8">
        <w:rPr>
          <w:spacing w:val="-2"/>
          <w:lang w:eastAsia="en-GB"/>
        </w:rPr>
        <w:t> 112).</w:t>
      </w:r>
    </w:p>
    <w:p w14:paraId="2B5C0C61" w14:textId="77777777" w:rsidR="00C057F9" w:rsidRPr="003C5131" w:rsidRDefault="00C057F9" w:rsidP="00CA27BE">
      <w:pPr>
        <w:pStyle w:val="SingleTxtG"/>
        <w:rPr>
          <w:lang w:val="fr-FR"/>
        </w:rPr>
      </w:pPr>
      <w:r>
        <w:rPr>
          <w:lang w:eastAsia="en-GB"/>
        </w:rPr>
        <w:br w:type="page"/>
      </w:r>
      <w:r w:rsidRPr="00AA54D0">
        <w:rPr>
          <w:i/>
          <w:lang w:val="fr-FR"/>
        </w:rPr>
        <w:lastRenderedPageBreak/>
        <w:t xml:space="preserve">Ajouter </w:t>
      </w:r>
      <w:r>
        <w:rPr>
          <w:i/>
          <w:lang w:val="fr-FR"/>
        </w:rPr>
        <w:t>le</w:t>
      </w:r>
      <w:r w:rsidRPr="00AA54D0">
        <w:rPr>
          <w:i/>
          <w:lang w:val="fr-FR"/>
        </w:rPr>
        <w:t xml:space="preserve"> nouveau paragraphe 2.34</w:t>
      </w:r>
      <w:r>
        <w:rPr>
          <w:lang w:val="fr-FR"/>
        </w:rPr>
        <w:t>, libellé comme suit </w:t>
      </w:r>
      <w:r w:rsidRPr="003C5131">
        <w:rPr>
          <w:lang w:val="fr-FR"/>
        </w:rPr>
        <w:t>:</w:t>
      </w:r>
    </w:p>
    <w:p w14:paraId="0553B4AB" w14:textId="77777777" w:rsidR="00C057F9" w:rsidRPr="003C5131" w:rsidRDefault="00C057F9" w:rsidP="00A937B7">
      <w:pPr>
        <w:pStyle w:val="SingleTxtG"/>
        <w:tabs>
          <w:tab w:val="left" w:pos="2268"/>
        </w:tabs>
        <w:ind w:left="2268" w:hanging="1134"/>
        <w:rPr>
          <w:lang w:val="fr-FR"/>
        </w:rPr>
      </w:pPr>
      <w:r>
        <w:rPr>
          <w:lang w:val="fr-FR"/>
        </w:rPr>
        <w:t>« 2.34</w:t>
      </w:r>
      <w:r w:rsidRPr="003C5131">
        <w:rPr>
          <w:lang w:val="fr-FR"/>
        </w:rPr>
        <w:tab/>
        <w:t>“</w:t>
      </w:r>
      <w:r w:rsidRPr="003C5131">
        <w:rPr>
          <w:i/>
          <w:iCs/>
          <w:lang w:val="fr-FR"/>
        </w:rPr>
        <w:t>Feu d</w:t>
      </w:r>
      <w:r>
        <w:rPr>
          <w:i/>
          <w:iCs/>
          <w:lang w:val="fr-FR"/>
        </w:rPr>
        <w:t>’</w:t>
      </w:r>
      <w:r w:rsidRPr="003C5131">
        <w:rPr>
          <w:i/>
          <w:iCs/>
          <w:lang w:val="fr-FR"/>
        </w:rPr>
        <w:t>accès au véhicule</w:t>
      </w:r>
      <w:r w:rsidRPr="003C5131">
        <w:rPr>
          <w:lang w:val="fr-FR"/>
        </w:rPr>
        <w:t>”, un feu servant à fournir un éclairage supplémentaire pour aider le conducteur et les passagers à monter sur le véhicule ou à en descendre, ou encore faciliter les opérations de chargement.</w:t>
      </w:r>
      <w:r>
        <w:rPr>
          <w:lang w:val="fr-FR"/>
        </w:rPr>
        <w:t> ».</w:t>
      </w:r>
    </w:p>
    <w:p w14:paraId="7746A5E9" w14:textId="77777777" w:rsidR="00C057F9" w:rsidRPr="006A5788" w:rsidRDefault="00C057F9" w:rsidP="00A937B7">
      <w:pPr>
        <w:pStyle w:val="SingleTxtG"/>
        <w:rPr>
          <w:lang w:val="fr-FR"/>
        </w:rPr>
      </w:pPr>
      <w:r w:rsidRPr="006A5788">
        <w:rPr>
          <w:i/>
          <w:lang w:val="fr-FR" w:eastAsia="it-IT"/>
        </w:rPr>
        <w:t xml:space="preserve">Paragraphe </w:t>
      </w:r>
      <w:r w:rsidRPr="006A5788">
        <w:rPr>
          <w:i/>
          <w:lang w:val="fr-FR"/>
        </w:rPr>
        <w:t>5.8.1</w:t>
      </w:r>
      <w:r w:rsidRPr="006A5788">
        <w:rPr>
          <w:lang w:val="fr-FR"/>
        </w:rPr>
        <w:t>,</w:t>
      </w:r>
      <w:r w:rsidRPr="006A5788">
        <w:rPr>
          <w:i/>
          <w:lang w:val="fr-FR"/>
        </w:rPr>
        <w:t xml:space="preserve"> </w:t>
      </w:r>
      <w:r w:rsidRPr="006A5788">
        <w:rPr>
          <w:lang w:val="fr-FR"/>
        </w:rPr>
        <w:t>lire :</w:t>
      </w:r>
    </w:p>
    <w:p w14:paraId="6C57D8C6" w14:textId="77777777" w:rsidR="00C057F9" w:rsidRPr="006A5788" w:rsidRDefault="00C057F9" w:rsidP="00A937B7">
      <w:pPr>
        <w:pStyle w:val="SingleTxtG"/>
        <w:tabs>
          <w:tab w:val="left" w:pos="2268"/>
        </w:tabs>
        <w:ind w:left="2268" w:hanging="1134"/>
        <w:rPr>
          <w:lang w:val="fr-FR"/>
        </w:rPr>
      </w:pPr>
      <w:r w:rsidRPr="006A5788">
        <w:rPr>
          <w:lang w:val="fr-FR"/>
        </w:rPr>
        <w:t>« 5.8.1</w:t>
      </w:r>
      <w:r w:rsidRPr="006A5788">
        <w:rPr>
          <w:lang w:val="fr-FR"/>
        </w:rPr>
        <w:tab/>
      </w:r>
      <w:r w:rsidRPr="006A5788">
        <w:rPr>
          <w:lang w:val="fr-FR"/>
        </w:rPr>
        <w:tab/>
        <w:t>Les caractéristiques photométriques des feux indicateurs de direction, à l</w:t>
      </w:r>
      <w:r>
        <w:rPr>
          <w:lang w:val="fr-FR"/>
        </w:rPr>
        <w:t>’</w:t>
      </w:r>
      <w:r w:rsidRPr="006A5788">
        <w:rPr>
          <w:lang w:val="fr-FR"/>
        </w:rPr>
        <w:t>exception de ceux des catégories 5 et 6 précisées dans le Règlement</w:t>
      </w:r>
      <w:r>
        <w:rPr>
          <w:lang w:val="fr-FR"/>
        </w:rPr>
        <w:t xml:space="preserve"> ONU</w:t>
      </w:r>
      <w:r w:rsidRPr="006A5788">
        <w:rPr>
          <w:lang w:val="fr-FR"/>
        </w:rPr>
        <w:t xml:space="preserve"> n</w:t>
      </w:r>
      <w:r w:rsidRPr="006A5788">
        <w:rPr>
          <w:vertAlign w:val="superscript"/>
          <w:lang w:val="fr-FR"/>
        </w:rPr>
        <w:t>o</w:t>
      </w:r>
      <w:r w:rsidRPr="006A5788">
        <w:rPr>
          <w:lang w:val="fr-FR"/>
        </w:rPr>
        <w:t xml:space="preserve"> 6 ou </w:t>
      </w:r>
      <w:r>
        <w:rPr>
          <w:lang w:val="fr-FR"/>
        </w:rPr>
        <w:t>148</w:t>
      </w:r>
      <w:r w:rsidRPr="006A5788">
        <w:rPr>
          <w:lang w:val="fr-FR"/>
        </w:rPr>
        <w:t xml:space="preserve">, et celles du feu indicateur de direction précisé dans le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 xml:space="preserve">50 ou </w:t>
      </w:r>
      <w:r>
        <w:rPr>
          <w:lang w:val="fr-FR"/>
        </w:rPr>
        <w:t>148</w:t>
      </w:r>
      <w:r w:rsidRPr="006A5788">
        <w:rPr>
          <w:lang w:val="fr-FR"/>
        </w:rPr>
        <w:t>, peuvent varier durant un clignotement par activation séquentielle produit conformément au paragraphe</w:t>
      </w:r>
      <w:r>
        <w:rPr>
          <w:lang w:val="fr-FR"/>
        </w:rPr>
        <w:t> </w:t>
      </w:r>
      <w:r w:rsidRPr="006A5788">
        <w:rPr>
          <w:lang w:val="fr-FR"/>
        </w:rPr>
        <w:t xml:space="preserve">5.6 du Règlement </w:t>
      </w:r>
      <w:r>
        <w:rPr>
          <w:lang w:val="fr-FR"/>
        </w:rPr>
        <w:t>ONU</w:t>
      </w:r>
      <w:r w:rsidRPr="006A5788">
        <w:rPr>
          <w:lang w:val="fr-FR"/>
        </w:rPr>
        <w:t xml:space="preserve"> n</w:t>
      </w:r>
      <w:r w:rsidRPr="006A5788">
        <w:rPr>
          <w:vertAlign w:val="superscript"/>
          <w:lang w:val="fr-FR"/>
        </w:rPr>
        <w:t>o</w:t>
      </w:r>
      <w:r w:rsidRPr="006A5788">
        <w:rPr>
          <w:lang w:val="fr-FR"/>
        </w:rPr>
        <w:t xml:space="preserve"> 6 ou au paragraphe 5.6.11 du Règlement </w:t>
      </w:r>
      <w:r>
        <w:rPr>
          <w:lang w:val="fr-FR"/>
        </w:rPr>
        <w:t>ONU</w:t>
      </w:r>
      <w:r w:rsidRPr="006A5788">
        <w:rPr>
          <w:lang w:val="fr-FR"/>
        </w:rPr>
        <w:t xml:space="preserve"> n</w:t>
      </w:r>
      <w:r w:rsidRPr="006A5788">
        <w:rPr>
          <w:vertAlign w:val="superscript"/>
          <w:lang w:val="fr-FR"/>
        </w:rPr>
        <w:t>o</w:t>
      </w:r>
      <w:r w:rsidRPr="006A5788">
        <w:rPr>
          <w:lang w:val="fr-FR"/>
        </w:rPr>
        <w:t> </w:t>
      </w:r>
      <w:r>
        <w:rPr>
          <w:lang w:val="fr-FR"/>
        </w:rPr>
        <w:t>148</w:t>
      </w:r>
      <w:r w:rsidRPr="006A5788">
        <w:rPr>
          <w:lang w:val="fr-FR"/>
        </w:rPr>
        <w:t xml:space="preserve"> ou au paragraphe 6.8 du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50.</w:t>
      </w:r>
    </w:p>
    <w:p w14:paraId="01240AF6" w14:textId="77777777" w:rsidR="00C057F9" w:rsidRPr="006A5788" w:rsidRDefault="00C057F9" w:rsidP="00A937B7">
      <w:pPr>
        <w:pStyle w:val="SingleTxtG"/>
        <w:ind w:left="2268"/>
        <w:rPr>
          <w:lang w:val="fr-FR"/>
        </w:rPr>
      </w:pPr>
      <w:r w:rsidRPr="006A5788">
        <w:rPr>
          <w:lang w:val="fr-FR"/>
        </w:rPr>
        <w:t>La présente disposition n</w:t>
      </w:r>
      <w:r>
        <w:rPr>
          <w:lang w:val="fr-FR"/>
        </w:rPr>
        <w:t>’</w:t>
      </w:r>
      <w:r w:rsidRPr="006A5788">
        <w:rPr>
          <w:lang w:val="fr-FR"/>
        </w:rPr>
        <w:t xml:space="preserve">est pas applicable lorsque des feux indicateurs de direction des catégories 2a et 2b précisées dans le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 xml:space="preserve">6 ou </w:t>
      </w:r>
      <w:r>
        <w:rPr>
          <w:lang w:val="fr-FR"/>
        </w:rPr>
        <w:t>148</w:t>
      </w:r>
      <w:r w:rsidRPr="006A5788">
        <w:rPr>
          <w:lang w:val="fr-FR"/>
        </w:rPr>
        <w:t xml:space="preserve"> ou de la catégorie 12 précisée dans le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 xml:space="preserve">50 ou </w:t>
      </w:r>
      <w:r>
        <w:rPr>
          <w:lang w:val="fr-FR"/>
        </w:rPr>
        <w:t>148</w:t>
      </w:r>
      <w:r w:rsidRPr="006A5788">
        <w:rPr>
          <w:lang w:val="fr-FR"/>
        </w:rPr>
        <w:t xml:space="preserve"> </w:t>
      </w:r>
      <w:r>
        <w:rPr>
          <w:lang w:val="fr-FR"/>
        </w:rPr>
        <w:t xml:space="preserve">sont </w:t>
      </w:r>
      <w:r w:rsidRPr="006A5788">
        <w:rPr>
          <w:lang w:val="fr-FR"/>
        </w:rPr>
        <w:t>utilisés en tant que signaux de freinage d</w:t>
      </w:r>
      <w:r>
        <w:rPr>
          <w:lang w:val="fr-FR"/>
        </w:rPr>
        <w:t>’</w:t>
      </w:r>
      <w:r w:rsidRPr="006A5788">
        <w:rPr>
          <w:lang w:val="fr-FR"/>
        </w:rPr>
        <w:t>urgence, conformément au paragraphe 6.14 du présent Règlement. ».</w:t>
      </w:r>
      <w:r>
        <w:rPr>
          <w:lang w:val="fr-FR"/>
        </w:rPr>
        <w:t xml:space="preserve"> </w:t>
      </w:r>
    </w:p>
    <w:p w14:paraId="5EC5298D" w14:textId="77777777" w:rsidR="00C057F9" w:rsidRPr="006A5788" w:rsidRDefault="00C057F9" w:rsidP="00A937B7">
      <w:pPr>
        <w:pStyle w:val="SingleTxtG"/>
        <w:rPr>
          <w:lang w:val="fr-FR"/>
        </w:rPr>
      </w:pPr>
      <w:r w:rsidRPr="006A5788">
        <w:rPr>
          <w:i/>
          <w:lang w:val="fr-FR"/>
        </w:rPr>
        <w:t>Paragraphe 5.14.4</w:t>
      </w:r>
      <w:r w:rsidRPr="006A5788">
        <w:rPr>
          <w:lang w:val="fr-FR"/>
        </w:rPr>
        <w:t>,</w:t>
      </w:r>
      <w:r w:rsidRPr="006A5788">
        <w:rPr>
          <w:i/>
          <w:lang w:val="fr-FR"/>
        </w:rPr>
        <w:t xml:space="preserve"> </w:t>
      </w:r>
      <w:r>
        <w:rPr>
          <w:lang w:val="fr-FR"/>
        </w:rPr>
        <w:t>lire </w:t>
      </w:r>
      <w:r w:rsidRPr="008B128E">
        <w:rPr>
          <w:rFonts w:eastAsia="Calibri"/>
        </w:rPr>
        <w:t>:</w:t>
      </w:r>
    </w:p>
    <w:p w14:paraId="4CD7EA2D" w14:textId="77777777" w:rsidR="00C057F9" w:rsidRPr="006A5788" w:rsidRDefault="00C057F9" w:rsidP="00A937B7">
      <w:pPr>
        <w:pStyle w:val="SingleTxtG"/>
        <w:tabs>
          <w:tab w:val="left" w:pos="2268"/>
        </w:tabs>
        <w:ind w:left="2268" w:hanging="1134"/>
        <w:rPr>
          <w:lang w:val="fr-FR"/>
        </w:rPr>
      </w:pPr>
      <w:r w:rsidRPr="006A5788">
        <w:rPr>
          <w:lang w:val="fr-FR"/>
        </w:rPr>
        <w:t>« 5.14.4</w:t>
      </w:r>
      <w:r w:rsidRPr="006A5788">
        <w:rPr>
          <w:lang w:val="fr-FR"/>
        </w:rPr>
        <w:tab/>
        <w:t xml:space="preserve">Feu-stop, dispositif de la catégorie S1 tel que précisé dans le Règlement </w:t>
      </w:r>
      <w:r>
        <w:rPr>
          <w:lang w:val="fr-FR"/>
        </w:rPr>
        <w:t>ONU</w:t>
      </w:r>
      <w:r w:rsidRPr="006A5788">
        <w:rPr>
          <w:lang w:val="fr-FR"/>
        </w:rPr>
        <w:t xml:space="preserve"> n</w:t>
      </w:r>
      <w:r w:rsidRPr="006A5788">
        <w:rPr>
          <w:vertAlign w:val="superscript"/>
          <w:lang w:val="fr-FR"/>
        </w:rPr>
        <w:t>o</w:t>
      </w:r>
      <w:r>
        <w:rPr>
          <w:lang w:val="fr-FR"/>
        </w:rPr>
        <w:t> </w:t>
      </w:r>
      <w:r w:rsidRPr="006A5788">
        <w:rPr>
          <w:lang w:val="fr-FR"/>
        </w:rPr>
        <w:t xml:space="preserve">7 ou </w:t>
      </w:r>
      <w:r>
        <w:rPr>
          <w:lang w:val="fr-FR"/>
        </w:rPr>
        <w:t>148</w:t>
      </w:r>
      <w:r w:rsidRPr="006A5788">
        <w:rPr>
          <w:lang w:val="fr-FR"/>
        </w:rPr>
        <w:t xml:space="preserve"> ou feu-stop tel que précisé dans le Règlement </w:t>
      </w:r>
      <w:r>
        <w:rPr>
          <w:lang w:val="fr-FR"/>
        </w:rPr>
        <w:t>ONU</w:t>
      </w:r>
      <w:r w:rsidRPr="006A5788">
        <w:rPr>
          <w:lang w:val="fr-FR"/>
        </w:rPr>
        <w:t xml:space="preserve"> n</w:t>
      </w:r>
      <w:r w:rsidRPr="006A5788">
        <w:rPr>
          <w:vertAlign w:val="superscript"/>
          <w:lang w:val="fr-FR"/>
        </w:rPr>
        <w:t>o</w:t>
      </w:r>
      <w:r w:rsidRPr="006A5788">
        <w:rPr>
          <w:lang w:val="fr-FR"/>
        </w:rPr>
        <w:t xml:space="preserve"> 50 (par. 6.4) ou feu-stop pour véhicules de la catégorie L tel que précisé dans le Règlement </w:t>
      </w:r>
      <w:r>
        <w:rPr>
          <w:lang w:val="fr-FR"/>
        </w:rPr>
        <w:t>ONU</w:t>
      </w:r>
      <w:r w:rsidRPr="006A5788">
        <w:rPr>
          <w:lang w:val="fr-FR"/>
        </w:rPr>
        <w:t xml:space="preserve"> n</w:t>
      </w:r>
      <w:r w:rsidRPr="006A5788">
        <w:rPr>
          <w:vertAlign w:val="superscript"/>
          <w:lang w:val="fr-FR"/>
        </w:rPr>
        <w:t>o</w:t>
      </w:r>
      <w:r w:rsidR="00C70FB6">
        <w:rPr>
          <w:rFonts w:eastAsia="Calibri"/>
        </w:rPr>
        <w:t> </w:t>
      </w:r>
      <w:r>
        <w:rPr>
          <w:lang w:val="fr-FR"/>
        </w:rPr>
        <w:t>148</w:t>
      </w:r>
      <w:r w:rsidRPr="006A5788">
        <w:rPr>
          <w:lang w:val="fr-FR"/>
        </w:rPr>
        <w:t> ; ».</w:t>
      </w:r>
    </w:p>
    <w:p w14:paraId="123FB17E" w14:textId="77777777" w:rsidR="00C057F9" w:rsidRPr="006A5788" w:rsidRDefault="00C057F9" w:rsidP="00A937B7">
      <w:pPr>
        <w:pStyle w:val="SingleTxtG"/>
        <w:rPr>
          <w:lang w:val="fr-FR"/>
        </w:rPr>
      </w:pPr>
      <w:r w:rsidRPr="006A5788">
        <w:rPr>
          <w:i/>
          <w:lang w:val="fr-FR"/>
        </w:rPr>
        <w:t>Paragraphe 5.15.4</w:t>
      </w:r>
      <w:r w:rsidRPr="006A5788">
        <w:rPr>
          <w:lang w:val="fr-FR"/>
        </w:rPr>
        <w:t>,</w:t>
      </w:r>
      <w:r w:rsidRPr="006A5788">
        <w:rPr>
          <w:i/>
          <w:lang w:val="fr-FR"/>
        </w:rPr>
        <w:t xml:space="preserve"> </w:t>
      </w:r>
      <w:r>
        <w:rPr>
          <w:lang w:val="fr-FR"/>
        </w:rPr>
        <w:t>lire</w:t>
      </w:r>
      <w:r w:rsidR="00687E17">
        <w:rPr>
          <w:rFonts w:eastAsia="Calibri"/>
        </w:rPr>
        <w:t> </w:t>
      </w:r>
      <w:r w:rsidRPr="008B128E">
        <w:rPr>
          <w:rFonts w:eastAsia="Calibri"/>
        </w:rPr>
        <w:t>:</w:t>
      </w:r>
    </w:p>
    <w:p w14:paraId="3088ECE4" w14:textId="77777777" w:rsidR="00C057F9" w:rsidRPr="006A5788" w:rsidRDefault="00C057F9" w:rsidP="00A937B7">
      <w:pPr>
        <w:pStyle w:val="SingleTxtG"/>
        <w:tabs>
          <w:tab w:val="left" w:pos="2268"/>
        </w:tabs>
        <w:ind w:left="2268" w:hanging="1134"/>
        <w:rPr>
          <w:lang w:val="fr-FR"/>
        </w:rPr>
      </w:pPr>
      <w:r w:rsidRPr="006A5788">
        <w:rPr>
          <w:lang w:val="fr-FR"/>
        </w:rPr>
        <w:t>« 5.15.4</w:t>
      </w:r>
      <w:r w:rsidRPr="006A5788">
        <w:rPr>
          <w:lang w:val="fr-FR"/>
        </w:rPr>
        <w:tab/>
        <w:t xml:space="preserve">Feu-stop, dispositif de la catégorie S3 tel que précisé dans le Règlement </w:t>
      </w:r>
      <w:r>
        <w:rPr>
          <w:lang w:val="fr-FR"/>
        </w:rPr>
        <w:t>ONU</w:t>
      </w:r>
      <w:r w:rsidRPr="006A5788">
        <w:rPr>
          <w:lang w:val="fr-FR"/>
        </w:rPr>
        <w:t xml:space="preserve"> </w:t>
      </w:r>
      <w:r w:rsidRPr="006A5788">
        <w:rPr>
          <w:rFonts w:eastAsia="MS Mincho"/>
          <w:lang w:val="fr-FR"/>
        </w:rPr>
        <w:t>n</w:t>
      </w:r>
      <w:r w:rsidRPr="006A5788">
        <w:rPr>
          <w:rFonts w:eastAsia="MS Mincho"/>
          <w:vertAlign w:val="superscript"/>
          <w:lang w:val="fr-FR"/>
        </w:rPr>
        <w:t>o</w:t>
      </w:r>
      <w:r w:rsidRPr="006A5788">
        <w:rPr>
          <w:rFonts w:eastAsia="MS Mincho"/>
          <w:lang w:val="fr-FR"/>
        </w:rPr>
        <w:t> </w:t>
      </w:r>
      <w:r w:rsidRPr="006A5788">
        <w:rPr>
          <w:lang w:val="fr-FR"/>
        </w:rPr>
        <w:t xml:space="preserve">7 (par. 6.4) ou </w:t>
      </w:r>
      <w:r>
        <w:rPr>
          <w:lang w:val="fr-FR"/>
        </w:rPr>
        <w:t>148</w:t>
      </w:r>
      <w:r w:rsidRPr="006A5788">
        <w:rPr>
          <w:lang w:val="fr-FR"/>
        </w:rPr>
        <w:t> ; ».</w:t>
      </w:r>
    </w:p>
    <w:p w14:paraId="0FF4B090" w14:textId="77777777" w:rsidR="00C057F9" w:rsidRPr="003C5131" w:rsidRDefault="00C057F9" w:rsidP="00A937B7">
      <w:pPr>
        <w:pStyle w:val="SingleTxtG"/>
        <w:rPr>
          <w:lang w:val="fr-FR"/>
        </w:rPr>
      </w:pPr>
      <w:r w:rsidRPr="003C5131">
        <w:rPr>
          <w:i/>
          <w:iCs/>
          <w:lang w:val="fr-FR"/>
        </w:rPr>
        <w:t>Paragraphe 5.9</w:t>
      </w:r>
      <w:r w:rsidRPr="003C5131">
        <w:rPr>
          <w:lang w:val="fr-FR"/>
        </w:rPr>
        <w:t xml:space="preserve">, </w:t>
      </w:r>
      <w:r w:rsidRPr="00A937B7">
        <w:rPr>
          <w:rFonts w:eastAsia="Calibri"/>
        </w:rPr>
        <w:t>lire</w:t>
      </w:r>
      <w:r>
        <w:rPr>
          <w:lang w:val="fr-FR"/>
        </w:rPr>
        <w:t> </w:t>
      </w:r>
      <w:r w:rsidRPr="003C5131">
        <w:rPr>
          <w:lang w:val="fr-FR"/>
        </w:rPr>
        <w:t>:</w:t>
      </w:r>
    </w:p>
    <w:p w14:paraId="39262D99" w14:textId="77777777" w:rsidR="00C057F9" w:rsidRPr="003C5131" w:rsidRDefault="00C057F9" w:rsidP="00A937B7">
      <w:pPr>
        <w:pStyle w:val="SingleTxtG"/>
        <w:tabs>
          <w:tab w:val="left" w:pos="2268"/>
        </w:tabs>
        <w:ind w:left="2268" w:hanging="1134"/>
        <w:rPr>
          <w:lang w:val="fr-FR"/>
        </w:rPr>
      </w:pPr>
      <w:r>
        <w:rPr>
          <w:lang w:val="fr-FR"/>
        </w:rPr>
        <w:t>« </w:t>
      </w:r>
      <w:r w:rsidRPr="003C5131">
        <w:rPr>
          <w:lang w:val="fr-FR"/>
        </w:rPr>
        <w:t>5.9</w:t>
      </w:r>
      <w:r w:rsidRPr="003C5131">
        <w:rPr>
          <w:lang w:val="fr-FR"/>
        </w:rPr>
        <w:tab/>
        <w:t>Aucune lumière rouge pouvant prêter à confusion ne doit être émise vers l</w:t>
      </w:r>
      <w:r>
        <w:rPr>
          <w:lang w:val="fr-FR"/>
        </w:rPr>
        <w:t>’</w:t>
      </w:r>
      <w:r w:rsidRPr="003C5131">
        <w:rPr>
          <w:lang w:val="fr-FR"/>
        </w:rPr>
        <w:t>avant par un f</w:t>
      </w:r>
      <w:r>
        <w:rPr>
          <w:lang w:val="fr-FR"/>
        </w:rPr>
        <w:t>eu tel que défini au paragraphe </w:t>
      </w:r>
      <w:r w:rsidRPr="003C5131">
        <w:rPr>
          <w:lang w:val="fr-FR"/>
        </w:rPr>
        <w:t>2.5 et aucune lumière blanche pouvant prêter à confusion ne doit être émise vers l</w:t>
      </w:r>
      <w:r>
        <w:rPr>
          <w:lang w:val="fr-FR"/>
        </w:rPr>
        <w:t>’</w:t>
      </w:r>
      <w:r w:rsidRPr="003C5131">
        <w:rPr>
          <w:lang w:val="fr-FR"/>
        </w:rPr>
        <w:t>arrière par un feu tel que défini au paragraphe</w:t>
      </w:r>
      <w:r>
        <w:rPr>
          <w:lang w:val="fr-FR"/>
        </w:rPr>
        <w:t> </w:t>
      </w:r>
      <w:r w:rsidRPr="003C5131">
        <w:rPr>
          <w:lang w:val="fr-FR"/>
        </w:rPr>
        <w:t>2.5. Il ne doit pas être tenu compte des dispositifs d</w:t>
      </w:r>
      <w:r>
        <w:rPr>
          <w:lang w:val="fr-FR"/>
        </w:rPr>
        <w:t>’</w:t>
      </w:r>
      <w:r w:rsidRPr="003C5131">
        <w:rPr>
          <w:lang w:val="fr-FR"/>
        </w:rPr>
        <w:t>éclairage installés à l</w:t>
      </w:r>
      <w:r>
        <w:rPr>
          <w:lang w:val="fr-FR"/>
        </w:rPr>
        <w:t>’</w:t>
      </w:r>
      <w:r w:rsidRPr="003C5131">
        <w:rPr>
          <w:lang w:val="fr-FR"/>
        </w:rPr>
        <w:t>intérieur du véhicule. En cas de doute, la conformité est vérifiée comme suit (voir dessin à l</w:t>
      </w:r>
      <w:r>
        <w:rPr>
          <w:lang w:val="fr-FR"/>
        </w:rPr>
        <w:t>’annexe 4)… ».</w:t>
      </w:r>
    </w:p>
    <w:p w14:paraId="08B023A6" w14:textId="77777777" w:rsidR="00C057F9" w:rsidRPr="003C5131" w:rsidRDefault="00C057F9" w:rsidP="00A937B7">
      <w:pPr>
        <w:pStyle w:val="SingleTxtG"/>
        <w:rPr>
          <w:lang w:val="fr-FR"/>
        </w:rPr>
      </w:pPr>
      <w:r w:rsidRPr="003C5131">
        <w:rPr>
          <w:i/>
          <w:iCs/>
          <w:lang w:val="fr-FR"/>
        </w:rPr>
        <w:t>Paragraphe 5.13</w:t>
      </w:r>
      <w:r w:rsidRPr="003C5131">
        <w:rPr>
          <w:lang w:val="fr-FR"/>
        </w:rPr>
        <w:t xml:space="preserve">, </w:t>
      </w:r>
      <w:r w:rsidRPr="00A937B7">
        <w:rPr>
          <w:rFonts w:eastAsia="Calibri"/>
        </w:rPr>
        <w:t>lire</w:t>
      </w:r>
      <w:r>
        <w:rPr>
          <w:lang w:val="fr-FR"/>
        </w:rPr>
        <w:t> </w:t>
      </w:r>
      <w:r w:rsidRPr="003C5131">
        <w:rPr>
          <w:lang w:val="fr-FR"/>
        </w:rPr>
        <w:t>:</w:t>
      </w:r>
    </w:p>
    <w:p w14:paraId="68543B58" w14:textId="77777777" w:rsidR="00C057F9" w:rsidRPr="003C5131" w:rsidRDefault="00C057F9" w:rsidP="00A937B7">
      <w:pPr>
        <w:pStyle w:val="SingleTxtG"/>
        <w:tabs>
          <w:tab w:val="left" w:pos="2268"/>
        </w:tabs>
        <w:ind w:left="2268" w:hanging="1134"/>
        <w:rPr>
          <w:lang w:val="fr-FR"/>
        </w:rPr>
      </w:pPr>
      <w:r>
        <w:rPr>
          <w:lang w:val="fr-FR"/>
        </w:rPr>
        <w:t>« </w:t>
      </w:r>
      <w:r w:rsidRPr="003C5131">
        <w:rPr>
          <w:lang w:val="fr-FR"/>
        </w:rPr>
        <w:t>5.13</w:t>
      </w:r>
      <w:r w:rsidRPr="003C5131">
        <w:rPr>
          <w:lang w:val="fr-FR"/>
        </w:rPr>
        <w:tab/>
        <w:t>Couleur des feux</w:t>
      </w:r>
    </w:p>
    <w:p w14:paraId="027586F9" w14:textId="77777777" w:rsidR="00C057F9" w:rsidRPr="003C5131" w:rsidRDefault="00C057F9" w:rsidP="00A937B7">
      <w:pPr>
        <w:pStyle w:val="SingleTxtG"/>
        <w:ind w:left="2268"/>
        <w:rPr>
          <w:lang w:val="fr-FR"/>
        </w:rPr>
      </w:pPr>
      <w:r w:rsidRPr="003C5131">
        <w:rPr>
          <w:lang w:val="fr-FR"/>
        </w:rPr>
        <w:t>…</w:t>
      </w:r>
    </w:p>
    <w:p w14:paraId="71C7B66D" w14:textId="77777777" w:rsidR="00C057F9" w:rsidRPr="003C5131" w:rsidRDefault="00C057F9" w:rsidP="00A937B7">
      <w:pPr>
        <w:pStyle w:val="SingleTxtG"/>
        <w:ind w:left="2268"/>
        <w:rPr>
          <w:lang w:val="fr-FR"/>
        </w:rPr>
      </w:pPr>
      <w:r w:rsidRPr="003C5131">
        <w:rPr>
          <w:lang w:val="fr-FR"/>
        </w:rPr>
        <w:t>Signal de freinage d</w:t>
      </w:r>
      <w:r>
        <w:rPr>
          <w:lang w:val="fr-FR"/>
        </w:rPr>
        <w:t>’urgence :</w:t>
      </w:r>
      <w:r w:rsidRPr="003C5131">
        <w:rPr>
          <w:lang w:val="fr-FR"/>
        </w:rPr>
        <w:tab/>
        <w:t>jaune-auto ou rouge</w:t>
      </w:r>
    </w:p>
    <w:p w14:paraId="15AE67BE" w14:textId="77777777" w:rsidR="00C057F9" w:rsidRPr="003C5131" w:rsidRDefault="00C057F9" w:rsidP="00A937B7">
      <w:pPr>
        <w:pStyle w:val="SingleTxtG"/>
        <w:ind w:left="2268"/>
        <w:rPr>
          <w:lang w:val="fr-FR"/>
        </w:rPr>
      </w:pPr>
      <w:r w:rsidRPr="003C5131">
        <w:rPr>
          <w:lang w:val="fr-FR"/>
        </w:rPr>
        <w:t>Feu d</w:t>
      </w:r>
      <w:r>
        <w:rPr>
          <w:lang w:val="fr-FR"/>
        </w:rPr>
        <w:t>’</w:t>
      </w:r>
      <w:r w:rsidRPr="003C5131">
        <w:rPr>
          <w:lang w:val="fr-FR"/>
        </w:rPr>
        <w:t>accès au véhicule</w:t>
      </w:r>
      <w:r>
        <w:rPr>
          <w:lang w:val="fr-FR"/>
        </w:rPr>
        <w:t> </w:t>
      </w:r>
      <w:r w:rsidRPr="003C5131">
        <w:rPr>
          <w:lang w:val="fr-FR"/>
        </w:rPr>
        <w:t>:</w:t>
      </w:r>
      <w:r w:rsidRPr="003C5131">
        <w:rPr>
          <w:lang w:val="fr-FR"/>
        </w:rPr>
        <w:tab/>
      </w:r>
      <w:r>
        <w:rPr>
          <w:lang w:val="fr-FR"/>
        </w:rPr>
        <w:tab/>
        <w:t>blanc. ».</w:t>
      </w:r>
    </w:p>
    <w:p w14:paraId="5ECE9D0B" w14:textId="77777777" w:rsidR="00C057F9" w:rsidRPr="003C5131" w:rsidRDefault="00C057F9" w:rsidP="00A937B7">
      <w:pPr>
        <w:pStyle w:val="SingleTxtG"/>
        <w:rPr>
          <w:lang w:val="fr-FR"/>
        </w:rPr>
      </w:pPr>
      <w:r w:rsidRPr="003C5131">
        <w:rPr>
          <w:i/>
          <w:iCs/>
          <w:lang w:val="fr-FR"/>
        </w:rPr>
        <w:t xml:space="preserve">Ajouter </w:t>
      </w:r>
      <w:r>
        <w:rPr>
          <w:i/>
          <w:iCs/>
          <w:lang w:val="fr-FR"/>
        </w:rPr>
        <w:t>le</w:t>
      </w:r>
      <w:r w:rsidRPr="003C5131">
        <w:rPr>
          <w:i/>
          <w:iCs/>
          <w:lang w:val="fr-FR"/>
        </w:rPr>
        <w:t xml:space="preserve"> nouveau paragraphe 5.15.6</w:t>
      </w:r>
      <w:r>
        <w:rPr>
          <w:lang w:val="fr-FR"/>
        </w:rPr>
        <w:t xml:space="preserve">, libellé </w:t>
      </w:r>
      <w:r w:rsidRPr="00A937B7">
        <w:rPr>
          <w:rFonts w:eastAsia="Calibri"/>
        </w:rPr>
        <w:t>comme</w:t>
      </w:r>
      <w:r>
        <w:rPr>
          <w:lang w:val="fr-FR"/>
        </w:rPr>
        <w:t xml:space="preserve"> suit </w:t>
      </w:r>
      <w:r w:rsidRPr="003C5131">
        <w:rPr>
          <w:lang w:val="fr-FR"/>
        </w:rPr>
        <w:t>:</w:t>
      </w:r>
    </w:p>
    <w:p w14:paraId="376B919A" w14:textId="77777777" w:rsidR="00C057F9" w:rsidRPr="003C5131" w:rsidRDefault="00C057F9" w:rsidP="00A937B7">
      <w:pPr>
        <w:pStyle w:val="SingleTxtG"/>
        <w:tabs>
          <w:tab w:val="left" w:pos="2268"/>
        </w:tabs>
        <w:ind w:left="2268" w:hanging="1134"/>
        <w:rPr>
          <w:lang w:val="fr-FR"/>
        </w:rPr>
      </w:pPr>
      <w:r>
        <w:rPr>
          <w:lang w:val="fr-FR"/>
        </w:rPr>
        <w:t>« 5.15.6</w:t>
      </w:r>
      <w:r w:rsidRPr="003C5131">
        <w:rPr>
          <w:lang w:val="fr-FR"/>
        </w:rPr>
        <w:tab/>
        <w:t xml:space="preserve">Feu </w:t>
      </w:r>
      <w:r>
        <w:rPr>
          <w:lang w:val="fr-FR"/>
        </w:rPr>
        <w:t>d’accès au véhicule (par. 6.15). ».</w:t>
      </w:r>
    </w:p>
    <w:p w14:paraId="34BD9C49" w14:textId="77777777" w:rsidR="00C057F9" w:rsidRPr="006A5788" w:rsidRDefault="00C057F9" w:rsidP="00A937B7">
      <w:pPr>
        <w:pStyle w:val="SingleTxtG"/>
        <w:rPr>
          <w:lang w:val="fr-FR"/>
        </w:rPr>
      </w:pPr>
      <w:r w:rsidRPr="006A5788">
        <w:rPr>
          <w:i/>
          <w:lang w:val="fr-FR"/>
        </w:rPr>
        <w:t>Paragraphe 6.1.1.1</w:t>
      </w:r>
      <w:r w:rsidRPr="006A5788">
        <w:rPr>
          <w:lang w:val="fr-FR"/>
        </w:rPr>
        <w:t>,</w:t>
      </w:r>
      <w:r w:rsidRPr="006A5788">
        <w:rPr>
          <w:i/>
          <w:lang w:val="fr-FR"/>
        </w:rPr>
        <w:t xml:space="preserve"> </w:t>
      </w:r>
      <w:r w:rsidRPr="00A937B7">
        <w:rPr>
          <w:rFonts w:eastAsia="Calibri"/>
        </w:rPr>
        <w:t>lire</w:t>
      </w:r>
      <w:r w:rsidRPr="006A5788">
        <w:rPr>
          <w:sz w:val="16"/>
          <w:lang w:val="fr-FR"/>
        </w:rPr>
        <w:t> </w:t>
      </w:r>
      <w:r w:rsidRPr="00687E17">
        <w:rPr>
          <w:lang w:val="fr-FR"/>
        </w:rPr>
        <w:t>:</w:t>
      </w:r>
    </w:p>
    <w:p w14:paraId="6921601A" w14:textId="77777777" w:rsidR="00C057F9" w:rsidRPr="006A5788" w:rsidRDefault="00C057F9" w:rsidP="00A937B7">
      <w:pPr>
        <w:pStyle w:val="SingleTxtG"/>
        <w:tabs>
          <w:tab w:val="left" w:pos="2268"/>
        </w:tabs>
        <w:ind w:left="2268" w:hanging="1134"/>
        <w:rPr>
          <w:lang w:val="fr-FR"/>
        </w:rPr>
      </w:pPr>
      <w:r w:rsidRPr="006A5788">
        <w:rPr>
          <w:lang w:val="fr-FR"/>
        </w:rPr>
        <w:t>« 6.1.1.1</w:t>
      </w:r>
      <w:r w:rsidRPr="006A5788">
        <w:rPr>
          <w:lang w:val="fr-FR"/>
        </w:rPr>
        <w:tab/>
        <w:t>Pour les motocycles d</w:t>
      </w:r>
      <w:r>
        <w:rPr>
          <w:lang w:val="fr-FR"/>
        </w:rPr>
        <w:t>’une cylindrée ≤ </w:t>
      </w:r>
      <w:r w:rsidRPr="006A5788">
        <w:rPr>
          <w:lang w:val="fr-FR"/>
        </w:rPr>
        <w:t>125 cm</w:t>
      </w:r>
      <w:r w:rsidRPr="006A5788">
        <w:rPr>
          <w:vertAlign w:val="superscript"/>
          <w:lang w:val="fr-FR"/>
        </w:rPr>
        <w:t>3</w:t>
      </w:r>
    </w:p>
    <w:p w14:paraId="4070BF81" w14:textId="77777777" w:rsidR="00C057F9" w:rsidRPr="006A5788" w:rsidRDefault="00C057F9" w:rsidP="00A937B7">
      <w:pPr>
        <w:pStyle w:val="SingleTxtG"/>
        <w:ind w:left="2268"/>
        <w:rPr>
          <w:iCs/>
          <w:kern w:val="2"/>
          <w:lang w:val="fr-FR" w:eastAsia="ja-JP"/>
        </w:rPr>
      </w:pPr>
      <w:r w:rsidRPr="006A5788">
        <w:rPr>
          <w:iCs/>
          <w:kern w:val="2"/>
          <w:lang w:val="fr-FR" w:eastAsia="ja-JP"/>
        </w:rPr>
        <w:t>…</w:t>
      </w:r>
    </w:p>
    <w:p w14:paraId="406F8D95" w14:textId="77777777" w:rsidR="00C057F9" w:rsidRPr="006A5788" w:rsidRDefault="00C057F9" w:rsidP="00A937B7">
      <w:pPr>
        <w:pStyle w:val="SingleTxtG"/>
        <w:ind w:left="2268"/>
        <w:rPr>
          <w:lang w:val="fr-FR"/>
        </w:rPr>
      </w:pPr>
      <w:r w:rsidRPr="006A5788">
        <w:rPr>
          <w:lang w:val="fr-FR"/>
        </w:rPr>
        <w:tab/>
        <w:t>i)</w:t>
      </w:r>
      <w:r w:rsidRPr="006A5788">
        <w:rPr>
          <w:lang w:val="fr-FR"/>
        </w:rPr>
        <w:tab/>
      </w:r>
      <w:r>
        <w:rPr>
          <w:lang w:val="fr-FR"/>
        </w:rPr>
        <w:t>La c</w:t>
      </w:r>
      <w:r w:rsidRPr="006A5788">
        <w:rPr>
          <w:lang w:val="fr-FR"/>
        </w:rPr>
        <w:t xml:space="preserve">lasse </w:t>
      </w:r>
      <w:r>
        <w:rPr>
          <w:lang w:val="fr-FR"/>
        </w:rPr>
        <w:t>A, B, D, BS, CS, DS ou ES</w:t>
      </w:r>
      <w:r w:rsidRPr="006A5788">
        <w:rPr>
          <w:lang w:val="fr-FR"/>
        </w:rPr>
        <w:t xml:space="preserve"> du Règlement </w:t>
      </w:r>
      <w:r>
        <w:rPr>
          <w:lang w:val="fr-FR"/>
        </w:rPr>
        <w:t xml:space="preserve">ONU </w:t>
      </w:r>
      <w:r w:rsidRPr="006A5788">
        <w:rPr>
          <w:lang w:val="fr-FR"/>
        </w:rPr>
        <w:t>n</w:t>
      </w:r>
      <w:r w:rsidRPr="006A5788">
        <w:rPr>
          <w:vertAlign w:val="superscript"/>
          <w:lang w:val="fr-FR"/>
        </w:rPr>
        <w:t>o</w:t>
      </w:r>
      <w:r w:rsidRPr="006A5788">
        <w:rPr>
          <w:lang w:val="fr-FR"/>
        </w:rPr>
        <w:t> </w:t>
      </w:r>
      <w:r>
        <w:rPr>
          <w:lang w:val="fr-FR"/>
        </w:rPr>
        <w:t>149</w:t>
      </w:r>
      <w:r w:rsidRPr="006A5788">
        <w:rPr>
          <w:lang w:val="fr-FR"/>
        </w:rPr>
        <w:t>. ».</w:t>
      </w:r>
    </w:p>
    <w:p w14:paraId="12975F2E" w14:textId="77777777" w:rsidR="00C057F9" w:rsidRPr="006A5788" w:rsidRDefault="00C057F9" w:rsidP="00C70FB6">
      <w:pPr>
        <w:pStyle w:val="SingleTxtG"/>
        <w:keepNext/>
        <w:keepLines/>
        <w:rPr>
          <w:iCs/>
          <w:kern w:val="2"/>
          <w:lang w:val="fr-FR" w:eastAsia="ja-JP"/>
        </w:rPr>
      </w:pPr>
      <w:bookmarkStart w:id="0" w:name="_Hlk516989817"/>
      <w:r w:rsidRPr="006A5788">
        <w:rPr>
          <w:i/>
          <w:iCs/>
          <w:kern w:val="2"/>
          <w:lang w:val="fr-FR" w:eastAsia="ja-JP"/>
        </w:rPr>
        <w:lastRenderedPageBreak/>
        <w:t xml:space="preserve">Paragraphe 6.1.1.2, </w:t>
      </w:r>
      <w:r w:rsidRPr="00A937B7">
        <w:rPr>
          <w:rFonts w:eastAsia="Calibri"/>
        </w:rPr>
        <w:t>lire</w:t>
      </w:r>
      <w:r w:rsidRPr="006A5788">
        <w:rPr>
          <w:iCs/>
          <w:kern w:val="2"/>
          <w:lang w:val="fr-FR" w:eastAsia="ja-JP"/>
        </w:rPr>
        <w:t> :</w:t>
      </w:r>
    </w:p>
    <w:p w14:paraId="542B1737" w14:textId="77777777" w:rsidR="00C057F9" w:rsidRPr="006A5788" w:rsidRDefault="00C057F9" w:rsidP="00C70FB6">
      <w:pPr>
        <w:pStyle w:val="SingleTxtG"/>
        <w:keepNext/>
        <w:keepLines/>
        <w:tabs>
          <w:tab w:val="left" w:pos="2268"/>
        </w:tabs>
        <w:ind w:left="2268" w:hanging="1134"/>
        <w:rPr>
          <w:lang w:val="fr-FR"/>
        </w:rPr>
      </w:pPr>
      <w:r w:rsidRPr="006A5788">
        <w:rPr>
          <w:lang w:val="fr-FR"/>
        </w:rPr>
        <w:t>« 6.1.1.2</w:t>
      </w:r>
      <w:r w:rsidRPr="006A5788">
        <w:rPr>
          <w:lang w:val="fr-FR"/>
        </w:rPr>
        <w:tab/>
        <w:t>Pour les motocycles d</w:t>
      </w:r>
      <w:r>
        <w:rPr>
          <w:lang w:val="fr-FR"/>
        </w:rPr>
        <w:t>’une cylindrée &gt; </w:t>
      </w:r>
      <w:r w:rsidRPr="006A5788">
        <w:rPr>
          <w:lang w:val="fr-FR"/>
        </w:rPr>
        <w:t>125 cm</w:t>
      </w:r>
      <w:r w:rsidRPr="006A5788">
        <w:rPr>
          <w:vertAlign w:val="superscript"/>
          <w:lang w:val="fr-FR"/>
        </w:rPr>
        <w:t>3</w:t>
      </w:r>
    </w:p>
    <w:p w14:paraId="142678F7" w14:textId="77777777" w:rsidR="00C057F9" w:rsidRPr="006A5788" w:rsidRDefault="00C057F9" w:rsidP="00C70FB6">
      <w:pPr>
        <w:pStyle w:val="SingleTxtG"/>
        <w:keepNext/>
        <w:keepLines/>
        <w:ind w:left="2268"/>
        <w:rPr>
          <w:iCs/>
          <w:kern w:val="2"/>
          <w:lang w:val="fr-FR" w:eastAsia="ja-JP"/>
        </w:rPr>
      </w:pPr>
      <w:r w:rsidRPr="006A5788">
        <w:rPr>
          <w:iCs/>
          <w:kern w:val="2"/>
          <w:lang w:val="fr-FR" w:eastAsia="ja-JP"/>
        </w:rPr>
        <w:t>…</w:t>
      </w:r>
    </w:p>
    <w:p w14:paraId="22FB695C" w14:textId="77777777" w:rsidR="00C057F9" w:rsidRPr="006A5788" w:rsidRDefault="00C057F9" w:rsidP="00C70FB6">
      <w:pPr>
        <w:pStyle w:val="SingleTxtG"/>
        <w:keepNext/>
        <w:keepLines/>
        <w:ind w:left="2268"/>
        <w:rPr>
          <w:lang w:val="fr-FR"/>
        </w:rPr>
      </w:pPr>
      <w:r w:rsidRPr="006A5788">
        <w:rPr>
          <w:lang w:val="fr-FR"/>
        </w:rPr>
        <w:t>h)</w:t>
      </w:r>
      <w:r w:rsidRPr="006A5788">
        <w:rPr>
          <w:lang w:val="fr-FR"/>
        </w:rPr>
        <w:tab/>
        <w:t xml:space="preserve">La classe A, B, D, </w:t>
      </w:r>
      <w:r>
        <w:rPr>
          <w:lang w:val="fr-FR"/>
        </w:rPr>
        <w:t xml:space="preserve">BS, </w:t>
      </w:r>
      <w:r w:rsidRPr="006A5788">
        <w:rPr>
          <w:lang w:val="fr-FR"/>
        </w:rPr>
        <w:t>DS ou ES du Règlement ONU n</w:t>
      </w:r>
      <w:r w:rsidRPr="006A5788">
        <w:rPr>
          <w:vertAlign w:val="superscript"/>
          <w:lang w:val="fr-FR"/>
        </w:rPr>
        <w:t>o</w:t>
      </w:r>
      <w:r w:rsidRPr="006A5788">
        <w:rPr>
          <w:lang w:val="fr-FR"/>
        </w:rPr>
        <w:t> </w:t>
      </w:r>
      <w:r>
        <w:rPr>
          <w:lang w:val="fr-FR"/>
        </w:rPr>
        <w:t>149</w:t>
      </w:r>
      <w:r w:rsidRPr="006A5788">
        <w:rPr>
          <w:lang w:val="fr-FR"/>
        </w:rPr>
        <w:t>.</w:t>
      </w:r>
    </w:p>
    <w:p w14:paraId="2205A8CB" w14:textId="77777777" w:rsidR="00C057F9" w:rsidRPr="006A5788" w:rsidRDefault="00C057F9" w:rsidP="00A937B7">
      <w:pPr>
        <w:pStyle w:val="SingleTxtG"/>
        <w:ind w:left="2268"/>
        <w:rPr>
          <w:iCs/>
          <w:kern w:val="2"/>
          <w:lang w:val="fr-FR" w:eastAsia="ja-JP"/>
        </w:rPr>
      </w:pPr>
      <w:r w:rsidRPr="006A5788">
        <w:rPr>
          <w:iCs/>
          <w:kern w:val="2"/>
          <w:lang w:val="fr-FR" w:eastAsia="ja-JP"/>
        </w:rPr>
        <w:t>… ».</w:t>
      </w:r>
    </w:p>
    <w:bookmarkEnd w:id="0"/>
    <w:p w14:paraId="4E293A54" w14:textId="77777777" w:rsidR="00C057F9" w:rsidRPr="006A5788" w:rsidRDefault="00C057F9" w:rsidP="00A937B7">
      <w:pPr>
        <w:pStyle w:val="SingleTxtG"/>
        <w:rPr>
          <w:iCs/>
          <w:kern w:val="2"/>
          <w:lang w:val="fr-FR" w:eastAsia="ja-JP"/>
        </w:rPr>
      </w:pPr>
      <w:r w:rsidRPr="006A5788">
        <w:rPr>
          <w:i/>
          <w:iCs/>
          <w:kern w:val="2"/>
          <w:lang w:val="fr-FR" w:eastAsia="ja-JP"/>
        </w:rPr>
        <w:t xml:space="preserve">Paragraphe 6.2.1.1, </w:t>
      </w:r>
      <w:r w:rsidRPr="00A937B7">
        <w:rPr>
          <w:rFonts w:eastAsia="Calibri"/>
        </w:rPr>
        <w:t>lire</w:t>
      </w:r>
      <w:r w:rsidRPr="006A5788">
        <w:rPr>
          <w:iCs/>
          <w:kern w:val="2"/>
          <w:lang w:val="fr-FR" w:eastAsia="ja-JP"/>
        </w:rPr>
        <w:t> :</w:t>
      </w:r>
    </w:p>
    <w:p w14:paraId="1EAF8667" w14:textId="77777777" w:rsidR="00C057F9" w:rsidRPr="006A5788" w:rsidRDefault="00C057F9" w:rsidP="00A937B7">
      <w:pPr>
        <w:pStyle w:val="SingleTxtG"/>
        <w:tabs>
          <w:tab w:val="left" w:pos="2268"/>
        </w:tabs>
        <w:ind w:left="2268" w:hanging="1134"/>
        <w:rPr>
          <w:iCs/>
          <w:kern w:val="2"/>
          <w:lang w:val="fr-FR" w:eastAsia="ja-JP"/>
        </w:rPr>
      </w:pPr>
      <w:r w:rsidRPr="006A5788">
        <w:rPr>
          <w:iCs/>
          <w:kern w:val="2"/>
          <w:lang w:val="fr-FR" w:eastAsia="ja-JP"/>
        </w:rPr>
        <w:t>« 6.2.1.1</w:t>
      </w:r>
      <w:r w:rsidRPr="006A5788">
        <w:rPr>
          <w:iCs/>
          <w:kern w:val="2"/>
          <w:lang w:val="fr-FR" w:eastAsia="ja-JP"/>
        </w:rPr>
        <w:tab/>
      </w:r>
      <w:r w:rsidRPr="006A5788">
        <w:rPr>
          <w:lang w:val="fr-FR"/>
        </w:rPr>
        <w:t>Pour les motocycles d</w:t>
      </w:r>
      <w:r>
        <w:rPr>
          <w:lang w:val="fr-FR"/>
        </w:rPr>
        <w:t>’une cylindrée ≤ </w:t>
      </w:r>
      <w:r w:rsidRPr="006A5788">
        <w:rPr>
          <w:lang w:val="fr-FR"/>
        </w:rPr>
        <w:t>125 cm</w:t>
      </w:r>
      <w:r w:rsidRPr="006A5788">
        <w:rPr>
          <w:vertAlign w:val="superscript"/>
          <w:lang w:val="fr-FR"/>
        </w:rPr>
        <w:t>3</w:t>
      </w:r>
    </w:p>
    <w:p w14:paraId="4EC3E7BF" w14:textId="77777777" w:rsidR="00C057F9" w:rsidRPr="006A5788" w:rsidRDefault="00C057F9" w:rsidP="00A937B7">
      <w:pPr>
        <w:pStyle w:val="SingleTxtG"/>
        <w:ind w:left="2268"/>
        <w:rPr>
          <w:iCs/>
          <w:kern w:val="2"/>
          <w:lang w:val="fr-FR" w:eastAsia="ja-JP"/>
        </w:rPr>
      </w:pPr>
      <w:r w:rsidRPr="006A5788">
        <w:rPr>
          <w:iCs/>
          <w:kern w:val="2"/>
          <w:lang w:val="fr-FR" w:eastAsia="ja-JP"/>
        </w:rPr>
        <w:t>…</w:t>
      </w:r>
    </w:p>
    <w:p w14:paraId="4C9E6B6B" w14:textId="77777777" w:rsidR="00C057F9" w:rsidRPr="006A5788" w:rsidRDefault="00C057F9" w:rsidP="00A937B7">
      <w:pPr>
        <w:pStyle w:val="SingleTxtG"/>
        <w:ind w:left="2268"/>
        <w:rPr>
          <w:lang w:val="fr-FR"/>
        </w:rPr>
      </w:pPr>
      <w:r w:rsidRPr="006A5788">
        <w:rPr>
          <w:lang w:val="fr-FR"/>
        </w:rPr>
        <w:t>i)</w:t>
      </w:r>
      <w:r w:rsidRPr="006A5788">
        <w:rPr>
          <w:lang w:val="fr-FR"/>
        </w:rPr>
        <w:tab/>
        <w:t xml:space="preserve">La classe A, B, D, </w:t>
      </w:r>
      <w:r>
        <w:rPr>
          <w:lang w:val="fr-FR"/>
        </w:rPr>
        <w:t xml:space="preserve">BS, </w:t>
      </w:r>
      <w:r w:rsidRPr="006A5788">
        <w:rPr>
          <w:lang w:val="fr-FR"/>
        </w:rPr>
        <w:t xml:space="preserve">CS, DS ou ES du Règlement </w:t>
      </w:r>
      <w:r w:rsidRPr="00A937B7">
        <w:rPr>
          <w:iCs/>
          <w:kern w:val="2"/>
          <w:lang w:val="fr-FR" w:eastAsia="ja-JP"/>
        </w:rPr>
        <w:t>ONU</w:t>
      </w:r>
      <w:r>
        <w:rPr>
          <w:lang w:val="fr-FR"/>
        </w:rPr>
        <w:t xml:space="preserve"> </w:t>
      </w:r>
      <w:r w:rsidRPr="006A5788">
        <w:rPr>
          <w:lang w:val="fr-FR"/>
        </w:rPr>
        <w:t>n</w:t>
      </w:r>
      <w:r w:rsidRPr="006A5788">
        <w:rPr>
          <w:vertAlign w:val="superscript"/>
          <w:lang w:val="fr-FR"/>
        </w:rPr>
        <w:t>o</w:t>
      </w:r>
      <w:r w:rsidRPr="006A5788">
        <w:rPr>
          <w:lang w:val="fr-FR"/>
        </w:rPr>
        <w:t> </w:t>
      </w:r>
      <w:r>
        <w:rPr>
          <w:lang w:val="fr-FR"/>
        </w:rPr>
        <w:t>149</w:t>
      </w:r>
      <w:r w:rsidRPr="006A5788">
        <w:rPr>
          <w:lang w:val="fr-FR"/>
        </w:rPr>
        <w:t>. ».</w:t>
      </w:r>
    </w:p>
    <w:p w14:paraId="748BCA53" w14:textId="77777777" w:rsidR="00C057F9" w:rsidRPr="00304A39" w:rsidRDefault="00C057F9" w:rsidP="00A937B7">
      <w:pPr>
        <w:pStyle w:val="SingleTxtG"/>
        <w:rPr>
          <w:lang w:val="fr-FR"/>
        </w:rPr>
      </w:pPr>
      <w:r w:rsidRPr="00304A39">
        <w:rPr>
          <w:i/>
          <w:lang w:val="fr-FR"/>
        </w:rPr>
        <w:t>Paragraphe 6.2.1.2</w:t>
      </w:r>
      <w:r w:rsidRPr="00304A39">
        <w:rPr>
          <w:lang w:val="fr-FR"/>
        </w:rPr>
        <w:t xml:space="preserve">, </w:t>
      </w:r>
      <w:r w:rsidRPr="00A937B7">
        <w:rPr>
          <w:rFonts w:eastAsia="Calibri"/>
        </w:rPr>
        <w:t>lire</w:t>
      </w:r>
      <w:r w:rsidRPr="00304A39">
        <w:rPr>
          <w:lang w:val="fr-FR"/>
        </w:rPr>
        <w:t> :</w:t>
      </w:r>
    </w:p>
    <w:p w14:paraId="31DDC5EB" w14:textId="77777777" w:rsidR="00C057F9" w:rsidRPr="00304A39" w:rsidRDefault="00C057F9" w:rsidP="00A937B7">
      <w:pPr>
        <w:pStyle w:val="SingleTxtG"/>
        <w:tabs>
          <w:tab w:val="left" w:pos="2268"/>
        </w:tabs>
        <w:ind w:left="2268" w:hanging="1134"/>
        <w:rPr>
          <w:vertAlign w:val="superscript"/>
          <w:lang w:val="fr-FR"/>
        </w:rPr>
      </w:pPr>
      <w:r w:rsidRPr="00304A39">
        <w:rPr>
          <w:lang w:val="fr-FR"/>
        </w:rPr>
        <w:t>« 6.2.1.2</w:t>
      </w:r>
      <w:r w:rsidRPr="00304A39">
        <w:rPr>
          <w:lang w:val="fr-FR"/>
        </w:rPr>
        <w:tab/>
        <w:t>Pour les motocycles d</w:t>
      </w:r>
      <w:r>
        <w:rPr>
          <w:lang w:val="fr-FR"/>
        </w:rPr>
        <w:t>’</w:t>
      </w:r>
      <w:r w:rsidRPr="00304A39">
        <w:rPr>
          <w:lang w:val="fr-FR"/>
        </w:rPr>
        <w:t>une cylindrée &gt;</w:t>
      </w:r>
      <w:r>
        <w:rPr>
          <w:lang w:val="fr-FR"/>
        </w:rPr>
        <w:t> </w:t>
      </w:r>
      <w:r w:rsidRPr="00304A39">
        <w:rPr>
          <w:lang w:val="fr-FR"/>
        </w:rPr>
        <w:t>125 cm</w:t>
      </w:r>
      <w:r w:rsidRPr="00304A39">
        <w:rPr>
          <w:vertAlign w:val="superscript"/>
          <w:lang w:val="fr-FR"/>
        </w:rPr>
        <w:t>3</w:t>
      </w:r>
    </w:p>
    <w:p w14:paraId="23FE9447" w14:textId="77777777" w:rsidR="00C057F9" w:rsidRPr="00304A39" w:rsidRDefault="00C057F9" w:rsidP="00A937B7">
      <w:pPr>
        <w:pStyle w:val="SingleTxtG"/>
        <w:ind w:left="2268"/>
        <w:rPr>
          <w:lang w:val="fr-FR"/>
        </w:rPr>
      </w:pPr>
      <w:r w:rsidRPr="00304A39">
        <w:rPr>
          <w:lang w:val="fr-FR"/>
        </w:rPr>
        <w:t>Un ou deux du type homologué selon :</w:t>
      </w:r>
    </w:p>
    <w:p w14:paraId="788B1B57" w14:textId="77777777" w:rsidR="00C057F9" w:rsidRPr="00304A39" w:rsidRDefault="00C057F9" w:rsidP="00A937B7">
      <w:pPr>
        <w:pStyle w:val="SingleTxtG"/>
        <w:ind w:left="2268"/>
        <w:rPr>
          <w:lang w:val="fr-FR"/>
        </w:rPr>
      </w:pPr>
      <w:r w:rsidRPr="00304A39">
        <w:rPr>
          <w:bCs/>
          <w:lang w:val="fr-FR"/>
        </w:rPr>
        <w:t>a)</w:t>
      </w:r>
      <w:r w:rsidRPr="00304A39">
        <w:rPr>
          <w:lang w:val="fr-FR"/>
        </w:rPr>
        <w:tab/>
        <w:t>La classe </w:t>
      </w:r>
      <w:r>
        <w:rPr>
          <w:lang w:val="fr-FR"/>
        </w:rPr>
        <w:t xml:space="preserve">B, </w:t>
      </w:r>
      <w:r w:rsidRPr="00304A39">
        <w:rPr>
          <w:lang w:val="fr-FR"/>
        </w:rPr>
        <w:t xml:space="preserve">D </w:t>
      </w:r>
      <w:r w:rsidRPr="00304A39">
        <w:rPr>
          <w:bCs/>
          <w:lang w:val="fr-FR"/>
        </w:rPr>
        <w:t>ou E</w:t>
      </w:r>
      <w:r w:rsidRPr="00304A39">
        <w:rPr>
          <w:lang w:val="fr-FR"/>
        </w:rPr>
        <w:t xml:space="preserve"> du </w:t>
      </w:r>
      <w:r w:rsidRPr="00A937B7">
        <w:rPr>
          <w:iCs/>
          <w:kern w:val="2"/>
          <w:lang w:val="fr-FR" w:eastAsia="ja-JP"/>
        </w:rPr>
        <w:t>Règlement</w:t>
      </w:r>
      <w:r w:rsidRPr="00304A39">
        <w:rPr>
          <w:lang w:val="fr-FR"/>
        </w:rPr>
        <w:t xml:space="preserve"> </w:t>
      </w:r>
      <w:r>
        <w:rPr>
          <w:lang w:val="fr-FR"/>
        </w:rPr>
        <w:t xml:space="preserve">ONU </w:t>
      </w:r>
      <w:r w:rsidRPr="00304A39">
        <w:rPr>
          <w:lang w:val="fr-FR"/>
        </w:rPr>
        <w:t>n</w:t>
      </w:r>
      <w:r w:rsidRPr="00304A39">
        <w:rPr>
          <w:vertAlign w:val="superscript"/>
          <w:lang w:val="fr-FR"/>
        </w:rPr>
        <w:t>o</w:t>
      </w:r>
      <w:r w:rsidRPr="00304A39">
        <w:rPr>
          <w:lang w:val="fr-FR"/>
        </w:rPr>
        <w:t> 113 ;</w:t>
      </w:r>
    </w:p>
    <w:p w14:paraId="0BA4D79D" w14:textId="77777777" w:rsidR="00C057F9" w:rsidRPr="00304A39" w:rsidRDefault="00C057F9" w:rsidP="00A937B7">
      <w:pPr>
        <w:pStyle w:val="SingleTxtG"/>
        <w:ind w:left="2268"/>
        <w:rPr>
          <w:lang w:val="fr-FR"/>
        </w:rPr>
      </w:pPr>
      <w:r w:rsidRPr="00304A39">
        <w:rPr>
          <w:lang w:val="fr-FR"/>
        </w:rPr>
        <w:t>b)</w:t>
      </w:r>
      <w:r w:rsidRPr="00304A39">
        <w:rPr>
          <w:lang w:val="fr-FR"/>
        </w:rPr>
        <w:tab/>
        <w:t xml:space="preserve">Le </w:t>
      </w:r>
      <w:r w:rsidRPr="00A937B7">
        <w:rPr>
          <w:iCs/>
          <w:kern w:val="2"/>
          <w:lang w:val="fr-FR" w:eastAsia="ja-JP"/>
        </w:rPr>
        <w:t>Règlement</w:t>
      </w:r>
      <w:r>
        <w:rPr>
          <w:lang w:val="fr-FR"/>
        </w:rPr>
        <w:t xml:space="preserve"> ONU</w:t>
      </w:r>
      <w:r w:rsidRPr="00304A39">
        <w:rPr>
          <w:lang w:val="fr-FR"/>
        </w:rPr>
        <w:t xml:space="preserve"> n</w:t>
      </w:r>
      <w:r w:rsidRPr="00304A39">
        <w:rPr>
          <w:vertAlign w:val="superscript"/>
          <w:lang w:val="fr-FR"/>
        </w:rPr>
        <w:t>o</w:t>
      </w:r>
      <w:r w:rsidRPr="00304A39">
        <w:rPr>
          <w:lang w:val="fr-FR"/>
        </w:rPr>
        <w:t> 112 ;</w:t>
      </w:r>
    </w:p>
    <w:p w14:paraId="4DF05104" w14:textId="77777777" w:rsidR="00C057F9" w:rsidRPr="00304A39" w:rsidRDefault="00C057F9" w:rsidP="00A937B7">
      <w:pPr>
        <w:pStyle w:val="SingleTxtG"/>
        <w:ind w:left="2268"/>
        <w:rPr>
          <w:lang w:val="fr-FR"/>
        </w:rPr>
      </w:pPr>
      <w:r w:rsidRPr="00304A39">
        <w:rPr>
          <w:lang w:val="fr-FR"/>
        </w:rPr>
        <w:t>c)</w:t>
      </w:r>
      <w:r w:rsidRPr="00304A39">
        <w:rPr>
          <w:lang w:val="fr-FR"/>
        </w:rPr>
        <w:tab/>
        <w:t xml:space="preserve">Le </w:t>
      </w:r>
      <w:r w:rsidRPr="00A937B7">
        <w:rPr>
          <w:iCs/>
          <w:kern w:val="2"/>
          <w:lang w:val="fr-FR" w:eastAsia="ja-JP"/>
        </w:rPr>
        <w:t>Règlement</w:t>
      </w:r>
      <w:r>
        <w:rPr>
          <w:lang w:val="fr-FR"/>
        </w:rPr>
        <w:t xml:space="preserve"> ONU</w:t>
      </w:r>
      <w:r w:rsidRPr="00304A39">
        <w:rPr>
          <w:lang w:val="fr-FR"/>
        </w:rPr>
        <w:t xml:space="preserve"> n</w:t>
      </w:r>
      <w:r w:rsidRPr="00304A39">
        <w:rPr>
          <w:vertAlign w:val="superscript"/>
          <w:lang w:val="fr-FR"/>
        </w:rPr>
        <w:t>o</w:t>
      </w:r>
      <w:r w:rsidRPr="00304A39">
        <w:rPr>
          <w:lang w:val="fr-FR"/>
        </w:rPr>
        <w:t> 1 ;</w:t>
      </w:r>
    </w:p>
    <w:p w14:paraId="1760DC06" w14:textId="77777777" w:rsidR="00C057F9" w:rsidRPr="00304A39" w:rsidRDefault="00C057F9" w:rsidP="00A937B7">
      <w:pPr>
        <w:pStyle w:val="SingleTxtG"/>
        <w:ind w:left="2268"/>
        <w:rPr>
          <w:lang w:val="fr-FR"/>
        </w:rPr>
      </w:pPr>
      <w:r w:rsidRPr="00304A39">
        <w:rPr>
          <w:lang w:val="fr-FR"/>
        </w:rPr>
        <w:t>d)</w:t>
      </w:r>
      <w:r w:rsidRPr="00304A39">
        <w:rPr>
          <w:lang w:val="fr-FR"/>
        </w:rPr>
        <w:tab/>
        <w:t xml:space="preserve">Le </w:t>
      </w:r>
      <w:r w:rsidRPr="00A937B7">
        <w:rPr>
          <w:iCs/>
          <w:kern w:val="2"/>
          <w:lang w:val="fr-FR" w:eastAsia="ja-JP"/>
        </w:rPr>
        <w:t>Règlement</w:t>
      </w:r>
      <w:r>
        <w:rPr>
          <w:lang w:val="fr-FR"/>
        </w:rPr>
        <w:t xml:space="preserve"> ONU</w:t>
      </w:r>
      <w:r w:rsidRPr="00304A39">
        <w:rPr>
          <w:lang w:val="fr-FR"/>
        </w:rPr>
        <w:t xml:space="preserve"> n</w:t>
      </w:r>
      <w:r w:rsidRPr="00304A39">
        <w:rPr>
          <w:vertAlign w:val="superscript"/>
          <w:lang w:val="fr-FR"/>
        </w:rPr>
        <w:t>o</w:t>
      </w:r>
      <w:r w:rsidRPr="00304A39">
        <w:rPr>
          <w:lang w:val="fr-FR"/>
        </w:rPr>
        <w:t> 8 ;</w:t>
      </w:r>
    </w:p>
    <w:p w14:paraId="79E59649" w14:textId="77777777" w:rsidR="00C057F9" w:rsidRPr="00304A39" w:rsidRDefault="00C057F9" w:rsidP="00A937B7">
      <w:pPr>
        <w:pStyle w:val="SingleTxtG"/>
        <w:ind w:left="2268"/>
        <w:rPr>
          <w:lang w:val="fr-FR"/>
        </w:rPr>
      </w:pPr>
      <w:r w:rsidRPr="00304A39">
        <w:rPr>
          <w:lang w:val="fr-FR"/>
        </w:rPr>
        <w:t>e)</w:t>
      </w:r>
      <w:r w:rsidRPr="00304A39">
        <w:rPr>
          <w:lang w:val="fr-FR"/>
        </w:rPr>
        <w:tab/>
        <w:t>Le Règlement</w:t>
      </w:r>
      <w:r>
        <w:rPr>
          <w:lang w:val="fr-FR"/>
        </w:rPr>
        <w:t xml:space="preserve"> ONU</w:t>
      </w:r>
      <w:r w:rsidRPr="00304A39">
        <w:rPr>
          <w:lang w:val="fr-FR"/>
        </w:rPr>
        <w:t xml:space="preserve"> n</w:t>
      </w:r>
      <w:r w:rsidRPr="00304A39">
        <w:rPr>
          <w:vertAlign w:val="superscript"/>
          <w:lang w:val="fr-FR"/>
        </w:rPr>
        <w:t>o</w:t>
      </w:r>
      <w:r w:rsidRPr="00304A39">
        <w:rPr>
          <w:lang w:val="fr-FR"/>
        </w:rPr>
        <w:t> 20 ;</w:t>
      </w:r>
    </w:p>
    <w:p w14:paraId="77C372FD" w14:textId="77777777" w:rsidR="00C057F9" w:rsidRPr="00304A39" w:rsidRDefault="00C057F9" w:rsidP="00A937B7">
      <w:pPr>
        <w:pStyle w:val="SingleTxtG"/>
        <w:ind w:left="2268"/>
        <w:rPr>
          <w:lang w:val="fr-FR"/>
        </w:rPr>
      </w:pPr>
      <w:r w:rsidRPr="00304A39">
        <w:rPr>
          <w:lang w:val="fr-FR"/>
        </w:rPr>
        <w:t>f)</w:t>
      </w:r>
      <w:r w:rsidRPr="00304A39">
        <w:rPr>
          <w:lang w:val="fr-FR"/>
        </w:rPr>
        <w:tab/>
        <w:t>Le Règlement</w:t>
      </w:r>
      <w:r>
        <w:rPr>
          <w:lang w:val="fr-FR"/>
        </w:rPr>
        <w:t xml:space="preserve"> ONU</w:t>
      </w:r>
      <w:r w:rsidRPr="00304A39">
        <w:rPr>
          <w:lang w:val="fr-FR"/>
        </w:rPr>
        <w:t xml:space="preserve"> n</w:t>
      </w:r>
      <w:r w:rsidRPr="00304A39">
        <w:rPr>
          <w:vertAlign w:val="superscript"/>
          <w:lang w:val="fr-FR"/>
        </w:rPr>
        <w:t>o</w:t>
      </w:r>
      <w:r w:rsidRPr="00304A39">
        <w:rPr>
          <w:lang w:val="fr-FR"/>
        </w:rPr>
        <w:t> 72 ;</w:t>
      </w:r>
    </w:p>
    <w:p w14:paraId="201F5982" w14:textId="77777777" w:rsidR="00C057F9" w:rsidRPr="00304A39" w:rsidRDefault="00C057F9" w:rsidP="00A937B7">
      <w:pPr>
        <w:pStyle w:val="SingleTxtG"/>
        <w:ind w:left="2268"/>
        <w:rPr>
          <w:lang w:val="fr-FR"/>
        </w:rPr>
      </w:pPr>
      <w:r w:rsidRPr="00304A39">
        <w:rPr>
          <w:lang w:val="fr-FR"/>
        </w:rPr>
        <w:tab/>
      </w:r>
      <w:r w:rsidR="00A937B7">
        <w:rPr>
          <w:lang w:val="fr-FR"/>
        </w:rPr>
        <w:t>g</w:t>
      </w:r>
      <w:r w:rsidRPr="00304A39">
        <w:rPr>
          <w:lang w:val="fr-FR"/>
        </w:rPr>
        <w:t>)</w:t>
      </w:r>
      <w:r w:rsidRPr="00304A39">
        <w:rPr>
          <w:lang w:val="fr-FR"/>
        </w:rPr>
        <w:tab/>
        <w:t xml:space="preserve">Le </w:t>
      </w:r>
      <w:r w:rsidRPr="00A937B7">
        <w:rPr>
          <w:iCs/>
          <w:kern w:val="2"/>
          <w:lang w:val="fr-FR" w:eastAsia="ja-JP"/>
        </w:rPr>
        <w:t>Règlement</w:t>
      </w:r>
      <w:r>
        <w:rPr>
          <w:lang w:val="fr-FR"/>
        </w:rPr>
        <w:t xml:space="preserve"> ONU</w:t>
      </w:r>
      <w:r w:rsidRPr="00304A39">
        <w:rPr>
          <w:lang w:val="fr-FR"/>
        </w:rPr>
        <w:t xml:space="preserve"> n</w:t>
      </w:r>
      <w:r w:rsidRPr="00304A39">
        <w:rPr>
          <w:vertAlign w:val="superscript"/>
          <w:lang w:val="fr-FR"/>
        </w:rPr>
        <w:t>o</w:t>
      </w:r>
      <w:r w:rsidRPr="00304A39">
        <w:rPr>
          <w:lang w:val="fr-FR"/>
        </w:rPr>
        <w:t> 98 ;</w:t>
      </w:r>
    </w:p>
    <w:p w14:paraId="6DB9A4F8" w14:textId="77777777" w:rsidR="00C057F9" w:rsidRPr="00304A39" w:rsidRDefault="00C057F9" w:rsidP="00A937B7">
      <w:pPr>
        <w:pStyle w:val="SingleTxtG"/>
        <w:ind w:left="2268"/>
        <w:rPr>
          <w:lang w:val="fr-FR"/>
        </w:rPr>
      </w:pPr>
      <w:r w:rsidRPr="00304A39">
        <w:rPr>
          <w:lang w:val="fr-FR"/>
        </w:rPr>
        <w:t>h)</w:t>
      </w:r>
      <w:r w:rsidRPr="00304A39">
        <w:rPr>
          <w:lang w:val="fr-FR"/>
        </w:rPr>
        <w:tab/>
      </w:r>
      <w:r>
        <w:rPr>
          <w:lang w:val="fr-FR"/>
        </w:rPr>
        <w:t>La classe A, B, D, BS, DS ou ES</w:t>
      </w:r>
      <w:r w:rsidRPr="00304A39">
        <w:rPr>
          <w:lang w:val="fr-FR"/>
        </w:rPr>
        <w:t xml:space="preserve"> du Règlement</w:t>
      </w:r>
      <w:r>
        <w:rPr>
          <w:lang w:val="fr-FR"/>
        </w:rPr>
        <w:t xml:space="preserve"> ONU n</w:t>
      </w:r>
      <w:r w:rsidRPr="00C70FB6">
        <w:rPr>
          <w:vertAlign w:val="superscript"/>
          <w:lang w:val="fr-FR"/>
        </w:rPr>
        <w:t>o</w:t>
      </w:r>
      <w:r w:rsidR="00C70FB6" w:rsidRPr="00C70FB6">
        <w:rPr>
          <w:lang w:val="fr-FR"/>
        </w:rPr>
        <w:t> </w:t>
      </w:r>
      <w:r>
        <w:rPr>
          <w:lang w:val="fr-FR"/>
        </w:rPr>
        <w:t>149</w:t>
      </w:r>
      <w:r w:rsidRPr="00304A39">
        <w:rPr>
          <w:lang w:val="fr-FR"/>
        </w:rPr>
        <w:t>.</w:t>
      </w:r>
    </w:p>
    <w:p w14:paraId="05FAA8A5" w14:textId="77777777" w:rsidR="00C057F9" w:rsidRPr="00304A39" w:rsidRDefault="00C057F9" w:rsidP="00A937B7">
      <w:pPr>
        <w:pStyle w:val="SingleTxtG"/>
        <w:ind w:left="2268"/>
        <w:rPr>
          <w:lang w:val="fr-FR"/>
        </w:rPr>
      </w:pPr>
      <w:r w:rsidRPr="00304A39">
        <w:rPr>
          <w:lang w:val="fr-FR"/>
        </w:rPr>
        <w:t>Deux du type homologué selon :</w:t>
      </w:r>
    </w:p>
    <w:p w14:paraId="7C2480CE" w14:textId="77777777" w:rsidR="00C057F9" w:rsidRPr="00304A39" w:rsidRDefault="00C057F9" w:rsidP="00A937B7">
      <w:pPr>
        <w:pStyle w:val="SingleTxtG"/>
        <w:ind w:left="2268"/>
        <w:rPr>
          <w:lang w:val="fr-FR"/>
        </w:rPr>
      </w:pPr>
      <w:r w:rsidRPr="00304A39">
        <w:rPr>
          <w:lang w:val="fr-FR"/>
        </w:rPr>
        <w:t>i)</w:t>
      </w:r>
      <w:r w:rsidRPr="00304A39">
        <w:rPr>
          <w:lang w:val="fr-FR"/>
        </w:rPr>
        <w:tab/>
        <w:t xml:space="preserve">La classe C du Règlement </w:t>
      </w:r>
      <w:r>
        <w:rPr>
          <w:lang w:val="fr-FR"/>
        </w:rPr>
        <w:t xml:space="preserve">ONU </w:t>
      </w:r>
      <w:r w:rsidRPr="00304A39">
        <w:rPr>
          <w:lang w:val="fr-FR"/>
        </w:rPr>
        <w:t>n</w:t>
      </w:r>
      <w:r w:rsidRPr="00304A39">
        <w:rPr>
          <w:vertAlign w:val="superscript"/>
          <w:lang w:val="fr-FR"/>
        </w:rPr>
        <w:t>o</w:t>
      </w:r>
      <w:r w:rsidRPr="00304A39">
        <w:rPr>
          <w:lang w:val="fr-FR"/>
        </w:rPr>
        <w:t> 113 ;</w:t>
      </w:r>
    </w:p>
    <w:p w14:paraId="1F6E47E3" w14:textId="77777777" w:rsidR="00C057F9" w:rsidRDefault="00C057F9" w:rsidP="00A937B7">
      <w:pPr>
        <w:pStyle w:val="SingleTxtG"/>
        <w:ind w:left="2268"/>
        <w:rPr>
          <w:lang w:val="fr-FR"/>
        </w:rPr>
      </w:pPr>
      <w:r w:rsidRPr="00304A39">
        <w:rPr>
          <w:lang w:val="fr-FR"/>
        </w:rPr>
        <w:t>j)</w:t>
      </w:r>
      <w:r w:rsidRPr="00304A39">
        <w:rPr>
          <w:lang w:val="fr-FR"/>
        </w:rPr>
        <w:tab/>
        <w:t xml:space="preserve">La classe CS du Règlement </w:t>
      </w:r>
      <w:r>
        <w:rPr>
          <w:lang w:val="fr-FR"/>
        </w:rPr>
        <w:t xml:space="preserve">ONU </w:t>
      </w:r>
      <w:r w:rsidRPr="00304A39">
        <w:rPr>
          <w:lang w:val="fr-FR"/>
        </w:rPr>
        <w:t>n</w:t>
      </w:r>
      <w:r w:rsidRPr="00304A39">
        <w:rPr>
          <w:vertAlign w:val="superscript"/>
          <w:lang w:val="fr-FR"/>
        </w:rPr>
        <w:t>o</w:t>
      </w:r>
      <w:r w:rsidRPr="00304A39">
        <w:rPr>
          <w:lang w:val="fr-FR"/>
        </w:rPr>
        <w:t> </w:t>
      </w:r>
      <w:r>
        <w:rPr>
          <w:lang w:val="fr-FR"/>
        </w:rPr>
        <w:t>149</w:t>
      </w:r>
      <w:r w:rsidRPr="00304A39">
        <w:rPr>
          <w:lang w:val="fr-FR"/>
        </w:rPr>
        <w:t>. ».</w:t>
      </w:r>
    </w:p>
    <w:p w14:paraId="64C89C6A" w14:textId="77777777" w:rsidR="00C057F9" w:rsidRPr="005F01D3" w:rsidRDefault="00C057F9" w:rsidP="002621FD">
      <w:pPr>
        <w:pStyle w:val="SingleTxtG"/>
        <w:rPr>
          <w:lang w:val="fr-FR"/>
        </w:rPr>
      </w:pPr>
      <w:r w:rsidRPr="005F01D3">
        <w:rPr>
          <w:i/>
          <w:lang w:val="fr-FR"/>
        </w:rPr>
        <w:t>Paragraphe 6.2.3.1.4</w:t>
      </w:r>
      <w:r w:rsidRPr="005F01D3">
        <w:rPr>
          <w:lang w:val="fr-FR"/>
        </w:rPr>
        <w:t>,</w:t>
      </w:r>
      <w:r w:rsidRPr="005F01D3">
        <w:rPr>
          <w:i/>
          <w:lang w:val="fr-FR"/>
        </w:rPr>
        <w:t xml:space="preserve"> </w:t>
      </w:r>
      <w:r w:rsidRPr="002621FD">
        <w:rPr>
          <w:rFonts w:eastAsia="Calibri"/>
        </w:rPr>
        <w:t>lire</w:t>
      </w:r>
      <w:r w:rsidRPr="005F01D3">
        <w:rPr>
          <w:lang w:val="fr-FR"/>
        </w:rPr>
        <w:t> :</w:t>
      </w:r>
    </w:p>
    <w:p w14:paraId="7F257D40" w14:textId="77777777" w:rsidR="00C057F9" w:rsidRPr="005F01D3" w:rsidRDefault="00C057F9" w:rsidP="002621FD">
      <w:pPr>
        <w:pStyle w:val="SingleTxtG"/>
        <w:tabs>
          <w:tab w:val="left" w:pos="2268"/>
        </w:tabs>
        <w:ind w:left="2268" w:hanging="1134"/>
        <w:rPr>
          <w:lang w:val="fr-FR"/>
        </w:rPr>
      </w:pPr>
      <w:r w:rsidRPr="005F01D3">
        <w:rPr>
          <w:lang w:val="fr-FR"/>
        </w:rPr>
        <w:t>« 6.2.3.1.4</w:t>
      </w:r>
      <w:r w:rsidRPr="005F01D3">
        <w:rPr>
          <w:lang w:val="fr-FR"/>
        </w:rPr>
        <w:tab/>
        <w:t>Le cas échéant, l</w:t>
      </w:r>
      <w:r>
        <w:rPr>
          <w:lang w:val="fr-FR"/>
        </w:rPr>
        <w:t>’</w:t>
      </w:r>
      <w:r w:rsidRPr="005F01D3">
        <w:rPr>
          <w:lang w:val="fr-FR"/>
        </w:rPr>
        <w:t>installation d</w:t>
      </w:r>
      <w:r>
        <w:rPr>
          <w:lang w:val="fr-FR"/>
        </w:rPr>
        <w:t>’</w:t>
      </w:r>
      <w:r w:rsidRPr="005F01D3">
        <w:rPr>
          <w:lang w:val="fr-FR"/>
        </w:rPr>
        <w:t>une ou de plusieurs unités d</w:t>
      </w:r>
      <w:r>
        <w:rPr>
          <w:lang w:val="fr-FR"/>
        </w:rPr>
        <w:t>’</w:t>
      </w:r>
      <w:r w:rsidRPr="005F01D3">
        <w:rPr>
          <w:lang w:val="fr-FR"/>
        </w:rPr>
        <w:t>éclairage supplémentaires servant à éclairer la route dans les virages, homologuées en tant qu</w:t>
      </w:r>
      <w:r>
        <w:rPr>
          <w:lang w:val="fr-FR"/>
        </w:rPr>
        <w:t>’</w:t>
      </w:r>
      <w:r w:rsidRPr="005F01D3">
        <w:rPr>
          <w:lang w:val="fr-FR"/>
        </w:rPr>
        <w:t xml:space="preserve">éléments du faisceau de croisement, conformément au Règlement </w:t>
      </w:r>
      <w:r>
        <w:rPr>
          <w:lang w:val="fr-FR"/>
        </w:rPr>
        <w:t xml:space="preserve">ONU </w:t>
      </w:r>
      <w:r w:rsidRPr="005F01D3">
        <w:rPr>
          <w:rFonts w:eastAsia="MS Mincho"/>
          <w:lang w:val="fr-FR"/>
        </w:rPr>
        <w:t>n</w:t>
      </w:r>
      <w:r w:rsidRPr="005F01D3">
        <w:rPr>
          <w:rFonts w:eastAsia="MS Mincho"/>
          <w:vertAlign w:val="superscript"/>
          <w:lang w:val="fr-FR"/>
        </w:rPr>
        <w:t>o</w:t>
      </w:r>
      <w:r w:rsidRPr="005F01D3">
        <w:rPr>
          <w:rFonts w:eastAsia="MS Mincho"/>
          <w:lang w:val="fr-FR"/>
        </w:rPr>
        <w:t> </w:t>
      </w:r>
      <w:r w:rsidRPr="005F01D3">
        <w:rPr>
          <w:lang w:val="fr-FR"/>
        </w:rPr>
        <w:t xml:space="preserve">113 ou </w:t>
      </w:r>
      <w:r>
        <w:rPr>
          <w:lang w:val="fr-FR"/>
        </w:rPr>
        <w:t>149</w:t>
      </w:r>
      <w:r w:rsidRPr="005F01D3">
        <w:rPr>
          <w:lang w:val="fr-FR"/>
        </w:rPr>
        <w:t>, doit s</w:t>
      </w:r>
      <w:r>
        <w:rPr>
          <w:lang w:val="fr-FR"/>
        </w:rPr>
        <w:t>’</w:t>
      </w:r>
      <w:r w:rsidRPr="005F01D3">
        <w:rPr>
          <w:lang w:val="fr-FR"/>
        </w:rPr>
        <w:t>effectuer dans les conditions suivantes</w:t>
      </w:r>
      <w:r>
        <w:rPr>
          <w:lang w:val="fr-FR"/>
        </w:rPr>
        <w:t> </w:t>
      </w:r>
      <w:r w:rsidRPr="00B731BC">
        <w:rPr>
          <w:rFonts w:eastAsia="Calibri"/>
        </w:rPr>
        <w:t>:</w:t>
      </w:r>
    </w:p>
    <w:p w14:paraId="5C42EBEC" w14:textId="77777777" w:rsidR="00C057F9" w:rsidRPr="005F01D3" w:rsidRDefault="00C057F9" w:rsidP="002621FD">
      <w:pPr>
        <w:pStyle w:val="SingleTxtG"/>
        <w:ind w:left="2268"/>
        <w:rPr>
          <w:lang w:val="fr-FR"/>
        </w:rPr>
      </w:pPr>
      <w:r w:rsidRPr="005F01D3">
        <w:rPr>
          <w:lang w:val="fr-FR"/>
        </w:rPr>
        <w:t>Pour une (des) paire(s) d</w:t>
      </w:r>
      <w:r>
        <w:rPr>
          <w:lang w:val="fr-FR"/>
        </w:rPr>
        <w:t>’</w:t>
      </w:r>
      <w:r w:rsidRPr="005F01D3">
        <w:rPr>
          <w:lang w:val="fr-FR"/>
        </w:rPr>
        <w:t>unités d</w:t>
      </w:r>
      <w:r>
        <w:rPr>
          <w:lang w:val="fr-FR"/>
        </w:rPr>
        <w:t>’</w:t>
      </w:r>
      <w:r w:rsidRPr="005F01D3">
        <w:rPr>
          <w:lang w:val="fr-FR"/>
        </w:rPr>
        <w:t xml:space="preserve">éclairage supplémentaires, le ou les centres de référence doivent être symétriques par rapport au plan longitudinal médian du </w:t>
      </w:r>
      <w:r w:rsidRPr="002621FD">
        <w:rPr>
          <w:iCs/>
          <w:kern w:val="2"/>
          <w:lang w:val="fr-FR" w:eastAsia="ja-JP"/>
        </w:rPr>
        <w:t>véhicule</w:t>
      </w:r>
      <w:r w:rsidRPr="005F01D3">
        <w:rPr>
          <w:lang w:val="fr-FR"/>
        </w:rPr>
        <w:t>.</w:t>
      </w:r>
    </w:p>
    <w:p w14:paraId="0E619753" w14:textId="77777777" w:rsidR="00C057F9" w:rsidRPr="005F01D3" w:rsidRDefault="00C057F9" w:rsidP="002621FD">
      <w:pPr>
        <w:pStyle w:val="SingleTxtG"/>
        <w:ind w:left="2268"/>
        <w:rPr>
          <w:lang w:val="fr-FR"/>
        </w:rPr>
      </w:pPr>
      <w:r w:rsidRPr="005F01D3">
        <w:rPr>
          <w:lang w:val="fr-FR"/>
        </w:rPr>
        <w:t>Pour une seule unité d</w:t>
      </w:r>
      <w:r>
        <w:rPr>
          <w:lang w:val="fr-FR"/>
        </w:rPr>
        <w:t>’</w:t>
      </w:r>
      <w:r w:rsidRPr="005F01D3">
        <w:rPr>
          <w:lang w:val="fr-FR"/>
        </w:rPr>
        <w:t>éclairage supplémentaire, le centre de référence doit être sur le plan longitudinal médian du véhicule. ».</w:t>
      </w:r>
    </w:p>
    <w:p w14:paraId="50F715C8" w14:textId="77777777" w:rsidR="00C057F9" w:rsidRPr="005F01D3" w:rsidRDefault="00C057F9" w:rsidP="002621FD">
      <w:pPr>
        <w:pStyle w:val="SingleTxtG"/>
        <w:rPr>
          <w:lang w:val="fr-FR"/>
        </w:rPr>
      </w:pPr>
      <w:r w:rsidRPr="005F01D3">
        <w:rPr>
          <w:i/>
          <w:lang w:val="fr-FR"/>
        </w:rPr>
        <w:t>Paragraphe 6.2.5.7</w:t>
      </w:r>
      <w:r w:rsidRPr="005F01D3">
        <w:rPr>
          <w:lang w:val="fr-FR"/>
        </w:rPr>
        <w:t>,</w:t>
      </w:r>
      <w:r w:rsidRPr="005F01D3">
        <w:rPr>
          <w:i/>
          <w:lang w:val="fr-FR"/>
        </w:rPr>
        <w:t xml:space="preserve"> </w:t>
      </w:r>
      <w:r w:rsidRPr="002621FD">
        <w:rPr>
          <w:rFonts w:eastAsia="Calibri"/>
        </w:rPr>
        <w:t>lire</w:t>
      </w:r>
      <w:r w:rsidRPr="005F01D3">
        <w:rPr>
          <w:lang w:val="fr-FR"/>
        </w:rPr>
        <w:t> :</w:t>
      </w:r>
    </w:p>
    <w:p w14:paraId="320B7033" w14:textId="77777777" w:rsidR="00C057F9" w:rsidRPr="005F01D3" w:rsidRDefault="00C057F9" w:rsidP="002621FD">
      <w:pPr>
        <w:pStyle w:val="SingleTxtG"/>
        <w:tabs>
          <w:tab w:val="left" w:pos="2268"/>
        </w:tabs>
        <w:ind w:left="2268" w:hanging="1134"/>
        <w:rPr>
          <w:lang w:val="fr-FR"/>
        </w:rPr>
      </w:pPr>
      <w:r w:rsidRPr="005F01D3">
        <w:rPr>
          <w:lang w:val="fr-FR"/>
        </w:rPr>
        <w:t>« 6.2.5.7</w:t>
      </w:r>
      <w:r w:rsidRPr="005F01D3">
        <w:rPr>
          <w:lang w:val="fr-FR"/>
        </w:rPr>
        <w:tab/>
        <w:t>La ou les sources lumineuses supplémentaires ou l</w:t>
      </w:r>
      <w:r>
        <w:rPr>
          <w:lang w:val="fr-FR"/>
        </w:rPr>
        <w:t>’</w:t>
      </w:r>
      <w:r w:rsidRPr="005F01D3">
        <w:rPr>
          <w:lang w:val="fr-FR"/>
        </w:rPr>
        <w:t>unité ou les unités d</w:t>
      </w:r>
      <w:r>
        <w:rPr>
          <w:lang w:val="fr-FR"/>
        </w:rPr>
        <w:t>’</w:t>
      </w:r>
      <w:r w:rsidRPr="005F01D3">
        <w:rPr>
          <w:lang w:val="fr-FR"/>
        </w:rPr>
        <w:t>éclairage supplémentaires ne peuvent être mises en fonction que conjointement avec le faisceau de croisement principal ou le faisceau de route, de façon à produire l</w:t>
      </w:r>
      <w:r>
        <w:rPr>
          <w:lang w:val="fr-FR"/>
        </w:rPr>
        <w:t>’</w:t>
      </w:r>
      <w:r w:rsidRPr="005F01D3">
        <w:rPr>
          <w:lang w:val="fr-FR"/>
        </w:rPr>
        <w:t>éclairage de virage. L</w:t>
      </w:r>
      <w:r>
        <w:rPr>
          <w:lang w:val="fr-FR"/>
        </w:rPr>
        <w:t>’</w:t>
      </w:r>
      <w:r w:rsidRPr="005F01D3">
        <w:rPr>
          <w:lang w:val="fr-FR"/>
        </w:rPr>
        <w:t>éclairement produit par l</w:t>
      </w:r>
      <w:r>
        <w:rPr>
          <w:lang w:val="fr-FR"/>
        </w:rPr>
        <w:t>’</w:t>
      </w:r>
      <w:r w:rsidRPr="005F01D3">
        <w:rPr>
          <w:lang w:val="fr-FR"/>
        </w:rPr>
        <w:t>éclairage de virage ne doit pas s</w:t>
      </w:r>
      <w:r>
        <w:rPr>
          <w:lang w:val="fr-FR"/>
        </w:rPr>
        <w:t>’</w:t>
      </w:r>
      <w:r w:rsidRPr="005F01D3">
        <w:rPr>
          <w:lang w:val="fr-FR"/>
        </w:rPr>
        <w:t>étendre au-dessus du plan horizontal parallèle au sol et contenant l</w:t>
      </w:r>
      <w:r>
        <w:rPr>
          <w:lang w:val="fr-FR"/>
        </w:rPr>
        <w:t>’</w:t>
      </w:r>
      <w:r w:rsidRPr="005F01D3">
        <w:rPr>
          <w:lang w:val="fr-FR"/>
        </w:rPr>
        <w:t>axe de référence du projecteur émettant le faisceau de croisement principal pour tous les angles de roulis prévus par le constructeur lors de l</w:t>
      </w:r>
      <w:r>
        <w:rPr>
          <w:lang w:val="fr-FR"/>
        </w:rPr>
        <w:t>’</w:t>
      </w:r>
      <w:r w:rsidRPr="005F01D3">
        <w:rPr>
          <w:lang w:val="fr-FR"/>
        </w:rPr>
        <w:t xml:space="preserve">homologation de type du dispositif conformément au Règlement </w:t>
      </w:r>
      <w:r>
        <w:rPr>
          <w:lang w:val="fr-FR"/>
        </w:rPr>
        <w:t xml:space="preserve">ONU </w:t>
      </w:r>
      <w:r w:rsidRPr="005F01D3">
        <w:rPr>
          <w:lang w:val="fr-FR"/>
        </w:rPr>
        <w:t>n</w:t>
      </w:r>
      <w:r w:rsidRPr="005F01D3">
        <w:rPr>
          <w:vertAlign w:val="superscript"/>
          <w:lang w:val="fr-FR"/>
        </w:rPr>
        <w:t>o</w:t>
      </w:r>
      <w:r w:rsidRPr="005F01D3">
        <w:rPr>
          <w:lang w:val="fr-FR"/>
        </w:rPr>
        <w:t xml:space="preserve"> 113 ou </w:t>
      </w:r>
      <w:r>
        <w:rPr>
          <w:lang w:val="fr-FR"/>
        </w:rPr>
        <w:t>149</w:t>
      </w:r>
      <w:r w:rsidRPr="005F01D3">
        <w:rPr>
          <w:lang w:val="fr-FR"/>
        </w:rPr>
        <w:t>. ».</w:t>
      </w:r>
    </w:p>
    <w:p w14:paraId="7BDC267F" w14:textId="77777777" w:rsidR="00C057F9" w:rsidRPr="005F01D3" w:rsidRDefault="00C057F9" w:rsidP="00683BDF">
      <w:pPr>
        <w:pStyle w:val="SingleTxtG"/>
        <w:keepNext/>
        <w:rPr>
          <w:lang w:val="fr-FR"/>
        </w:rPr>
      </w:pPr>
      <w:r w:rsidRPr="005F01D3">
        <w:rPr>
          <w:i/>
          <w:lang w:val="fr-FR"/>
        </w:rPr>
        <w:lastRenderedPageBreak/>
        <w:t>Paragraphe 6.2.5.8</w:t>
      </w:r>
      <w:r w:rsidRPr="005F01D3">
        <w:rPr>
          <w:lang w:val="fr-FR"/>
        </w:rPr>
        <w:t xml:space="preserve">, </w:t>
      </w:r>
      <w:r w:rsidRPr="002621FD">
        <w:rPr>
          <w:rFonts w:eastAsia="Calibri"/>
        </w:rPr>
        <w:t>lire</w:t>
      </w:r>
      <w:r w:rsidRPr="005F01D3">
        <w:rPr>
          <w:lang w:val="fr-FR"/>
        </w:rPr>
        <w:t> :</w:t>
      </w:r>
    </w:p>
    <w:p w14:paraId="47BDCB66" w14:textId="77777777" w:rsidR="00C057F9" w:rsidRPr="005F01D3" w:rsidRDefault="00C057F9" w:rsidP="00683BDF">
      <w:pPr>
        <w:pStyle w:val="SingleTxtG"/>
        <w:keepNext/>
        <w:tabs>
          <w:tab w:val="left" w:pos="2268"/>
        </w:tabs>
        <w:ind w:left="2268" w:hanging="1134"/>
        <w:rPr>
          <w:lang w:val="fr-FR"/>
        </w:rPr>
      </w:pPr>
      <w:r w:rsidRPr="005F01D3">
        <w:rPr>
          <w:lang w:val="fr-FR"/>
        </w:rPr>
        <w:t>« 6.2.5.8</w:t>
      </w:r>
      <w:r w:rsidRPr="005F01D3">
        <w:rPr>
          <w:lang w:val="fr-FR"/>
        </w:rPr>
        <w:tab/>
        <w:t>La conformité avec les prescriptions du paragraphe 6.2.5.7 ci-dessus doit être vérifiée dans les conditions suivantes</w:t>
      </w:r>
      <w:r>
        <w:rPr>
          <w:lang w:val="fr-FR"/>
        </w:rPr>
        <w:t> </w:t>
      </w:r>
      <w:r w:rsidRPr="00B731BC">
        <w:rPr>
          <w:rFonts w:eastAsia="Calibri"/>
        </w:rPr>
        <w:t>:</w:t>
      </w:r>
    </w:p>
    <w:p w14:paraId="5730EC3C" w14:textId="77777777" w:rsidR="00C057F9" w:rsidRPr="005F01D3" w:rsidRDefault="00C057F9" w:rsidP="002621FD">
      <w:pPr>
        <w:pStyle w:val="SingleTxtG"/>
        <w:ind w:left="2268"/>
        <w:rPr>
          <w:lang w:val="fr-FR"/>
        </w:rPr>
      </w:pPr>
      <w:r w:rsidRPr="005F01D3">
        <w:rPr>
          <w:lang w:val="fr-FR"/>
        </w:rPr>
        <w:t>Le véhicule d</w:t>
      </w:r>
      <w:r>
        <w:rPr>
          <w:lang w:val="fr-FR"/>
        </w:rPr>
        <w:t>’</w:t>
      </w:r>
      <w:r w:rsidRPr="005F01D3">
        <w:rPr>
          <w:lang w:val="fr-FR"/>
        </w:rPr>
        <w:t>essai est placé dans la position indiquée au paragraphe 5.4 du présent Règlement</w:t>
      </w:r>
      <w:r>
        <w:rPr>
          <w:lang w:val="fr-FR"/>
        </w:rPr>
        <w:t xml:space="preserve"> ONU</w:t>
      </w:r>
      <w:r w:rsidRPr="005F01D3">
        <w:rPr>
          <w:lang w:val="fr-FR"/>
        </w:rPr>
        <w:t>. Mesurer les angles de roulis des deux côtés du véhicule dans chaque situation où l</w:t>
      </w:r>
      <w:r>
        <w:rPr>
          <w:lang w:val="fr-FR"/>
        </w:rPr>
        <w:t>’</w:t>
      </w:r>
      <w:r w:rsidRPr="005F01D3">
        <w:rPr>
          <w:lang w:val="fr-FR"/>
        </w:rPr>
        <w:t>éclairage de virage est activé. Les angles de roulis à mesurer sont les angles spécifiés par le constructeur lors de l</w:t>
      </w:r>
      <w:r>
        <w:rPr>
          <w:lang w:val="fr-FR"/>
        </w:rPr>
        <w:t>’</w:t>
      </w:r>
      <w:r w:rsidRPr="005F01D3">
        <w:rPr>
          <w:lang w:val="fr-FR"/>
        </w:rPr>
        <w:t xml:space="preserve">homologation de type du dispositif conformément au Règlement </w:t>
      </w:r>
      <w:r>
        <w:rPr>
          <w:lang w:val="fr-FR"/>
        </w:rPr>
        <w:t>ONU</w:t>
      </w:r>
      <w:r w:rsidRPr="005F01D3">
        <w:rPr>
          <w:lang w:val="fr-FR"/>
        </w:rPr>
        <w:t xml:space="preserve"> n</w:t>
      </w:r>
      <w:r w:rsidRPr="005F01D3">
        <w:rPr>
          <w:vertAlign w:val="superscript"/>
          <w:lang w:val="fr-FR"/>
        </w:rPr>
        <w:t>o</w:t>
      </w:r>
      <w:r w:rsidRPr="005F01D3">
        <w:rPr>
          <w:lang w:val="fr-FR"/>
        </w:rPr>
        <w:t xml:space="preserve"> 113 ou </w:t>
      </w:r>
      <w:r>
        <w:rPr>
          <w:lang w:val="fr-FR"/>
        </w:rPr>
        <w:t>149</w:t>
      </w:r>
      <w:r w:rsidRPr="005F01D3">
        <w:rPr>
          <w:lang w:val="fr-FR"/>
        </w:rPr>
        <w:t>.</w:t>
      </w:r>
    </w:p>
    <w:p w14:paraId="0AE38E05" w14:textId="77777777" w:rsidR="00C057F9" w:rsidRPr="005F01D3" w:rsidRDefault="00C057F9" w:rsidP="002621FD">
      <w:pPr>
        <w:pStyle w:val="SingleTxtG"/>
        <w:ind w:left="2268"/>
        <w:rPr>
          <w:lang w:val="fr-FR"/>
        </w:rPr>
      </w:pPr>
      <w:r w:rsidRPr="005F01D3">
        <w:rPr>
          <w:lang w:val="fr-FR"/>
        </w:rPr>
        <w:t>Le guidon peut être bloqué dans la position de marche en ligne droite de façon à empêcher tout braquage lorsque le véhicule est incliné.</w:t>
      </w:r>
    </w:p>
    <w:p w14:paraId="56CC0F96" w14:textId="77777777" w:rsidR="00C057F9" w:rsidRPr="005F01D3" w:rsidRDefault="00C057F9" w:rsidP="002621FD">
      <w:pPr>
        <w:pStyle w:val="SingleTxtG"/>
        <w:ind w:left="2268"/>
        <w:rPr>
          <w:lang w:val="fr-FR"/>
        </w:rPr>
      </w:pPr>
      <w:r w:rsidRPr="005F01D3">
        <w:rPr>
          <w:lang w:val="fr-FR"/>
        </w:rPr>
        <w:t>Aux fins de l</w:t>
      </w:r>
      <w:r>
        <w:rPr>
          <w:lang w:val="fr-FR"/>
        </w:rPr>
        <w:t>’</w:t>
      </w:r>
      <w:r w:rsidRPr="005F01D3">
        <w:rPr>
          <w:lang w:val="fr-FR"/>
        </w:rPr>
        <w:t>essai, l</w:t>
      </w:r>
      <w:r>
        <w:rPr>
          <w:lang w:val="fr-FR"/>
        </w:rPr>
        <w:t>’</w:t>
      </w:r>
      <w:r w:rsidRPr="005F01D3">
        <w:rPr>
          <w:lang w:val="fr-FR"/>
        </w:rPr>
        <w:t>éclairage de virage peut être activé au moyen d</w:t>
      </w:r>
      <w:r>
        <w:rPr>
          <w:lang w:val="fr-FR"/>
        </w:rPr>
        <w:t>’</w:t>
      </w:r>
      <w:r w:rsidRPr="005F01D3">
        <w:rPr>
          <w:lang w:val="fr-FR"/>
        </w:rPr>
        <w:t>un générateur de signal fourni par le constructeur.</w:t>
      </w:r>
    </w:p>
    <w:p w14:paraId="6D7EC90D" w14:textId="77777777" w:rsidR="00C057F9" w:rsidRPr="005F01D3" w:rsidRDefault="00C057F9" w:rsidP="002621FD">
      <w:pPr>
        <w:pStyle w:val="SingleTxtG"/>
        <w:ind w:left="2268"/>
        <w:rPr>
          <w:lang w:val="fr-FR"/>
        </w:rPr>
      </w:pPr>
      <w:r w:rsidRPr="005F01D3">
        <w:rPr>
          <w:lang w:val="fr-FR"/>
        </w:rPr>
        <w:t>Il est admis que le système satisfait aux prescriptions du paragraphe 6.2.5.7 ci-dessus si tous les angles de roulis mesurés des deux côtés du véhicule sont supérieurs ou égaux aux angles de roulis minimaux indiqués sur la fiche de communication pour l</w:t>
      </w:r>
      <w:r>
        <w:rPr>
          <w:lang w:val="fr-FR"/>
        </w:rPr>
        <w:t>’</w:t>
      </w:r>
      <w:r w:rsidRPr="005F01D3">
        <w:rPr>
          <w:lang w:val="fr-FR"/>
        </w:rPr>
        <w:t xml:space="preserve">homologation de type du dispositif conformément au Règlement </w:t>
      </w:r>
      <w:r>
        <w:rPr>
          <w:lang w:val="fr-FR"/>
        </w:rPr>
        <w:t xml:space="preserve">ONU </w:t>
      </w:r>
      <w:r w:rsidRPr="005F01D3">
        <w:rPr>
          <w:lang w:val="fr-FR"/>
        </w:rPr>
        <w:t>n</w:t>
      </w:r>
      <w:r w:rsidRPr="005F01D3">
        <w:rPr>
          <w:vertAlign w:val="superscript"/>
          <w:lang w:val="fr-FR"/>
        </w:rPr>
        <w:t>o</w:t>
      </w:r>
      <w:r w:rsidRPr="005F01D3">
        <w:rPr>
          <w:lang w:val="fr-FR"/>
        </w:rPr>
        <w:t xml:space="preserve"> 113 ou </w:t>
      </w:r>
      <w:r>
        <w:rPr>
          <w:lang w:val="fr-FR"/>
        </w:rPr>
        <w:t>149</w:t>
      </w:r>
      <w:r w:rsidRPr="005F01D3">
        <w:rPr>
          <w:lang w:val="fr-FR"/>
        </w:rPr>
        <w:t>.</w:t>
      </w:r>
    </w:p>
    <w:p w14:paraId="33F3F694" w14:textId="77777777" w:rsidR="00C057F9" w:rsidRPr="005F01D3" w:rsidRDefault="00C057F9" w:rsidP="002621FD">
      <w:pPr>
        <w:pStyle w:val="SingleTxtG"/>
        <w:ind w:left="2268"/>
        <w:rPr>
          <w:lang w:val="fr-FR"/>
        </w:rPr>
      </w:pPr>
      <w:r w:rsidRPr="005F01D3">
        <w:rPr>
          <w:lang w:val="fr-FR"/>
        </w:rPr>
        <w:t>La conformité aux prescriptions du paragraphe 6.2.5.7 ci-dessus peut être démontrée par le constructeur avec d</w:t>
      </w:r>
      <w:r>
        <w:rPr>
          <w:lang w:val="fr-FR"/>
        </w:rPr>
        <w:t>’</w:t>
      </w:r>
      <w:r w:rsidRPr="005F01D3">
        <w:rPr>
          <w:lang w:val="fr-FR"/>
        </w:rPr>
        <w:t>autres moyens,</w:t>
      </w:r>
      <w:r w:rsidRPr="002E58C3">
        <w:rPr>
          <w:lang w:val="fr-FR"/>
        </w:rPr>
        <w:t xml:space="preserve"> sous réserve de l</w:t>
      </w:r>
      <w:r>
        <w:rPr>
          <w:lang w:val="fr-FR"/>
        </w:rPr>
        <w:t>’</w:t>
      </w:r>
      <w:r w:rsidRPr="002E58C3">
        <w:rPr>
          <w:lang w:val="fr-FR"/>
        </w:rPr>
        <w:t>accord de l</w:t>
      </w:r>
      <w:r>
        <w:rPr>
          <w:lang w:val="fr-FR"/>
        </w:rPr>
        <w:t>’</w:t>
      </w:r>
      <w:r w:rsidRPr="002E58C3">
        <w:rPr>
          <w:lang w:val="fr-FR"/>
        </w:rPr>
        <w:t>autorité d</w:t>
      </w:r>
      <w:r>
        <w:rPr>
          <w:lang w:val="fr-FR"/>
        </w:rPr>
        <w:t>’</w:t>
      </w:r>
      <w:r w:rsidRPr="002E58C3">
        <w:rPr>
          <w:lang w:val="fr-FR"/>
        </w:rPr>
        <w:t>homologation de type</w:t>
      </w:r>
      <w:r>
        <w:rPr>
          <w:lang w:val="fr-FR"/>
        </w:rPr>
        <w:t>. »</w:t>
      </w:r>
      <w:r w:rsidRPr="002E58C3">
        <w:rPr>
          <w:lang w:val="fr-FR"/>
        </w:rPr>
        <w:t>.</w:t>
      </w:r>
    </w:p>
    <w:p w14:paraId="3147532C" w14:textId="77777777" w:rsidR="00C057F9" w:rsidRPr="00304A39" w:rsidRDefault="00C057F9" w:rsidP="002621FD">
      <w:pPr>
        <w:pStyle w:val="SingleTxtG"/>
        <w:rPr>
          <w:lang w:val="fr-FR"/>
        </w:rPr>
      </w:pPr>
      <w:r w:rsidRPr="00304A39">
        <w:rPr>
          <w:i/>
          <w:lang w:val="fr-FR"/>
        </w:rPr>
        <w:t>Paragraphe 6.2.6</w:t>
      </w:r>
      <w:r w:rsidRPr="00304A39">
        <w:rPr>
          <w:lang w:val="fr-FR"/>
        </w:rPr>
        <w:t>,</w:t>
      </w:r>
      <w:r w:rsidRPr="00304A39">
        <w:rPr>
          <w:i/>
          <w:lang w:val="fr-FR"/>
        </w:rPr>
        <w:t xml:space="preserve"> </w:t>
      </w:r>
      <w:r w:rsidRPr="002621FD">
        <w:rPr>
          <w:rFonts w:eastAsia="Calibri"/>
        </w:rPr>
        <w:t>lire</w:t>
      </w:r>
      <w:r w:rsidRPr="00304A39">
        <w:rPr>
          <w:lang w:val="fr-FR"/>
        </w:rPr>
        <w:t> :</w:t>
      </w:r>
    </w:p>
    <w:p w14:paraId="184E9CCC" w14:textId="77777777" w:rsidR="00C057F9" w:rsidRPr="00304A39" w:rsidRDefault="00C057F9" w:rsidP="002621FD">
      <w:pPr>
        <w:pStyle w:val="SingleTxtG"/>
        <w:tabs>
          <w:tab w:val="left" w:pos="2268"/>
        </w:tabs>
        <w:ind w:left="2268" w:hanging="1134"/>
        <w:rPr>
          <w:lang w:val="fr-FR"/>
        </w:rPr>
      </w:pPr>
      <w:r w:rsidRPr="00304A39">
        <w:rPr>
          <w:lang w:val="fr-FR"/>
        </w:rPr>
        <w:t>« 6.2.6</w:t>
      </w:r>
      <w:r w:rsidRPr="00304A39">
        <w:rPr>
          <w:lang w:val="fr-FR"/>
        </w:rPr>
        <w:tab/>
        <w:t>Branchements électriques</w:t>
      </w:r>
    </w:p>
    <w:p w14:paraId="1AE20179" w14:textId="77777777" w:rsidR="00C057F9" w:rsidRPr="00304A39" w:rsidRDefault="00C057F9" w:rsidP="002621FD">
      <w:pPr>
        <w:pStyle w:val="SingleTxtG"/>
        <w:ind w:left="2268"/>
        <w:rPr>
          <w:lang w:val="fr-FR"/>
        </w:rPr>
      </w:pPr>
      <w:r w:rsidRPr="00304A39">
        <w:rPr>
          <w:lang w:val="fr-FR"/>
        </w:rPr>
        <w:t>La commande de passage en faisceau(x) de croisement doit commander simultanément l</w:t>
      </w:r>
      <w:r>
        <w:rPr>
          <w:lang w:val="fr-FR"/>
        </w:rPr>
        <w:t>’</w:t>
      </w:r>
      <w:r w:rsidRPr="00304A39">
        <w:rPr>
          <w:lang w:val="fr-FR"/>
        </w:rPr>
        <w:t xml:space="preserve">extinction du ou des feux de route. Les feux de croisement dont la source lumineuse est homologuée en application du Règlement </w:t>
      </w:r>
      <w:r>
        <w:rPr>
          <w:lang w:val="fr-FR"/>
        </w:rPr>
        <w:t xml:space="preserve">ONU </w:t>
      </w:r>
      <w:r w:rsidRPr="00304A39">
        <w:rPr>
          <w:lang w:val="fr-FR"/>
        </w:rPr>
        <w:t>n</w:t>
      </w:r>
      <w:r w:rsidRPr="00304A39">
        <w:rPr>
          <w:vertAlign w:val="superscript"/>
          <w:lang w:val="fr-FR"/>
        </w:rPr>
        <w:t>o</w:t>
      </w:r>
      <w:r w:rsidRPr="00304A39">
        <w:rPr>
          <w:lang w:val="fr-FR"/>
        </w:rPr>
        <w:t> 99 doivent rester allumés lorsque les feux de route sont allumés.</w:t>
      </w:r>
    </w:p>
    <w:p w14:paraId="6B5F3DBF" w14:textId="77777777" w:rsidR="00C057F9" w:rsidRPr="00304A39" w:rsidRDefault="00C057F9" w:rsidP="002621FD">
      <w:pPr>
        <w:pStyle w:val="SingleTxtG"/>
        <w:tabs>
          <w:tab w:val="left" w:pos="2268"/>
        </w:tabs>
        <w:ind w:left="2268" w:hanging="1134"/>
        <w:rPr>
          <w:lang w:val="fr-FR"/>
        </w:rPr>
      </w:pPr>
      <w:r w:rsidRPr="00304A39">
        <w:rPr>
          <w:lang w:val="fr-FR"/>
        </w:rPr>
        <w:t>6.2.6.1</w:t>
      </w:r>
      <w:r w:rsidRPr="00304A39">
        <w:rPr>
          <w:lang w:val="fr-FR"/>
        </w:rPr>
        <w:tab/>
        <w:t>Le branchement de la ou des sources lumineuses supplémentaires ou de l</w:t>
      </w:r>
      <w:r>
        <w:rPr>
          <w:lang w:val="fr-FR"/>
        </w:rPr>
        <w:t>’</w:t>
      </w:r>
      <w:r w:rsidRPr="00304A39">
        <w:rPr>
          <w:lang w:val="fr-FR"/>
        </w:rPr>
        <w:t>unité ou des unités d</w:t>
      </w:r>
      <w:r>
        <w:rPr>
          <w:lang w:val="fr-FR"/>
        </w:rPr>
        <w:t>’</w:t>
      </w:r>
      <w:r w:rsidRPr="00304A39">
        <w:rPr>
          <w:lang w:val="fr-FR"/>
        </w:rPr>
        <w:t>éclairage supplémentaires servant à produire l</w:t>
      </w:r>
      <w:r>
        <w:rPr>
          <w:lang w:val="fr-FR"/>
        </w:rPr>
        <w:t>’</w:t>
      </w:r>
      <w:r w:rsidRPr="00304A39">
        <w:rPr>
          <w:lang w:val="fr-FR"/>
        </w:rPr>
        <w:t>éclairage de virage doit être tel qu</w:t>
      </w:r>
      <w:r>
        <w:rPr>
          <w:lang w:val="fr-FR"/>
        </w:rPr>
        <w:t>’</w:t>
      </w:r>
      <w:r w:rsidRPr="00304A39">
        <w:rPr>
          <w:lang w:val="fr-FR"/>
        </w:rPr>
        <w:t>elles ne puissent pas être allumées si le ou les projecteurs émettant le faisceau de croisement principal ou le faisceau de route ne sont pas également allumés.</w:t>
      </w:r>
    </w:p>
    <w:p w14:paraId="3FD0AA78" w14:textId="77777777" w:rsidR="00C057F9" w:rsidRPr="00304A39" w:rsidRDefault="00C057F9" w:rsidP="002621FD">
      <w:pPr>
        <w:pStyle w:val="SingleTxtG"/>
        <w:ind w:left="2268"/>
        <w:rPr>
          <w:lang w:val="fr-FR"/>
        </w:rPr>
      </w:pPr>
      <w:r w:rsidRPr="00304A39">
        <w:rPr>
          <w:lang w:val="fr-FR"/>
        </w:rPr>
        <w:t>La ou les sources lumineuses supplémentaires ou l</w:t>
      </w:r>
      <w:r>
        <w:rPr>
          <w:lang w:val="fr-FR"/>
        </w:rPr>
        <w:t>’</w:t>
      </w:r>
      <w:r w:rsidRPr="00304A39">
        <w:rPr>
          <w:lang w:val="fr-FR"/>
        </w:rPr>
        <w:t>unité ou les unités d</w:t>
      </w:r>
      <w:r>
        <w:rPr>
          <w:lang w:val="fr-FR"/>
        </w:rPr>
        <w:t>’</w:t>
      </w:r>
      <w:r w:rsidRPr="00304A39">
        <w:rPr>
          <w:lang w:val="fr-FR"/>
        </w:rPr>
        <w:t>éclairage supplémentaires servant à produire l</w:t>
      </w:r>
      <w:r>
        <w:rPr>
          <w:lang w:val="fr-FR"/>
        </w:rPr>
        <w:t>’</w:t>
      </w:r>
      <w:r w:rsidRPr="00304A39">
        <w:rPr>
          <w:lang w:val="fr-FR"/>
        </w:rPr>
        <w:t>éclairage de virage de chaque côté du véhicule ne peuvent être automatiquement allumées que si le ou les angles de roulis sont supérieurs ou égaux aux angles de roulis minimaux indiqués sur la fiche de communication pour l</w:t>
      </w:r>
      <w:r>
        <w:rPr>
          <w:lang w:val="fr-FR"/>
        </w:rPr>
        <w:t>’</w:t>
      </w:r>
      <w:r w:rsidRPr="00304A39">
        <w:rPr>
          <w:lang w:val="fr-FR"/>
        </w:rPr>
        <w:t xml:space="preserve">homologation de type du dispositif conformément au Règlement </w:t>
      </w:r>
      <w:r>
        <w:rPr>
          <w:lang w:val="fr-FR"/>
        </w:rPr>
        <w:t xml:space="preserve">ONU </w:t>
      </w:r>
      <w:r w:rsidRPr="00304A39">
        <w:rPr>
          <w:lang w:val="fr-FR"/>
        </w:rPr>
        <w:t>n</w:t>
      </w:r>
      <w:r w:rsidRPr="00304A39">
        <w:rPr>
          <w:vertAlign w:val="superscript"/>
          <w:lang w:val="fr-FR"/>
        </w:rPr>
        <w:t>o</w:t>
      </w:r>
      <w:r w:rsidRPr="00304A39">
        <w:rPr>
          <w:lang w:val="fr-FR"/>
        </w:rPr>
        <w:t xml:space="preserve"> 113 ou </w:t>
      </w:r>
      <w:r>
        <w:rPr>
          <w:lang w:val="fr-FR"/>
        </w:rPr>
        <w:t>149</w:t>
      </w:r>
      <w:r w:rsidRPr="00304A39">
        <w:rPr>
          <w:lang w:val="fr-FR"/>
        </w:rPr>
        <w:t>.</w:t>
      </w:r>
    </w:p>
    <w:p w14:paraId="43288E97" w14:textId="77777777" w:rsidR="00C057F9" w:rsidRPr="00304A39" w:rsidRDefault="00C057F9" w:rsidP="002621FD">
      <w:pPr>
        <w:pStyle w:val="SingleTxtG"/>
        <w:ind w:left="2268"/>
        <w:rPr>
          <w:lang w:val="fr-FR"/>
        </w:rPr>
      </w:pPr>
      <w:r w:rsidRPr="00304A39">
        <w:rPr>
          <w:lang w:val="fr-FR"/>
        </w:rPr>
        <w:t>La ou les sources lumineuses supplémentaires ou l</w:t>
      </w:r>
      <w:r>
        <w:rPr>
          <w:lang w:val="fr-FR"/>
        </w:rPr>
        <w:t>’</w:t>
      </w:r>
      <w:r w:rsidRPr="00304A39">
        <w:rPr>
          <w:lang w:val="fr-FR"/>
        </w:rPr>
        <w:t>unité ou les unités d</w:t>
      </w:r>
      <w:r>
        <w:rPr>
          <w:lang w:val="fr-FR"/>
        </w:rPr>
        <w:t>’</w:t>
      </w:r>
      <w:r w:rsidRPr="00304A39">
        <w:rPr>
          <w:lang w:val="fr-FR"/>
        </w:rPr>
        <w:t>éclairage supplémentaires ne doivent pas être allumées lorsque l</w:t>
      </w:r>
      <w:r>
        <w:rPr>
          <w:lang w:val="fr-FR"/>
        </w:rPr>
        <w:t>’</w:t>
      </w:r>
      <w:r w:rsidRPr="00304A39">
        <w:rPr>
          <w:lang w:val="fr-FR"/>
        </w:rPr>
        <w:t>angle de roulis est inférieur à 3°.</w:t>
      </w:r>
    </w:p>
    <w:p w14:paraId="05F31E43" w14:textId="77777777" w:rsidR="00C057F9" w:rsidRPr="00304A39" w:rsidRDefault="00C057F9" w:rsidP="002621FD">
      <w:pPr>
        <w:pStyle w:val="SingleTxtG"/>
        <w:ind w:left="2268"/>
        <w:rPr>
          <w:lang w:val="fr-FR"/>
        </w:rPr>
      </w:pPr>
      <w:r w:rsidRPr="00304A39">
        <w:rPr>
          <w:lang w:val="fr-FR"/>
        </w:rPr>
        <w:t>La ou les sources lumineuses supplémentaires ou l</w:t>
      </w:r>
      <w:r>
        <w:rPr>
          <w:lang w:val="fr-FR"/>
        </w:rPr>
        <w:t>’</w:t>
      </w:r>
      <w:r w:rsidRPr="00304A39">
        <w:rPr>
          <w:lang w:val="fr-FR"/>
        </w:rPr>
        <w:t>unité ou les unités d</w:t>
      </w:r>
      <w:r>
        <w:rPr>
          <w:lang w:val="fr-FR"/>
        </w:rPr>
        <w:t>’</w:t>
      </w:r>
      <w:r w:rsidRPr="00304A39">
        <w:rPr>
          <w:lang w:val="fr-FR"/>
        </w:rPr>
        <w:t>éclairage supplémentaires doivent être éteintes lorsque l</w:t>
      </w:r>
      <w:r>
        <w:rPr>
          <w:lang w:val="fr-FR"/>
        </w:rPr>
        <w:t>’</w:t>
      </w:r>
      <w:r w:rsidRPr="00304A39">
        <w:rPr>
          <w:lang w:val="fr-FR"/>
        </w:rPr>
        <w:t>angle ou les angles de roulis sont inférieurs aux angles minimaux indiqués sur la fiche de communication pour l</w:t>
      </w:r>
      <w:r>
        <w:rPr>
          <w:lang w:val="fr-FR"/>
        </w:rPr>
        <w:t>’</w:t>
      </w:r>
      <w:r w:rsidRPr="00304A39">
        <w:rPr>
          <w:lang w:val="fr-FR"/>
        </w:rPr>
        <w:t xml:space="preserve">homologation de type du dispositif conformément au Règlement </w:t>
      </w:r>
      <w:r>
        <w:rPr>
          <w:lang w:val="fr-FR"/>
        </w:rPr>
        <w:t xml:space="preserve">ONU </w:t>
      </w:r>
      <w:r w:rsidRPr="00304A39">
        <w:rPr>
          <w:lang w:val="fr-FR"/>
        </w:rPr>
        <w:t>n</w:t>
      </w:r>
      <w:r w:rsidRPr="00304A39">
        <w:rPr>
          <w:vertAlign w:val="superscript"/>
          <w:lang w:val="fr-FR"/>
        </w:rPr>
        <w:t>o</w:t>
      </w:r>
      <w:r w:rsidRPr="00304A39">
        <w:rPr>
          <w:lang w:val="fr-FR"/>
        </w:rPr>
        <w:t xml:space="preserve"> 113 ou </w:t>
      </w:r>
      <w:r>
        <w:rPr>
          <w:lang w:val="fr-FR"/>
        </w:rPr>
        <w:t>149</w:t>
      </w:r>
      <w:r w:rsidRPr="00304A39">
        <w:rPr>
          <w:lang w:val="fr-FR"/>
        </w:rPr>
        <w:t>. ».</w:t>
      </w:r>
    </w:p>
    <w:p w14:paraId="5ADC96ED" w14:textId="77777777" w:rsidR="00C057F9" w:rsidRPr="00304A39" w:rsidRDefault="00C057F9" w:rsidP="002621FD">
      <w:pPr>
        <w:pStyle w:val="SingleTxtG"/>
        <w:rPr>
          <w:lang w:val="fr-FR"/>
        </w:rPr>
      </w:pPr>
      <w:r w:rsidRPr="00304A39">
        <w:rPr>
          <w:i/>
          <w:lang w:val="fr-FR"/>
        </w:rPr>
        <w:t>Paragraphe 6.3.2</w:t>
      </w:r>
      <w:r w:rsidRPr="00304A39">
        <w:rPr>
          <w:lang w:val="fr-FR"/>
        </w:rPr>
        <w:t>,</w:t>
      </w:r>
      <w:r w:rsidRPr="00304A39">
        <w:rPr>
          <w:i/>
          <w:lang w:val="fr-FR"/>
        </w:rPr>
        <w:t xml:space="preserve"> </w:t>
      </w:r>
      <w:r>
        <w:rPr>
          <w:lang w:val="fr-FR"/>
        </w:rPr>
        <w:t>lire</w:t>
      </w:r>
      <w:r w:rsidRPr="00304A39">
        <w:rPr>
          <w:lang w:val="fr-FR"/>
        </w:rPr>
        <w:t> :</w:t>
      </w:r>
    </w:p>
    <w:p w14:paraId="5B96F0D7" w14:textId="77777777" w:rsidR="00C057F9" w:rsidRPr="00304A39" w:rsidRDefault="00C057F9" w:rsidP="002621FD">
      <w:pPr>
        <w:pStyle w:val="SingleTxtG"/>
        <w:tabs>
          <w:tab w:val="left" w:pos="2268"/>
        </w:tabs>
        <w:ind w:left="2268" w:hanging="1134"/>
        <w:rPr>
          <w:lang w:val="fr-FR"/>
        </w:rPr>
      </w:pPr>
      <w:r w:rsidRPr="00304A39">
        <w:rPr>
          <w:lang w:val="fr-FR"/>
        </w:rPr>
        <w:t>« 6.3.2</w:t>
      </w:r>
      <w:r w:rsidRPr="00304A39">
        <w:rPr>
          <w:lang w:val="fr-FR"/>
        </w:rPr>
        <w:tab/>
      </w:r>
      <w:r>
        <w:rPr>
          <w:lang w:val="fr-FR"/>
        </w:rPr>
        <w:tab/>
      </w:r>
      <w:r w:rsidRPr="00304A39">
        <w:rPr>
          <w:lang w:val="fr-FR"/>
        </w:rPr>
        <w:t>Schéma d</w:t>
      </w:r>
      <w:r>
        <w:rPr>
          <w:lang w:val="fr-FR"/>
        </w:rPr>
        <w:t>’</w:t>
      </w:r>
      <w:r w:rsidRPr="00304A39">
        <w:rPr>
          <w:lang w:val="fr-FR"/>
        </w:rPr>
        <w:t>installation</w:t>
      </w:r>
    </w:p>
    <w:p w14:paraId="48A253C7" w14:textId="77777777" w:rsidR="00C057F9" w:rsidRPr="00304A39" w:rsidRDefault="00C057F9" w:rsidP="002621FD">
      <w:pPr>
        <w:pStyle w:val="SingleTxtG"/>
        <w:ind w:left="2268"/>
        <w:rPr>
          <w:lang w:val="fr-FR"/>
        </w:rPr>
      </w:pPr>
      <w:r w:rsidRPr="00304A39">
        <w:rPr>
          <w:lang w:val="fr-FR"/>
        </w:rPr>
        <w:t xml:space="preserve">Deux indicateurs avant (catégorie 1 comme spécifiée au Règlement </w:t>
      </w:r>
      <w:r>
        <w:rPr>
          <w:lang w:val="fr-FR"/>
        </w:rPr>
        <w:t xml:space="preserve">ONU </w:t>
      </w:r>
      <w:r w:rsidRPr="00304A39">
        <w:rPr>
          <w:lang w:val="fr-FR"/>
        </w:rPr>
        <w:t>n</w:t>
      </w:r>
      <w:r w:rsidRPr="00304A39">
        <w:rPr>
          <w:vertAlign w:val="superscript"/>
          <w:lang w:val="fr-FR"/>
        </w:rPr>
        <w:t>o</w:t>
      </w:r>
      <w:r w:rsidRPr="00304A39">
        <w:rPr>
          <w:lang w:val="fr-FR"/>
        </w:rPr>
        <w:t xml:space="preserve"> 6 ou </w:t>
      </w:r>
      <w:r>
        <w:rPr>
          <w:lang w:val="fr-FR"/>
        </w:rPr>
        <w:t>148</w:t>
      </w:r>
      <w:r w:rsidRPr="00304A39">
        <w:rPr>
          <w:lang w:val="fr-FR"/>
        </w:rPr>
        <w:t xml:space="preserve"> ou catégorie 11 comme spécifiée au Règlement </w:t>
      </w:r>
      <w:r>
        <w:rPr>
          <w:lang w:val="fr-FR"/>
        </w:rPr>
        <w:t xml:space="preserve">ONU </w:t>
      </w:r>
      <w:r w:rsidRPr="00304A39">
        <w:rPr>
          <w:lang w:val="fr-FR"/>
        </w:rPr>
        <w:t>n</w:t>
      </w:r>
      <w:r w:rsidRPr="00304A39">
        <w:rPr>
          <w:vertAlign w:val="superscript"/>
          <w:lang w:val="fr-FR"/>
        </w:rPr>
        <w:t>o</w:t>
      </w:r>
      <w:r>
        <w:rPr>
          <w:lang w:val="fr-FR"/>
        </w:rPr>
        <w:t> </w:t>
      </w:r>
      <w:r w:rsidRPr="00304A39">
        <w:rPr>
          <w:lang w:val="fr-FR"/>
        </w:rPr>
        <w:t xml:space="preserve">50 ou </w:t>
      </w:r>
      <w:r>
        <w:rPr>
          <w:lang w:val="fr-FR"/>
        </w:rPr>
        <w:t>148</w:t>
      </w:r>
      <w:r w:rsidRPr="00304A39">
        <w:rPr>
          <w:lang w:val="fr-FR"/>
        </w:rPr>
        <w:t>).</w:t>
      </w:r>
    </w:p>
    <w:p w14:paraId="1674D3CF" w14:textId="77777777" w:rsidR="00C057F9" w:rsidRPr="00304A39" w:rsidRDefault="00C057F9" w:rsidP="002621FD">
      <w:pPr>
        <w:pStyle w:val="SingleTxtG"/>
        <w:ind w:left="2268"/>
        <w:rPr>
          <w:lang w:val="fr-FR"/>
        </w:rPr>
      </w:pPr>
      <w:r w:rsidRPr="00304A39">
        <w:rPr>
          <w:lang w:val="fr-FR"/>
        </w:rPr>
        <w:lastRenderedPageBreak/>
        <w:t>Deux indicateurs arrière (catégorie 2 comme spécifiée au Règlement</w:t>
      </w:r>
      <w:r>
        <w:rPr>
          <w:lang w:val="fr-FR"/>
        </w:rPr>
        <w:t xml:space="preserve"> ONU</w:t>
      </w:r>
      <w:r w:rsidRPr="00304A39">
        <w:rPr>
          <w:lang w:val="fr-FR"/>
        </w:rPr>
        <w:t xml:space="preserve"> n</w:t>
      </w:r>
      <w:r w:rsidRPr="00304A39">
        <w:rPr>
          <w:vertAlign w:val="superscript"/>
          <w:lang w:val="fr-FR"/>
        </w:rPr>
        <w:t>o</w:t>
      </w:r>
      <w:r w:rsidRPr="00304A39">
        <w:rPr>
          <w:lang w:val="fr-FR"/>
        </w:rPr>
        <w:t xml:space="preserve"> 6 ou </w:t>
      </w:r>
      <w:r>
        <w:rPr>
          <w:lang w:val="fr-FR"/>
        </w:rPr>
        <w:t>148</w:t>
      </w:r>
      <w:r w:rsidRPr="00304A39">
        <w:rPr>
          <w:lang w:val="fr-FR"/>
        </w:rPr>
        <w:t xml:space="preserve"> ou catégorie 12 comme spécifiée au Règlement</w:t>
      </w:r>
      <w:r>
        <w:rPr>
          <w:lang w:val="fr-FR"/>
        </w:rPr>
        <w:t xml:space="preserve"> ONU</w:t>
      </w:r>
      <w:r w:rsidRPr="00304A39">
        <w:rPr>
          <w:lang w:val="fr-FR"/>
        </w:rPr>
        <w:t xml:space="preserve"> n</w:t>
      </w:r>
      <w:r w:rsidRPr="00304A39">
        <w:rPr>
          <w:vertAlign w:val="superscript"/>
          <w:lang w:val="fr-FR"/>
        </w:rPr>
        <w:t>o</w:t>
      </w:r>
      <w:r w:rsidRPr="00304A39">
        <w:rPr>
          <w:lang w:val="fr-FR"/>
        </w:rPr>
        <w:t xml:space="preserve"> 50 ou </w:t>
      </w:r>
      <w:r>
        <w:rPr>
          <w:lang w:val="fr-FR"/>
        </w:rPr>
        <w:t>148</w:t>
      </w:r>
      <w:r w:rsidRPr="00304A39">
        <w:rPr>
          <w:lang w:val="fr-FR"/>
        </w:rPr>
        <w:t>). ».</w:t>
      </w:r>
      <w:r>
        <w:rPr>
          <w:lang w:val="fr-FR"/>
        </w:rPr>
        <w:t xml:space="preserve"> </w:t>
      </w:r>
    </w:p>
    <w:p w14:paraId="1AEE6FDD" w14:textId="77777777" w:rsidR="00C057F9" w:rsidRPr="003C5131" w:rsidRDefault="00C057F9" w:rsidP="002621FD">
      <w:pPr>
        <w:pStyle w:val="SingleTxtG"/>
        <w:rPr>
          <w:i/>
          <w:iCs/>
          <w:lang w:val="fr-FR"/>
        </w:rPr>
      </w:pPr>
      <w:r w:rsidRPr="003C5131">
        <w:rPr>
          <w:i/>
          <w:iCs/>
          <w:lang w:val="fr-FR"/>
        </w:rPr>
        <w:t>Paragraphe 6.3.6</w:t>
      </w:r>
      <w:r w:rsidRPr="003C5131">
        <w:rPr>
          <w:lang w:val="fr-FR"/>
        </w:rPr>
        <w:t>, lire</w:t>
      </w:r>
      <w:r>
        <w:rPr>
          <w:lang w:val="fr-FR"/>
        </w:rPr>
        <w:t> </w:t>
      </w:r>
      <w:r w:rsidRPr="003C5131">
        <w:rPr>
          <w:lang w:val="fr-FR"/>
        </w:rPr>
        <w:t>:</w:t>
      </w:r>
    </w:p>
    <w:p w14:paraId="48462596" w14:textId="77777777" w:rsidR="00C057F9" w:rsidRPr="003C5131" w:rsidRDefault="00C057F9" w:rsidP="002621FD">
      <w:pPr>
        <w:pStyle w:val="SingleTxtG"/>
        <w:tabs>
          <w:tab w:val="left" w:pos="2268"/>
        </w:tabs>
        <w:ind w:left="2268" w:hanging="1134"/>
        <w:rPr>
          <w:rFonts w:eastAsia="MS Mincho"/>
          <w:color w:val="000000"/>
          <w:lang w:val="fr-FR" w:eastAsia="ja-JP"/>
        </w:rPr>
      </w:pPr>
      <w:r>
        <w:rPr>
          <w:rFonts w:eastAsia="MS Mincho"/>
          <w:lang w:val="fr-FR" w:eastAsia="ja-JP"/>
        </w:rPr>
        <w:t>« </w:t>
      </w:r>
      <w:r w:rsidRPr="003C5131">
        <w:rPr>
          <w:rFonts w:eastAsia="MS Mincho"/>
          <w:lang w:val="fr-FR" w:eastAsia="ja-JP"/>
        </w:rPr>
        <w:t>6.3.6</w:t>
      </w:r>
      <w:r w:rsidRPr="003C5131">
        <w:rPr>
          <w:rFonts w:eastAsia="MS Mincho"/>
          <w:lang w:val="fr-FR" w:eastAsia="ja-JP"/>
        </w:rPr>
        <w:tab/>
        <w:t xml:space="preserve">Branchements </w:t>
      </w:r>
      <w:r w:rsidRPr="002621FD">
        <w:rPr>
          <w:lang w:val="fr-FR"/>
        </w:rPr>
        <w:t>électriques</w:t>
      </w:r>
    </w:p>
    <w:p w14:paraId="461CBD17" w14:textId="77777777" w:rsidR="00C057F9" w:rsidRPr="003C5131" w:rsidRDefault="00C057F9" w:rsidP="002621FD">
      <w:pPr>
        <w:pStyle w:val="SingleTxtG"/>
        <w:tabs>
          <w:tab w:val="left" w:pos="2268"/>
        </w:tabs>
        <w:ind w:left="2268" w:hanging="1134"/>
        <w:rPr>
          <w:rFonts w:eastAsia="MS Mincho"/>
          <w:color w:val="000000"/>
          <w:lang w:val="fr-FR" w:eastAsia="ja-JP"/>
        </w:rPr>
      </w:pPr>
      <w:r>
        <w:rPr>
          <w:rFonts w:eastAsia="MS Mincho"/>
          <w:lang w:val="fr-FR" w:eastAsia="ja-JP"/>
        </w:rPr>
        <w:t>6.3.6.1</w:t>
      </w:r>
      <w:r>
        <w:rPr>
          <w:rFonts w:eastAsia="MS Mincho"/>
          <w:lang w:val="fr-FR" w:eastAsia="ja-JP"/>
        </w:rPr>
        <w:tab/>
      </w:r>
      <w:r w:rsidRPr="003C5131">
        <w:rPr>
          <w:rFonts w:eastAsia="MS Mincho"/>
          <w:lang w:val="fr-FR" w:eastAsia="ja-JP"/>
        </w:rPr>
        <w:t>L</w:t>
      </w:r>
      <w:r>
        <w:rPr>
          <w:rFonts w:eastAsia="MS Mincho"/>
          <w:lang w:val="fr-FR" w:eastAsia="ja-JP"/>
        </w:rPr>
        <w:t>’</w:t>
      </w:r>
      <w:r w:rsidRPr="003C5131">
        <w:rPr>
          <w:rFonts w:eastAsia="MS Mincho"/>
          <w:lang w:val="fr-FR" w:eastAsia="ja-JP"/>
        </w:rPr>
        <w:t>allumage des feux indicateurs de direction doit être indépendant de celui des autres feux. Tous les indicateurs de direction situés sur un même côté du véhicule doivent être allumés et</w:t>
      </w:r>
      <w:r>
        <w:rPr>
          <w:rFonts w:eastAsia="MS Mincho"/>
          <w:lang w:val="fr-FR" w:eastAsia="ja-JP"/>
        </w:rPr>
        <w:t xml:space="preserve"> éteints par la même commande.</w:t>
      </w:r>
    </w:p>
    <w:p w14:paraId="578EEDC7" w14:textId="77777777" w:rsidR="00C057F9" w:rsidRPr="003C5131" w:rsidRDefault="00C057F9" w:rsidP="002621FD">
      <w:pPr>
        <w:pStyle w:val="SingleTxtG"/>
        <w:tabs>
          <w:tab w:val="left" w:pos="2268"/>
        </w:tabs>
        <w:ind w:left="2268" w:hanging="1134"/>
        <w:rPr>
          <w:rFonts w:eastAsia="MS Mincho"/>
          <w:color w:val="000000"/>
          <w:lang w:val="fr-FR" w:eastAsia="ja-JP"/>
        </w:rPr>
      </w:pPr>
      <w:r w:rsidRPr="003C5131">
        <w:rPr>
          <w:rFonts w:eastAsia="MS Mincho"/>
          <w:lang w:val="fr-FR" w:eastAsia="ja-JP"/>
        </w:rPr>
        <w:t>6.3.6.2</w:t>
      </w:r>
      <w:r w:rsidRPr="003C5131">
        <w:rPr>
          <w:rFonts w:eastAsia="MS Mincho"/>
          <w:lang w:val="fr-FR" w:eastAsia="ja-JP"/>
        </w:rPr>
        <w:tab/>
        <w:t>Les feux indicateurs de direction peuvent être allumés pour indiquer l</w:t>
      </w:r>
      <w:r>
        <w:rPr>
          <w:rFonts w:eastAsia="MS Mincho"/>
          <w:lang w:val="fr-FR" w:eastAsia="ja-JP"/>
        </w:rPr>
        <w:t>’</w:t>
      </w:r>
      <w:r w:rsidRPr="003C5131">
        <w:rPr>
          <w:rFonts w:eastAsia="MS Mincho"/>
          <w:lang w:val="fr-FR" w:eastAsia="ja-JP"/>
        </w:rPr>
        <w:t>état du dispositif de protection du véhicule contre une utilisation non autorisée.</w:t>
      </w:r>
    </w:p>
    <w:p w14:paraId="2144BDA4" w14:textId="77777777" w:rsidR="00C057F9" w:rsidRPr="003C5131" w:rsidRDefault="00C057F9" w:rsidP="002621FD">
      <w:pPr>
        <w:pStyle w:val="SingleTxtG"/>
        <w:tabs>
          <w:tab w:val="left" w:pos="2268"/>
        </w:tabs>
        <w:ind w:left="2268" w:hanging="1134"/>
        <w:rPr>
          <w:rFonts w:eastAsia="MS Mincho"/>
          <w:color w:val="000000"/>
          <w:lang w:val="fr-FR" w:eastAsia="ja-JP"/>
        </w:rPr>
      </w:pPr>
      <w:r w:rsidRPr="003C5131">
        <w:rPr>
          <w:rFonts w:eastAsia="MS Mincho"/>
          <w:lang w:val="fr-FR" w:eastAsia="ja-JP"/>
        </w:rPr>
        <w:t>6.3.6.3</w:t>
      </w:r>
      <w:r w:rsidRPr="003C5131">
        <w:rPr>
          <w:rFonts w:eastAsia="MS Mincho"/>
          <w:lang w:val="fr-FR" w:eastAsia="ja-JP"/>
        </w:rPr>
        <w:tab/>
        <w:t>L</w:t>
      </w:r>
      <w:r>
        <w:rPr>
          <w:rFonts w:eastAsia="MS Mincho"/>
          <w:lang w:val="fr-FR" w:eastAsia="ja-JP"/>
        </w:rPr>
        <w:t>’</w:t>
      </w:r>
      <w:r w:rsidRPr="003C5131">
        <w:rPr>
          <w:rFonts w:eastAsia="MS Mincho"/>
          <w:lang w:val="fr-FR" w:eastAsia="ja-JP"/>
        </w:rPr>
        <w:t>indication décrite au paragraphe</w:t>
      </w:r>
      <w:r>
        <w:rPr>
          <w:rFonts w:eastAsia="MS Mincho"/>
          <w:lang w:val="fr-FR" w:eastAsia="ja-JP"/>
        </w:rPr>
        <w:t> </w:t>
      </w:r>
      <w:r w:rsidRPr="003C5131">
        <w:rPr>
          <w:rFonts w:eastAsia="MS Mincho"/>
          <w:lang w:val="fr-FR" w:eastAsia="ja-JP"/>
        </w:rPr>
        <w:t>6.3.6.2 doit être produite par le fonctionnement simultané des feux indicateurs de direction et doit r</w:t>
      </w:r>
      <w:r>
        <w:rPr>
          <w:rFonts w:eastAsia="MS Mincho"/>
          <w:lang w:val="fr-FR" w:eastAsia="ja-JP"/>
        </w:rPr>
        <w:t>emplir les conditions suivantes </w:t>
      </w:r>
      <w:r w:rsidRPr="003C5131">
        <w:rPr>
          <w:rFonts w:eastAsia="MS Mincho"/>
          <w:lang w:val="fr-FR" w:eastAsia="ja-JP"/>
        </w:rPr>
        <w:t>:</w:t>
      </w:r>
    </w:p>
    <w:p w14:paraId="652C07F4" w14:textId="77777777" w:rsidR="00C057F9" w:rsidRPr="003C5131" w:rsidRDefault="00C057F9" w:rsidP="00683BDF">
      <w:pPr>
        <w:pStyle w:val="SingleTxtG"/>
        <w:tabs>
          <w:tab w:val="left" w:pos="5103"/>
        </w:tabs>
        <w:ind w:left="2268"/>
        <w:rPr>
          <w:rFonts w:eastAsia="MS Mincho"/>
          <w:color w:val="000000"/>
          <w:lang w:val="fr-FR" w:eastAsia="ja-JP"/>
        </w:rPr>
      </w:pPr>
      <w:r w:rsidRPr="00AA54D0">
        <w:rPr>
          <w:lang w:val="fr-FR"/>
        </w:rPr>
        <w:t>En</w:t>
      </w:r>
      <w:r>
        <w:rPr>
          <w:rFonts w:eastAsia="MS Mincho"/>
          <w:lang w:val="fr-FR" w:eastAsia="ja-JP"/>
        </w:rPr>
        <w:t xml:space="preserve"> cas d’indication unique :</w:t>
      </w:r>
      <w:r w:rsidR="00687E17">
        <w:rPr>
          <w:rFonts w:eastAsia="MS Mincho"/>
          <w:lang w:val="fr-FR" w:eastAsia="ja-JP"/>
        </w:rPr>
        <w:tab/>
      </w:r>
      <w:r w:rsidR="00683BDF">
        <w:rPr>
          <w:rFonts w:eastAsia="MS Mincho"/>
          <w:lang w:val="fr-FR" w:eastAsia="ja-JP"/>
        </w:rPr>
        <w:tab/>
      </w:r>
      <w:r>
        <w:rPr>
          <w:rFonts w:eastAsia="MS Mincho"/>
          <w:lang w:val="fr-FR" w:eastAsia="ja-JP"/>
        </w:rPr>
        <w:t>3 </w:t>
      </w:r>
      <w:r w:rsidRPr="003C5131">
        <w:rPr>
          <w:rFonts w:eastAsia="MS Mincho"/>
          <w:lang w:val="fr-FR" w:eastAsia="ja-JP"/>
        </w:rPr>
        <w:t xml:space="preserve">secondes au </w:t>
      </w:r>
      <w:r w:rsidRPr="002621FD">
        <w:rPr>
          <w:lang w:val="fr-FR"/>
        </w:rPr>
        <w:t>maximum</w:t>
      </w:r>
    </w:p>
    <w:p w14:paraId="653A1180" w14:textId="77777777" w:rsidR="00C057F9" w:rsidRPr="003C5131" w:rsidRDefault="00C057F9" w:rsidP="002621FD">
      <w:pPr>
        <w:pStyle w:val="SingleTxtG"/>
        <w:ind w:left="2268"/>
        <w:rPr>
          <w:rFonts w:eastAsia="MS Mincho"/>
          <w:color w:val="000000"/>
          <w:lang w:val="fr-FR" w:eastAsia="ja-JP"/>
        </w:rPr>
      </w:pPr>
      <w:r w:rsidRPr="00AA54D0">
        <w:rPr>
          <w:lang w:val="fr-FR"/>
        </w:rPr>
        <w:t>En</w:t>
      </w:r>
      <w:r w:rsidRPr="003C5131">
        <w:rPr>
          <w:rFonts w:eastAsia="MS Mincho"/>
          <w:lang w:val="fr-FR" w:eastAsia="ja-JP"/>
        </w:rPr>
        <w:t xml:space="preserve"> cas d</w:t>
      </w:r>
      <w:r>
        <w:rPr>
          <w:rFonts w:eastAsia="MS Mincho"/>
          <w:lang w:val="fr-FR" w:eastAsia="ja-JP"/>
        </w:rPr>
        <w:t xml:space="preserve">’indication </w:t>
      </w:r>
      <w:r w:rsidRPr="002621FD">
        <w:rPr>
          <w:lang w:val="fr-FR"/>
        </w:rPr>
        <w:t>continue</w:t>
      </w:r>
      <w:r>
        <w:rPr>
          <w:rFonts w:eastAsia="MS Mincho"/>
          <w:lang w:val="fr-FR" w:eastAsia="ja-JP"/>
        </w:rPr>
        <w:t> </w:t>
      </w:r>
      <w:r w:rsidRPr="003C5131">
        <w:rPr>
          <w:rFonts w:eastAsia="MS Mincho"/>
          <w:lang w:val="fr-FR" w:eastAsia="ja-JP"/>
        </w:rPr>
        <w:t>:</w:t>
      </w:r>
    </w:p>
    <w:p w14:paraId="7FBE50FC" w14:textId="77777777" w:rsidR="00C057F9" w:rsidRPr="003C5131" w:rsidRDefault="00C057F9" w:rsidP="00683BDF">
      <w:pPr>
        <w:pStyle w:val="SingleTxtG"/>
        <w:tabs>
          <w:tab w:val="left" w:pos="5103"/>
        </w:tabs>
        <w:ind w:left="2835"/>
        <w:rPr>
          <w:rFonts w:eastAsia="MS Mincho"/>
          <w:color w:val="000000"/>
          <w:lang w:val="fr-FR" w:eastAsia="ja-JP"/>
        </w:rPr>
      </w:pPr>
      <w:r>
        <w:rPr>
          <w:rFonts w:eastAsia="MS Mincho"/>
          <w:lang w:val="fr-FR" w:eastAsia="ja-JP"/>
        </w:rPr>
        <w:t>Durée :</w:t>
      </w:r>
      <w:r>
        <w:rPr>
          <w:rFonts w:eastAsia="MS Mincho"/>
          <w:lang w:val="fr-FR" w:eastAsia="ja-JP"/>
        </w:rPr>
        <w:tab/>
      </w:r>
      <w:r w:rsidR="00683BDF">
        <w:rPr>
          <w:rFonts w:eastAsia="MS Mincho"/>
          <w:lang w:val="fr-FR" w:eastAsia="ja-JP"/>
        </w:rPr>
        <w:tab/>
      </w:r>
      <w:r>
        <w:rPr>
          <w:rFonts w:eastAsia="MS Mincho"/>
          <w:lang w:val="fr-FR" w:eastAsia="ja-JP"/>
        </w:rPr>
        <w:t>5 </w:t>
      </w:r>
      <w:r w:rsidRPr="003C5131">
        <w:rPr>
          <w:rFonts w:eastAsia="MS Mincho"/>
          <w:lang w:val="fr-FR" w:eastAsia="ja-JP"/>
        </w:rPr>
        <w:t xml:space="preserve">minutes au </w:t>
      </w:r>
      <w:r w:rsidRPr="002621FD">
        <w:rPr>
          <w:lang w:val="fr-FR"/>
        </w:rPr>
        <w:t>maximum</w:t>
      </w:r>
    </w:p>
    <w:p w14:paraId="4335CC8E" w14:textId="77777777" w:rsidR="00C057F9" w:rsidRPr="003C5131" w:rsidRDefault="00C057F9" w:rsidP="00683BDF">
      <w:pPr>
        <w:pStyle w:val="SingleTxtG"/>
        <w:tabs>
          <w:tab w:val="left" w:pos="5103"/>
        </w:tabs>
        <w:ind w:left="2835"/>
        <w:rPr>
          <w:rFonts w:eastAsia="MS Mincho"/>
          <w:color w:val="000000"/>
          <w:lang w:val="fr-FR" w:eastAsia="ja-JP"/>
        </w:rPr>
      </w:pPr>
      <w:r w:rsidRPr="003C5131">
        <w:rPr>
          <w:rFonts w:eastAsia="MS Mincho"/>
          <w:lang w:val="fr-FR" w:eastAsia="ja-JP"/>
        </w:rPr>
        <w:t>Fréquence</w:t>
      </w:r>
      <w:r>
        <w:rPr>
          <w:rFonts w:eastAsia="MS Mincho"/>
          <w:lang w:val="fr-FR" w:eastAsia="ja-JP"/>
        </w:rPr>
        <w:t> :</w:t>
      </w:r>
      <w:r>
        <w:rPr>
          <w:rFonts w:eastAsia="MS Mincho"/>
          <w:lang w:val="fr-FR" w:eastAsia="ja-JP"/>
        </w:rPr>
        <w:tab/>
      </w:r>
      <w:r w:rsidR="002621FD">
        <w:rPr>
          <w:rFonts w:eastAsia="MS Mincho"/>
          <w:lang w:val="fr-FR" w:eastAsia="ja-JP"/>
        </w:rPr>
        <w:tab/>
      </w:r>
      <w:r w:rsidRPr="003C5131">
        <w:rPr>
          <w:rFonts w:eastAsia="MS Mincho"/>
          <w:lang w:val="fr-FR" w:eastAsia="ja-JP"/>
        </w:rPr>
        <w:t xml:space="preserve">(2 ± 1) </w:t>
      </w:r>
      <w:r w:rsidRPr="00683BDF">
        <w:rPr>
          <w:rFonts w:eastAsia="MS Mincho"/>
          <w:lang w:val="fr-FR" w:eastAsia="ja-JP"/>
        </w:rPr>
        <w:t>Hz</w:t>
      </w:r>
    </w:p>
    <w:p w14:paraId="01F54AEB" w14:textId="77777777" w:rsidR="00C057F9" w:rsidRPr="003C5131" w:rsidRDefault="00C057F9" w:rsidP="00683BDF">
      <w:pPr>
        <w:pStyle w:val="SingleTxtG"/>
        <w:tabs>
          <w:tab w:val="left" w:pos="5103"/>
        </w:tabs>
        <w:ind w:left="2835"/>
        <w:rPr>
          <w:rFonts w:eastAsia="MS Mincho"/>
          <w:color w:val="000000"/>
          <w:lang w:val="fr-FR" w:eastAsia="ja-JP"/>
        </w:rPr>
      </w:pPr>
      <w:r>
        <w:rPr>
          <w:rFonts w:eastAsia="MS Mincho"/>
          <w:lang w:val="fr-FR" w:eastAsia="ja-JP"/>
        </w:rPr>
        <w:t>Durée de marche :</w:t>
      </w:r>
      <w:r>
        <w:rPr>
          <w:rFonts w:eastAsia="MS Mincho"/>
          <w:lang w:val="fr-FR" w:eastAsia="ja-JP"/>
        </w:rPr>
        <w:tab/>
      </w:r>
      <w:r w:rsidR="00683BDF">
        <w:rPr>
          <w:rFonts w:eastAsia="MS Mincho"/>
          <w:lang w:val="fr-FR" w:eastAsia="ja-JP"/>
        </w:rPr>
        <w:tab/>
      </w:r>
      <w:r w:rsidRPr="003C5131">
        <w:rPr>
          <w:rFonts w:eastAsia="MS Mincho"/>
          <w:lang w:val="fr-FR" w:eastAsia="ja-JP"/>
        </w:rPr>
        <w:t xml:space="preserve">durée </w:t>
      </w:r>
      <w:r w:rsidRPr="00683BDF">
        <w:rPr>
          <w:rFonts w:eastAsia="MS Mincho"/>
          <w:lang w:val="fr-FR" w:eastAsia="ja-JP"/>
        </w:rPr>
        <w:t>d’arrêt</w:t>
      </w:r>
      <w:r w:rsidRPr="003C5131">
        <w:rPr>
          <w:rFonts w:eastAsia="MS Mincho"/>
          <w:lang w:val="fr-FR" w:eastAsia="ja-JP"/>
        </w:rPr>
        <w:t xml:space="preserve"> ± 10</w:t>
      </w:r>
      <w:r>
        <w:rPr>
          <w:rFonts w:eastAsia="MS Mincho"/>
          <w:lang w:val="fr-FR" w:eastAsia="ja-JP"/>
        </w:rPr>
        <w:t> %</w:t>
      </w:r>
    </w:p>
    <w:p w14:paraId="3A47B8FE" w14:textId="77777777" w:rsidR="00C057F9" w:rsidRPr="00091C07" w:rsidRDefault="00C057F9" w:rsidP="002621FD">
      <w:pPr>
        <w:pStyle w:val="SingleTxtG"/>
        <w:ind w:left="2268"/>
        <w:rPr>
          <w:rFonts w:eastAsia="MS Mincho"/>
          <w:color w:val="000000"/>
          <w:spacing w:val="-2"/>
          <w:lang w:val="fr-FR" w:eastAsia="ja-JP"/>
        </w:rPr>
      </w:pPr>
      <w:r w:rsidRPr="00091C07">
        <w:rPr>
          <w:rFonts w:eastAsia="MS Mincho"/>
          <w:spacing w:val="-2"/>
          <w:lang w:val="fr-FR" w:eastAsia="ja-JP"/>
        </w:rPr>
        <w:t xml:space="preserve">Cette indication n’est autorisée que </w:t>
      </w:r>
      <w:r w:rsidRPr="002621FD">
        <w:rPr>
          <w:rFonts w:eastAsia="MS Mincho"/>
          <w:lang w:val="fr-FR" w:eastAsia="ja-JP"/>
        </w:rPr>
        <w:t>lorsque</w:t>
      </w:r>
      <w:r w:rsidRPr="00091C07">
        <w:rPr>
          <w:rFonts w:eastAsia="MS Mincho"/>
          <w:spacing w:val="-2"/>
          <w:lang w:val="fr-FR" w:eastAsia="ja-JP"/>
        </w:rPr>
        <w:t xml:space="preserve"> le dispositif qui commande le démarrage ou l’arrêt du moteur (système de propulsion) est placé dans une position dans laquelle le moteur (système de propulsion) ne peut fonctionner. ».</w:t>
      </w:r>
    </w:p>
    <w:p w14:paraId="6C90B4C6" w14:textId="77777777" w:rsidR="00C057F9" w:rsidRPr="0003436A" w:rsidRDefault="00C057F9" w:rsidP="002621FD">
      <w:pPr>
        <w:pStyle w:val="SingleTxtG"/>
      </w:pPr>
      <w:r w:rsidRPr="0003436A">
        <w:rPr>
          <w:i/>
        </w:rPr>
        <w:t>Paragraphe 6.3.7</w:t>
      </w:r>
      <w:r w:rsidRPr="0003436A">
        <w:t xml:space="preserve">, </w:t>
      </w:r>
      <w:r w:rsidRPr="002621FD">
        <w:rPr>
          <w:lang w:val="fr-FR"/>
        </w:rPr>
        <w:t>supprimer</w:t>
      </w:r>
      <w:r w:rsidRPr="0003436A">
        <w:t>.</w:t>
      </w:r>
    </w:p>
    <w:p w14:paraId="0674123C" w14:textId="77777777" w:rsidR="00C057F9" w:rsidRPr="0003436A" w:rsidRDefault="00C057F9" w:rsidP="002621FD">
      <w:pPr>
        <w:pStyle w:val="SingleTxtG"/>
        <w:rPr>
          <w:i/>
        </w:rPr>
      </w:pPr>
      <w:r w:rsidRPr="0003436A">
        <w:rPr>
          <w:i/>
        </w:rPr>
        <w:t xml:space="preserve">Les paragraphes 6.3.8 à 6.3.9.4 </w:t>
      </w:r>
      <w:r w:rsidRPr="0003436A">
        <w:t>deviennent les paragraphes 6.3.7 à 6.3.8.4.</w:t>
      </w:r>
    </w:p>
    <w:p w14:paraId="2DEC367B" w14:textId="77777777" w:rsidR="00C057F9" w:rsidRPr="00304A39" w:rsidRDefault="00C057F9" w:rsidP="002621FD">
      <w:pPr>
        <w:pStyle w:val="SingleTxtG"/>
        <w:rPr>
          <w:lang w:val="fr-FR"/>
        </w:rPr>
      </w:pPr>
      <w:r w:rsidRPr="00304A39">
        <w:rPr>
          <w:i/>
          <w:lang w:val="fr-FR"/>
        </w:rPr>
        <w:t>Paragraphe 6.4.1</w:t>
      </w:r>
      <w:r w:rsidRPr="00304A39">
        <w:rPr>
          <w:lang w:val="fr-FR"/>
        </w:rPr>
        <w:t>,</w:t>
      </w:r>
      <w:r w:rsidRPr="00304A39">
        <w:rPr>
          <w:i/>
          <w:lang w:val="fr-FR"/>
        </w:rPr>
        <w:t xml:space="preserve"> </w:t>
      </w:r>
      <w:r>
        <w:rPr>
          <w:lang w:val="fr-FR"/>
        </w:rPr>
        <w:t>lire</w:t>
      </w:r>
      <w:r w:rsidRPr="00304A39">
        <w:rPr>
          <w:lang w:val="fr-FR"/>
        </w:rPr>
        <w:t> :</w:t>
      </w:r>
    </w:p>
    <w:p w14:paraId="59F2C661" w14:textId="77777777" w:rsidR="00C057F9" w:rsidRPr="00304A39" w:rsidRDefault="00C057F9" w:rsidP="002621FD">
      <w:pPr>
        <w:pStyle w:val="SingleTxtG"/>
        <w:tabs>
          <w:tab w:val="left" w:pos="2268"/>
        </w:tabs>
        <w:ind w:left="2268" w:hanging="1134"/>
        <w:rPr>
          <w:lang w:val="fr-FR"/>
        </w:rPr>
      </w:pPr>
      <w:r w:rsidRPr="00304A39">
        <w:rPr>
          <w:lang w:val="fr-FR"/>
        </w:rPr>
        <w:t>« 6.4.1</w:t>
      </w:r>
      <w:r>
        <w:rPr>
          <w:lang w:val="fr-FR"/>
        </w:rPr>
        <w:tab/>
      </w:r>
      <w:r w:rsidRPr="002621FD">
        <w:rPr>
          <w:rFonts w:eastAsia="MS Mincho"/>
          <w:lang w:val="fr-FR" w:eastAsia="ja-JP"/>
        </w:rPr>
        <w:t>Nombre</w:t>
      </w:r>
    </w:p>
    <w:p w14:paraId="51B14BD5" w14:textId="77777777" w:rsidR="00C057F9" w:rsidRPr="00304A39" w:rsidRDefault="00C057F9" w:rsidP="002621FD">
      <w:pPr>
        <w:pStyle w:val="SingleTxtG"/>
        <w:ind w:left="2268"/>
        <w:rPr>
          <w:lang w:val="fr-FR"/>
        </w:rPr>
      </w:pPr>
      <w:r w:rsidRPr="00304A39">
        <w:rPr>
          <w:lang w:val="fr-FR"/>
        </w:rPr>
        <w:t xml:space="preserve">Un ou deux approuvés en tant que </w:t>
      </w:r>
      <w:r w:rsidRPr="002621FD">
        <w:rPr>
          <w:rFonts w:eastAsia="MS Mincho"/>
          <w:spacing w:val="-2"/>
          <w:lang w:val="fr-FR" w:eastAsia="ja-JP"/>
        </w:rPr>
        <w:t>dispositif</w:t>
      </w:r>
      <w:r w:rsidRPr="00304A39">
        <w:rPr>
          <w:lang w:val="fr-FR"/>
        </w:rPr>
        <w:t xml:space="preserve"> de la catégorie S1 conformément au Règlement</w:t>
      </w:r>
      <w:r>
        <w:rPr>
          <w:lang w:val="fr-FR"/>
        </w:rPr>
        <w:t xml:space="preserve"> ONU</w:t>
      </w:r>
      <w:r w:rsidRPr="00304A39">
        <w:rPr>
          <w:lang w:val="fr-FR"/>
        </w:rPr>
        <w:t xml:space="preserve"> n</w:t>
      </w:r>
      <w:r w:rsidRPr="00304A39">
        <w:rPr>
          <w:vertAlign w:val="superscript"/>
          <w:lang w:val="fr-FR"/>
        </w:rPr>
        <w:t>o</w:t>
      </w:r>
      <w:r w:rsidRPr="00304A39">
        <w:rPr>
          <w:lang w:val="fr-FR"/>
        </w:rPr>
        <w:t xml:space="preserve"> 7 ou </w:t>
      </w:r>
      <w:r>
        <w:rPr>
          <w:lang w:val="fr-FR"/>
        </w:rPr>
        <w:t>148</w:t>
      </w:r>
      <w:r w:rsidRPr="00304A39">
        <w:rPr>
          <w:lang w:val="fr-FR"/>
        </w:rPr>
        <w:t xml:space="preserve"> ou feu-stop homologué conformément au Règlement </w:t>
      </w:r>
      <w:r>
        <w:rPr>
          <w:lang w:val="fr-FR"/>
        </w:rPr>
        <w:t xml:space="preserve">ONU </w:t>
      </w:r>
      <w:r w:rsidRPr="00304A39">
        <w:rPr>
          <w:lang w:val="fr-FR"/>
        </w:rPr>
        <w:t>n</w:t>
      </w:r>
      <w:r w:rsidRPr="00304A39">
        <w:rPr>
          <w:vertAlign w:val="superscript"/>
          <w:lang w:val="fr-FR"/>
        </w:rPr>
        <w:t>o</w:t>
      </w:r>
      <w:r w:rsidRPr="00304A39">
        <w:rPr>
          <w:lang w:val="fr-FR"/>
        </w:rPr>
        <w:t xml:space="preserve"> 50 ou feu-stop pour véhicules de la catégorie L tel que précisé dans le Règlement </w:t>
      </w:r>
      <w:r>
        <w:rPr>
          <w:lang w:val="fr-FR"/>
        </w:rPr>
        <w:t xml:space="preserve">ONU </w:t>
      </w:r>
      <w:r w:rsidRPr="00304A39">
        <w:rPr>
          <w:lang w:val="fr-FR"/>
        </w:rPr>
        <w:t>n</w:t>
      </w:r>
      <w:r w:rsidRPr="00304A39">
        <w:rPr>
          <w:vertAlign w:val="superscript"/>
          <w:lang w:val="fr-FR"/>
        </w:rPr>
        <w:t>o</w:t>
      </w:r>
      <w:r>
        <w:rPr>
          <w:lang w:val="fr-FR"/>
        </w:rPr>
        <w:t> 148</w:t>
      </w:r>
      <w:r w:rsidRPr="00304A39">
        <w:rPr>
          <w:lang w:val="fr-FR"/>
        </w:rPr>
        <w:t>.</w:t>
      </w:r>
    </w:p>
    <w:p w14:paraId="19B706FE" w14:textId="77777777" w:rsidR="00C057F9" w:rsidRPr="00304A39" w:rsidRDefault="00C057F9" w:rsidP="002621FD">
      <w:pPr>
        <w:pStyle w:val="SingleTxtG"/>
        <w:ind w:left="2268"/>
        <w:rPr>
          <w:lang w:val="fr-FR"/>
        </w:rPr>
      </w:pPr>
      <w:r w:rsidRPr="00304A39">
        <w:rPr>
          <w:lang w:val="fr-FR"/>
        </w:rPr>
        <w:t>À titre facultatif, un homologué en tant que dispositif de la catégorie S3 conformément au Règlement</w:t>
      </w:r>
      <w:r>
        <w:rPr>
          <w:lang w:val="fr-FR"/>
        </w:rPr>
        <w:t xml:space="preserve"> ONU</w:t>
      </w:r>
      <w:r w:rsidRPr="00304A39">
        <w:rPr>
          <w:lang w:val="fr-FR"/>
        </w:rPr>
        <w:t xml:space="preserve"> n</w:t>
      </w:r>
      <w:r w:rsidRPr="00304A39">
        <w:rPr>
          <w:vertAlign w:val="superscript"/>
          <w:lang w:val="fr-FR"/>
        </w:rPr>
        <w:t>o</w:t>
      </w:r>
      <w:r w:rsidRPr="00304A39">
        <w:rPr>
          <w:lang w:val="fr-FR"/>
        </w:rPr>
        <w:t xml:space="preserve"> 7 ou </w:t>
      </w:r>
      <w:r>
        <w:rPr>
          <w:lang w:val="fr-FR"/>
        </w:rPr>
        <w:t>148</w:t>
      </w:r>
      <w:r w:rsidRPr="00304A39">
        <w:rPr>
          <w:lang w:val="fr-FR"/>
        </w:rPr>
        <w:t>. ».</w:t>
      </w:r>
    </w:p>
    <w:p w14:paraId="1D94053C" w14:textId="77777777" w:rsidR="00C057F9" w:rsidRPr="00304A39" w:rsidRDefault="00C057F9" w:rsidP="002621FD">
      <w:pPr>
        <w:pStyle w:val="SingleTxtG"/>
        <w:rPr>
          <w:lang w:val="fr-FR"/>
        </w:rPr>
      </w:pPr>
      <w:r w:rsidRPr="00304A39">
        <w:rPr>
          <w:i/>
          <w:lang w:val="fr-FR"/>
        </w:rPr>
        <w:t>Paragraphe 6.4.3</w:t>
      </w:r>
      <w:r w:rsidRPr="00304A39">
        <w:rPr>
          <w:lang w:val="fr-FR"/>
        </w:rPr>
        <w:t>,</w:t>
      </w:r>
      <w:r w:rsidRPr="00304A39">
        <w:rPr>
          <w:i/>
          <w:lang w:val="fr-FR"/>
        </w:rPr>
        <w:t xml:space="preserve"> </w:t>
      </w:r>
      <w:r>
        <w:rPr>
          <w:lang w:val="fr-FR"/>
        </w:rPr>
        <w:t>lire</w:t>
      </w:r>
      <w:r w:rsidRPr="00304A39">
        <w:rPr>
          <w:lang w:val="fr-FR"/>
        </w:rPr>
        <w:t> :</w:t>
      </w:r>
    </w:p>
    <w:p w14:paraId="529982CC" w14:textId="77777777" w:rsidR="00C057F9" w:rsidRPr="00304A39" w:rsidRDefault="00C057F9" w:rsidP="002621FD">
      <w:pPr>
        <w:pStyle w:val="SingleTxtG"/>
        <w:tabs>
          <w:tab w:val="left" w:pos="2268"/>
        </w:tabs>
        <w:ind w:left="2268" w:hanging="1134"/>
        <w:rPr>
          <w:lang w:val="fr-FR"/>
        </w:rPr>
      </w:pPr>
      <w:r w:rsidRPr="00304A39">
        <w:rPr>
          <w:lang w:val="fr-FR"/>
        </w:rPr>
        <w:t>« 6.4.3</w:t>
      </w:r>
      <w:r w:rsidRPr="00304A39">
        <w:rPr>
          <w:lang w:val="fr-FR"/>
        </w:rPr>
        <w:tab/>
      </w:r>
      <w:r w:rsidRPr="002621FD">
        <w:rPr>
          <w:rFonts w:eastAsia="MS Mincho"/>
          <w:lang w:val="fr-FR" w:eastAsia="ja-JP"/>
        </w:rPr>
        <w:t>Emplacement</w:t>
      </w:r>
    </w:p>
    <w:p w14:paraId="663BA832" w14:textId="77777777" w:rsidR="00C057F9" w:rsidRPr="00304A39" w:rsidRDefault="00C057F9" w:rsidP="002621FD">
      <w:pPr>
        <w:pStyle w:val="SingleTxtG"/>
        <w:tabs>
          <w:tab w:val="left" w:pos="2268"/>
        </w:tabs>
        <w:ind w:left="2268" w:hanging="1134"/>
        <w:rPr>
          <w:lang w:val="fr-FR"/>
        </w:rPr>
      </w:pPr>
      <w:r w:rsidRPr="00304A39">
        <w:rPr>
          <w:lang w:val="fr-FR"/>
        </w:rPr>
        <w:t>6.4.3.1</w:t>
      </w:r>
      <w:r w:rsidRPr="00304A39">
        <w:rPr>
          <w:lang w:val="fr-FR"/>
        </w:rPr>
        <w:tab/>
        <w:t xml:space="preserve">Pour un </w:t>
      </w:r>
      <w:r w:rsidRPr="002621FD">
        <w:rPr>
          <w:rFonts w:eastAsia="MS Mincho"/>
          <w:lang w:val="fr-FR" w:eastAsia="ja-JP"/>
        </w:rPr>
        <w:t>dispositif</w:t>
      </w:r>
      <w:r w:rsidRPr="00304A39">
        <w:rPr>
          <w:lang w:val="fr-FR"/>
        </w:rPr>
        <w:t xml:space="preserve"> de la catégorie S1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xml:space="preserve"> 7 ou </w:t>
      </w:r>
      <w:r>
        <w:rPr>
          <w:lang w:val="fr-FR"/>
        </w:rPr>
        <w:t>148</w:t>
      </w:r>
      <w:r w:rsidRPr="00304A39">
        <w:rPr>
          <w:lang w:val="fr-FR"/>
        </w:rPr>
        <w:t xml:space="preserve"> ou un feu-stop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xml:space="preserve"> 50 ou </w:t>
      </w:r>
      <w:r>
        <w:rPr>
          <w:lang w:val="fr-FR"/>
        </w:rPr>
        <w:t xml:space="preserve">148 </w:t>
      </w:r>
    </w:p>
    <w:p w14:paraId="19B06912" w14:textId="77777777" w:rsidR="00C057F9" w:rsidRPr="00304A39" w:rsidRDefault="00C057F9" w:rsidP="002621FD">
      <w:pPr>
        <w:pStyle w:val="SingleTxtG"/>
        <w:ind w:left="2268"/>
        <w:rPr>
          <w:lang w:val="fr-FR"/>
        </w:rPr>
      </w:pPr>
      <w:r w:rsidRPr="00304A39">
        <w:rPr>
          <w:lang w:val="fr-FR"/>
        </w:rPr>
        <w:t>En hauteur : minimum 250</w:t>
      </w:r>
      <w:r>
        <w:rPr>
          <w:lang w:val="fr-FR"/>
        </w:rPr>
        <w:t> mm, maximum 1 500 </w:t>
      </w:r>
      <w:r w:rsidRPr="00304A39">
        <w:rPr>
          <w:lang w:val="fr-FR"/>
        </w:rPr>
        <w:t>mm au-dessus du sol</w:t>
      </w:r>
      <w:r>
        <w:rPr>
          <w:lang w:val="fr-FR"/>
        </w:rPr>
        <w:t> </w:t>
      </w:r>
      <w:r w:rsidRPr="00FF15B4">
        <w:rPr>
          <w:rFonts w:eastAsia="Calibri"/>
        </w:rPr>
        <w:t>;</w:t>
      </w:r>
    </w:p>
    <w:p w14:paraId="1FBBA864" w14:textId="77777777" w:rsidR="00C057F9" w:rsidRPr="00304A39" w:rsidRDefault="00C057F9" w:rsidP="002621FD">
      <w:pPr>
        <w:pStyle w:val="SingleTxtG"/>
        <w:ind w:left="2268"/>
        <w:rPr>
          <w:lang w:val="fr-FR"/>
        </w:rPr>
      </w:pPr>
      <w:r w:rsidRPr="00304A39">
        <w:rPr>
          <w:lang w:val="fr-FR"/>
        </w:rPr>
        <w:t>En longueur : à l</w:t>
      </w:r>
      <w:r>
        <w:rPr>
          <w:lang w:val="fr-FR"/>
        </w:rPr>
        <w:t>’</w:t>
      </w:r>
      <w:r w:rsidRPr="00304A39">
        <w:rPr>
          <w:lang w:val="fr-FR"/>
        </w:rPr>
        <w:t>arrière du véhicule.</w:t>
      </w:r>
    </w:p>
    <w:p w14:paraId="7D37B76D" w14:textId="77777777" w:rsidR="00C057F9" w:rsidRPr="00304A39" w:rsidRDefault="00C057F9" w:rsidP="002621FD">
      <w:pPr>
        <w:pStyle w:val="SingleTxtG"/>
        <w:tabs>
          <w:tab w:val="left" w:pos="2268"/>
        </w:tabs>
        <w:ind w:left="2268" w:hanging="1134"/>
        <w:rPr>
          <w:lang w:val="fr-FR"/>
        </w:rPr>
      </w:pPr>
      <w:r w:rsidRPr="00304A39">
        <w:rPr>
          <w:lang w:val="fr-FR"/>
        </w:rPr>
        <w:t>6.4.3.2</w:t>
      </w:r>
      <w:r w:rsidRPr="00304A39">
        <w:rPr>
          <w:lang w:val="fr-FR"/>
        </w:rPr>
        <w:tab/>
        <w:t xml:space="preserve">Pour un dispositif de la </w:t>
      </w:r>
      <w:r w:rsidRPr="002621FD">
        <w:rPr>
          <w:rFonts w:eastAsia="MS Mincho"/>
          <w:lang w:val="fr-FR" w:eastAsia="ja-JP"/>
        </w:rPr>
        <w:t>catégorie</w:t>
      </w:r>
      <w:r w:rsidRPr="00304A39">
        <w:rPr>
          <w:lang w:val="fr-FR"/>
        </w:rPr>
        <w:t xml:space="preserve"> S3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xml:space="preserve"> 7 ou </w:t>
      </w:r>
      <w:r>
        <w:rPr>
          <w:lang w:val="fr-FR"/>
        </w:rPr>
        <w:t>148</w:t>
      </w:r>
    </w:p>
    <w:p w14:paraId="5D84CC27" w14:textId="77777777" w:rsidR="00C057F9" w:rsidRPr="00304A39" w:rsidRDefault="00C057F9" w:rsidP="002621FD">
      <w:pPr>
        <w:pStyle w:val="SingleTxtG"/>
        <w:ind w:left="2268"/>
        <w:rPr>
          <w:lang w:val="fr-FR"/>
        </w:rPr>
      </w:pPr>
      <w:r w:rsidRPr="00304A39">
        <w:rPr>
          <w:lang w:val="fr-FR"/>
        </w:rPr>
        <w:t>En hauteur</w:t>
      </w:r>
      <w:r>
        <w:rPr>
          <w:lang w:val="fr-FR"/>
        </w:rPr>
        <w:t> </w:t>
      </w:r>
      <w:r w:rsidRPr="00FF15B4">
        <w:rPr>
          <w:rFonts w:eastAsia="Calibri"/>
        </w:rPr>
        <w:t>:</w:t>
      </w:r>
      <w:r w:rsidRPr="00304A39">
        <w:rPr>
          <w:lang w:val="fr-FR"/>
        </w:rPr>
        <w:t xml:space="preserve"> le plan horizontal </w:t>
      </w:r>
      <w:r w:rsidRPr="002621FD">
        <w:rPr>
          <w:rFonts w:eastAsia="MS Mincho"/>
          <w:lang w:val="fr-FR" w:eastAsia="ja-JP"/>
        </w:rPr>
        <w:t>tangent</w:t>
      </w:r>
      <w:r w:rsidRPr="00304A39">
        <w:rPr>
          <w:lang w:val="fr-FR"/>
        </w:rPr>
        <w:t xml:space="preserve"> au bord inférieur de la surface apparente doit être au moins à 850</w:t>
      </w:r>
      <w:r>
        <w:rPr>
          <w:lang w:val="fr-FR"/>
        </w:rPr>
        <w:t> </w:t>
      </w:r>
      <w:r w:rsidRPr="00304A39">
        <w:rPr>
          <w:lang w:val="fr-FR"/>
        </w:rPr>
        <w:t>mm au-dessus du sol.</w:t>
      </w:r>
    </w:p>
    <w:p w14:paraId="4A98E23D" w14:textId="77777777" w:rsidR="00C057F9" w:rsidRPr="00304A39" w:rsidRDefault="00C057F9" w:rsidP="002621FD">
      <w:pPr>
        <w:pStyle w:val="SingleTxtG"/>
        <w:ind w:left="2268"/>
        <w:rPr>
          <w:lang w:val="fr-FR"/>
        </w:rPr>
      </w:pPr>
      <w:r w:rsidRPr="00304A39">
        <w:rPr>
          <w:lang w:val="fr-FR"/>
        </w:rPr>
        <w:t>Toutefois, le plan horizontal tangent au bord inférieur de la surface apparente doit être au-dessus du plan horizontal tangent au bord supérieur de la surface apparente du dispositif de la catégorie S1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xml:space="preserve"> 7 ou </w:t>
      </w:r>
      <w:r>
        <w:rPr>
          <w:lang w:val="fr-FR"/>
        </w:rPr>
        <w:t>148</w:t>
      </w:r>
      <w:r w:rsidRPr="00304A39">
        <w:rPr>
          <w:lang w:val="fr-FR"/>
        </w:rPr>
        <w:t xml:space="preserve"> ou du feu-stop tel que précisé dans le Règlement</w:t>
      </w:r>
      <w:r w:rsidRPr="005F01D3">
        <w:rPr>
          <w:lang w:val="fr-FR"/>
        </w:rPr>
        <w:t xml:space="preserve"> </w:t>
      </w:r>
      <w:r>
        <w:rPr>
          <w:lang w:val="fr-FR"/>
        </w:rPr>
        <w:t>ONU</w:t>
      </w:r>
      <w:r w:rsidRPr="00304A39">
        <w:rPr>
          <w:lang w:val="fr-FR"/>
        </w:rPr>
        <w:t xml:space="preserve"> </w:t>
      </w:r>
      <w:r w:rsidRPr="00304A39">
        <w:rPr>
          <w:lang w:val="fr-FR"/>
        </w:rPr>
        <w:lastRenderedPageBreak/>
        <w:t>n</w:t>
      </w:r>
      <w:r w:rsidRPr="00304A39">
        <w:rPr>
          <w:vertAlign w:val="superscript"/>
          <w:lang w:val="fr-FR"/>
        </w:rPr>
        <w:t>o</w:t>
      </w:r>
      <w:r w:rsidRPr="00304A39">
        <w:rPr>
          <w:lang w:val="fr-FR"/>
        </w:rPr>
        <w:t> 50 ou du feu-stop pour véhicules de la catégorie L tel que précisé dans le Règlement</w:t>
      </w:r>
      <w:r w:rsidRPr="005F01D3">
        <w:rPr>
          <w:lang w:val="fr-FR"/>
        </w:rPr>
        <w:t xml:space="preserve"> </w:t>
      </w:r>
      <w:r>
        <w:rPr>
          <w:lang w:val="fr-FR"/>
        </w:rPr>
        <w:t>ONU</w:t>
      </w:r>
      <w:r w:rsidRPr="00304A39">
        <w:rPr>
          <w:lang w:val="fr-FR"/>
        </w:rPr>
        <w:t xml:space="preserve"> n</w:t>
      </w:r>
      <w:r w:rsidRPr="00304A39">
        <w:rPr>
          <w:vertAlign w:val="superscript"/>
          <w:lang w:val="fr-FR"/>
        </w:rPr>
        <w:t>o</w:t>
      </w:r>
      <w:r w:rsidRPr="00304A39">
        <w:rPr>
          <w:lang w:val="fr-FR"/>
        </w:rPr>
        <w:t> </w:t>
      </w:r>
      <w:r>
        <w:rPr>
          <w:lang w:val="fr-FR"/>
        </w:rPr>
        <w:t>148</w:t>
      </w:r>
      <w:r w:rsidRPr="00304A39">
        <w:rPr>
          <w:lang w:val="fr-FR"/>
        </w:rPr>
        <w:t>.</w:t>
      </w:r>
    </w:p>
    <w:p w14:paraId="662C117A" w14:textId="77777777" w:rsidR="00C057F9" w:rsidRPr="00304A39" w:rsidRDefault="00C057F9" w:rsidP="002621FD">
      <w:pPr>
        <w:pStyle w:val="SingleTxtG"/>
        <w:ind w:left="2268"/>
        <w:rPr>
          <w:lang w:val="fr-FR"/>
        </w:rPr>
      </w:pPr>
      <w:r w:rsidRPr="00304A39">
        <w:rPr>
          <w:lang w:val="fr-FR"/>
        </w:rPr>
        <w:t>En longueur</w:t>
      </w:r>
      <w:r>
        <w:rPr>
          <w:lang w:val="fr-FR"/>
        </w:rPr>
        <w:t> </w:t>
      </w:r>
      <w:r w:rsidRPr="00FF15B4">
        <w:rPr>
          <w:rFonts w:eastAsia="Calibri"/>
        </w:rPr>
        <w:t>:</w:t>
      </w:r>
      <w:r w:rsidRPr="00304A39">
        <w:rPr>
          <w:lang w:val="fr-FR"/>
        </w:rPr>
        <w:t xml:space="preserve"> à l</w:t>
      </w:r>
      <w:r>
        <w:rPr>
          <w:lang w:val="fr-FR"/>
        </w:rPr>
        <w:t>’</w:t>
      </w:r>
      <w:r w:rsidRPr="00304A39">
        <w:rPr>
          <w:lang w:val="fr-FR"/>
        </w:rPr>
        <w:t>arrière du véhicule. ».</w:t>
      </w:r>
    </w:p>
    <w:p w14:paraId="43A774EC" w14:textId="77777777" w:rsidR="00C057F9" w:rsidRPr="00304A39" w:rsidRDefault="00C057F9" w:rsidP="002621FD">
      <w:pPr>
        <w:pStyle w:val="SingleTxtG"/>
        <w:rPr>
          <w:lang w:val="fr-FR"/>
        </w:rPr>
      </w:pPr>
      <w:r w:rsidRPr="00304A39">
        <w:rPr>
          <w:i/>
          <w:lang w:val="fr-FR"/>
        </w:rPr>
        <w:t>Paragraphe 6.4.4</w:t>
      </w:r>
      <w:r w:rsidRPr="00304A39">
        <w:rPr>
          <w:lang w:val="fr-FR"/>
        </w:rPr>
        <w:t>,</w:t>
      </w:r>
      <w:r w:rsidRPr="00304A39">
        <w:rPr>
          <w:i/>
          <w:lang w:val="fr-FR"/>
        </w:rPr>
        <w:t xml:space="preserve"> </w:t>
      </w:r>
      <w:r>
        <w:rPr>
          <w:lang w:val="fr-FR"/>
        </w:rPr>
        <w:t>lire</w:t>
      </w:r>
      <w:r w:rsidRPr="00304A39">
        <w:rPr>
          <w:lang w:val="fr-FR"/>
        </w:rPr>
        <w:t> :</w:t>
      </w:r>
    </w:p>
    <w:p w14:paraId="0A3D6864" w14:textId="77777777" w:rsidR="00C057F9" w:rsidRPr="00304A39" w:rsidRDefault="00C057F9" w:rsidP="002621FD">
      <w:pPr>
        <w:pStyle w:val="SingleTxtG"/>
        <w:tabs>
          <w:tab w:val="left" w:pos="2268"/>
        </w:tabs>
        <w:ind w:left="2268" w:hanging="1134"/>
        <w:rPr>
          <w:lang w:val="fr-FR"/>
        </w:rPr>
      </w:pPr>
      <w:r w:rsidRPr="00304A39">
        <w:rPr>
          <w:lang w:val="fr-FR"/>
        </w:rPr>
        <w:t>« 6.4.4</w:t>
      </w:r>
      <w:r w:rsidRPr="00304A39">
        <w:rPr>
          <w:lang w:val="fr-FR"/>
        </w:rPr>
        <w:tab/>
        <w:t>Visibilité géométrique</w:t>
      </w:r>
    </w:p>
    <w:p w14:paraId="70DA71F5" w14:textId="77777777" w:rsidR="00C057F9" w:rsidRPr="00304A39" w:rsidRDefault="00C057F9" w:rsidP="002621FD">
      <w:pPr>
        <w:pStyle w:val="SingleTxtG"/>
        <w:ind w:left="2268"/>
        <w:rPr>
          <w:lang w:val="fr-FR"/>
        </w:rPr>
      </w:pPr>
      <w:r w:rsidRPr="00304A39">
        <w:rPr>
          <w:lang w:val="fr-FR"/>
        </w:rPr>
        <w:t xml:space="preserve">Pour un dispositif de la catégorie S1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xml:space="preserve"> 7 ou </w:t>
      </w:r>
      <w:r>
        <w:rPr>
          <w:lang w:val="fr-FR"/>
        </w:rPr>
        <w:t>148</w:t>
      </w:r>
      <w:r w:rsidRPr="00304A39">
        <w:rPr>
          <w:lang w:val="fr-FR"/>
        </w:rPr>
        <w:t xml:space="preserve"> ou un feu-stop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50 ou un feu</w:t>
      </w:r>
      <w:r w:rsidRPr="00304A39">
        <w:rPr>
          <w:lang w:val="fr-FR"/>
        </w:rPr>
        <w:noBreakHyphen/>
        <w:t xml:space="preserve">stop pour véhicules de la catégorie L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w:t>
      </w:r>
      <w:r>
        <w:rPr>
          <w:lang w:val="fr-FR"/>
        </w:rPr>
        <w:t>148 :</w:t>
      </w:r>
    </w:p>
    <w:p w14:paraId="0752B599" w14:textId="77777777" w:rsidR="00C057F9" w:rsidRPr="00304A39" w:rsidRDefault="00C057F9" w:rsidP="002621FD">
      <w:pPr>
        <w:pStyle w:val="SingleTxtG"/>
        <w:ind w:left="2268"/>
        <w:rPr>
          <w:lang w:val="fr-FR"/>
        </w:rPr>
      </w:pPr>
      <w:r w:rsidRPr="00304A39">
        <w:rPr>
          <w:lang w:val="fr-FR"/>
        </w:rPr>
        <w:t>Angle horizontal :</w:t>
      </w:r>
      <w:r w:rsidRPr="00304A39">
        <w:rPr>
          <w:lang w:val="fr-FR"/>
        </w:rPr>
        <w:tab/>
        <w:t>45° à gauche et à droite pour un feu simple ;</w:t>
      </w:r>
    </w:p>
    <w:p w14:paraId="0B0D7026" w14:textId="77777777" w:rsidR="00C057F9" w:rsidRPr="00304A39" w:rsidRDefault="00C057F9" w:rsidP="00D711C2">
      <w:pPr>
        <w:pStyle w:val="SingleTxtG"/>
        <w:ind w:left="3969"/>
        <w:rPr>
          <w:lang w:val="fr-FR"/>
        </w:rPr>
      </w:pPr>
      <w:r w:rsidRPr="00304A39">
        <w:rPr>
          <w:lang w:val="fr-FR"/>
        </w:rPr>
        <w:t>45° vers l</w:t>
      </w:r>
      <w:r>
        <w:rPr>
          <w:lang w:val="fr-FR"/>
        </w:rPr>
        <w:t>’</w:t>
      </w:r>
      <w:r w:rsidRPr="00304A39">
        <w:rPr>
          <w:lang w:val="fr-FR"/>
        </w:rPr>
        <w:t>extérieur et 10° vers l</w:t>
      </w:r>
      <w:r>
        <w:rPr>
          <w:lang w:val="fr-FR"/>
        </w:rPr>
        <w:t>’</w:t>
      </w:r>
      <w:r w:rsidRPr="00304A39">
        <w:rPr>
          <w:lang w:val="fr-FR"/>
        </w:rPr>
        <w:t>intérieur pour chaque paire de feux</w:t>
      </w:r>
      <w:r>
        <w:rPr>
          <w:lang w:val="fr-FR"/>
        </w:rPr>
        <w:t> </w:t>
      </w:r>
      <w:r w:rsidRPr="00FF15B4">
        <w:rPr>
          <w:rFonts w:eastAsia="Calibri"/>
        </w:rPr>
        <w:t>;</w:t>
      </w:r>
    </w:p>
    <w:p w14:paraId="1D9412CF" w14:textId="77777777" w:rsidR="00C057F9" w:rsidRPr="00304A39" w:rsidRDefault="00C057F9" w:rsidP="002621FD">
      <w:pPr>
        <w:pStyle w:val="SingleTxtG"/>
        <w:ind w:left="2268"/>
        <w:rPr>
          <w:lang w:val="fr-FR"/>
        </w:rPr>
      </w:pPr>
      <w:r w:rsidRPr="00304A39">
        <w:rPr>
          <w:lang w:val="fr-FR"/>
        </w:rPr>
        <w:t>Angle vertical :</w:t>
      </w:r>
      <w:r w:rsidRPr="00304A39">
        <w:rPr>
          <w:lang w:val="fr-FR"/>
        </w:rPr>
        <w:tab/>
        <w:t>15° au-dessus et au-dessous de l</w:t>
      </w:r>
      <w:r>
        <w:rPr>
          <w:lang w:val="fr-FR"/>
        </w:rPr>
        <w:t>’</w:t>
      </w:r>
      <w:r w:rsidRPr="00304A39">
        <w:rPr>
          <w:lang w:val="fr-FR"/>
        </w:rPr>
        <w:t>horizontale.</w:t>
      </w:r>
    </w:p>
    <w:p w14:paraId="54A26118" w14:textId="77777777" w:rsidR="00C057F9" w:rsidRPr="00304A39" w:rsidRDefault="00C057F9" w:rsidP="002621FD">
      <w:pPr>
        <w:pStyle w:val="SingleTxtG"/>
        <w:ind w:left="2268"/>
        <w:rPr>
          <w:lang w:val="fr-FR"/>
        </w:rPr>
      </w:pPr>
      <w:r w:rsidRPr="00304A39">
        <w:rPr>
          <w:lang w:val="fr-FR"/>
        </w:rPr>
        <w:t>Cependant, si la hauteur de montage du feu est inférieure à 750</w:t>
      </w:r>
      <w:r>
        <w:rPr>
          <w:lang w:val="fr-FR"/>
        </w:rPr>
        <w:t> </w:t>
      </w:r>
      <w:r w:rsidRPr="00304A39">
        <w:rPr>
          <w:lang w:val="fr-FR"/>
        </w:rPr>
        <w:t>mm (mesure effectuée conformément aux dispositions du paragraphe 5.7), l</w:t>
      </w:r>
      <w:r>
        <w:rPr>
          <w:lang w:val="fr-FR"/>
        </w:rPr>
        <w:t>’</w:t>
      </w:r>
      <w:r w:rsidRPr="00304A39">
        <w:rPr>
          <w:lang w:val="fr-FR"/>
        </w:rPr>
        <w:t>angle de 15° vers le bas peut être ramené à 5°.</w:t>
      </w:r>
    </w:p>
    <w:p w14:paraId="7473C403" w14:textId="77777777" w:rsidR="00C057F9" w:rsidRPr="00304A39" w:rsidRDefault="00C057F9" w:rsidP="002621FD">
      <w:pPr>
        <w:pStyle w:val="SingleTxtG"/>
        <w:ind w:left="2268"/>
        <w:rPr>
          <w:lang w:val="fr-FR"/>
        </w:rPr>
      </w:pPr>
      <w:r w:rsidRPr="00304A39">
        <w:rPr>
          <w:lang w:val="fr-FR"/>
        </w:rPr>
        <w:t xml:space="preserve">Pour un dispositif de la catégorie S3 tel que précisé dans le Règlement </w:t>
      </w:r>
      <w:r>
        <w:rPr>
          <w:lang w:val="fr-FR"/>
        </w:rPr>
        <w:t xml:space="preserve">ONU </w:t>
      </w:r>
      <w:r w:rsidRPr="00304A39">
        <w:rPr>
          <w:lang w:val="fr-FR"/>
        </w:rPr>
        <w:t>n</w:t>
      </w:r>
      <w:r w:rsidRPr="00304A39">
        <w:rPr>
          <w:vertAlign w:val="superscript"/>
          <w:lang w:val="fr-FR"/>
        </w:rPr>
        <w:t>o</w:t>
      </w:r>
      <w:r w:rsidRPr="00304A39">
        <w:rPr>
          <w:lang w:val="fr-FR"/>
        </w:rPr>
        <w:t xml:space="preserve"> 7 ou </w:t>
      </w:r>
      <w:r>
        <w:rPr>
          <w:lang w:val="fr-FR"/>
        </w:rPr>
        <w:t>148 :</w:t>
      </w:r>
    </w:p>
    <w:p w14:paraId="18338F51" w14:textId="77777777" w:rsidR="00C057F9" w:rsidRPr="00304A39" w:rsidRDefault="00C057F9" w:rsidP="00D711C2">
      <w:pPr>
        <w:pStyle w:val="SingleTxtG"/>
        <w:ind w:left="3969" w:hanging="1701"/>
        <w:rPr>
          <w:lang w:val="fr-FR"/>
        </w:rPr>
      </w:pPr>
      <w:r w:rsidRPr="00304A39">
        <w:rPr>
          <w:lang w:val="fr-FR"/>
        </w:rPr>
        <w:t xml:space="preserve">Angle horizontal : </w:t>
      </w:r>
      <w:r w:rsidRPr="00304A39">
        <w:rPr>
          <w:lang w:val="fr-FR"/>
        </w:rPr>
        <w:tab/>
        <w:t>10° à gauche et à droite de l</w:t>
      </w:r>
      <w:r>
        <w:rPr>
          <w:lang w:val="fr-FR"/>
        </w:rPr>
        <w:t>’</w:t>
      </w:r>
      <w:r w:rsidRPr="00304A39">
        <w:rPr>
          <w:lang w:val="fr-FR"/>
        </w:rPr>
        <w:t>axe longitudinal du véhicule</w:t>
      </w:r>
      <w:r>
        <w:rPr>
          <w:lang w:val="fr-FR"/>
        </w:rPr>
        <w:t> </w:t>
      </w:r>
      <w:r w:rsidRPr="00FF15B4">
        <w:rPr>
          <w:rFonts w:eastAsia="Calibri"/>
        </w:rPr>
        <w:t>;</w:t>
      </w:r>
    </w:p>
    <w:p w14:paraId="0D0DE361" w14:textId="77777777" w:rsidR="00C057F9" w:rsidRPr="00304A39" w:rsidRDefault="00C057F9" w:rsidP="002621FD">
      <w:pPr>
        <w:pStyle w:val="SingleTxtG"/>
        <w:ind w:left="2268"/>
        <w:rPr>
          <w:lang w:val="fr-FR"/>
        </w:rPr>
      </w:pPr>
      <w:r w:rsidRPr="00304A39">
        <w:rPr>
          <w:lang w:val="fr-FR"/>
        </w:rPr>
        <w:t xml:space="preserve">Angle vertical : </w:t>
      </w:r>
      <w:r w:rsidRPr="00304A39">
        <w:rPr>
          <w:lang w:val="fr-FR"/>
        </w:rPr>
        <w:tab/>
        <w:t>10° au-dessus et 5° au-dessous de l</w:t>
      </w:r>
      <w:r>
        <w:rPr>
          <w:lang w:val="fr-FR"/>
        </w:rPr>
        <w:t>’</w:t>
      </w:r>
      <w:r w:rsidRPr="00304A39">
        <w:rPr>
          <w:lang w:val="fr-FR"/>
        </w:rPr>
        <w:t>horizontale. ».</w:t>
      </w:r>
    </w:p>
    <w:p w14:paraId="68D8C89E" w14:textId="77777777" w:rsidR="00C057F9" w:rsidRPr="00304A39" w:rsidRDefault="00C057F9" w:rsidP="002621FD">
      <w:pPr>
        <w:pStyle w:val="SingleTxtG"/>
        <w:rPr>
          <w:lang w:val="fr-FR"/>
        </w:rPr>
      </w:pPr>
      <w:r w:rsidRPr="00304A39">
        <w:rPr>
          <w:i/>
          <w:lang w:val="fr-FR"/>
        </w:rPr>
        <w:t>Paragraphe 6.5.1</w:t>
      </w:r>
      <w:r w:rsidRPr="00304A39">
        <w:rPr>
          <w:lang w:val="fr-FR"/>
        </w:rPr>
        <w:t xml:space="preserve">, </w:t>
      </w:r>
      <w:r>
        <w:rPr>
          <w:lang w:val="fr-FR"/>
        </w:rPr>
        <w:t>lire</w:t>
      </w:r>
      <w:r w:rsidRPr="00304A39">
        <w:rPr>
          <w:lang w:val="fr-FR"/>
        </w:rPr>
        <w:t> :</w:t>
      </w:r>
    </w:p>
    <w:p w14:paraId="5F954112" w14:textId="77777777" w:rsidR="00C057F9" w:rsidRPr="00304A39" w:rsidRDefault="00C057F9" w:rsidP="002621FD">
      <w:pPr>
        <w:pStyle w:val="SingleTxtG"/>
        <w:tabs>
          <w:tab w:val="left" w:pos="2268"/>
        </w:tabs>
        <w:ind w:left="2268" w:hanging="1134"/>
        <w:rPr>
          <w:lang w:val="fr-FR"/>
        </w:rPr>
      </w:pPr>
      <w:r w:rsidRPr="00304A39">
        <w:rPr>
          <w:lang w:val="fr-FR"/>
        </w:rPr>
        <w:t>« 6.5.1</w:t>
      </w:r>
      <w:r w:rsidRPr="00304A39">
        <w:rPr>
          <w:lang w:val="fr-FR"/>
        </w:rPr>
        <w:tab/>
      </w:r>
      <w:r w:rsidRPr="00304A39">
        <w:rPr>
          <w:lang w:val="fr-FR"/>
        </w:rPr>
        <w:tab/>
        <w:t>Nombre</w:t>
      </w:r>
    </w:p>
    <w:p w14:paraId="7BEE2A0D" w14:textId="77777777" w:rsidR="00C057F9" w:rsidRPr="00304A39" w:rsidRDefault="00C057F9" w:rsidP="00443992">
      <w:pPr>
        <w:pStyle w:val="SingleTxtG"/>
        <w:ind w:left="2268"/>
        <w:rPr>
          <w:lang w:val="fr-FR"/>
        </w:rPr>
      </w:pPr>
      <w:r w:rsidRPr="00304A39">
        <w:rPr>
          <w:lang w:val="fr-FR"/>
        </w:rPr>
        <w:t xml:space="preserve">Un, homologué comme dispositif de la catégorie 2 en vertu du Règlement </w:t>
      </w:r>
      <w:r>
        <w:rPr>
          <w:lang w:val="fr-FR"/>
        </w:rPr>
        <w:t xml:space="preserve">ONU </w:t>
      </w:r>
      <w:r w:rsidRPr="00304A39">
        <w:rPr>
          <w:lang w:val="fr-FR"/>
        </w:rPr>
        <w:t>n</w:t>
      </w:r>
      <w:r w:rsidRPr="00304A39">
        <w:rPr>
          <w:vertAlign w:val="superscript"/>
          <w:lang w:val="fr-FR"/>
        </w:rPr>
        <w:t>o</w:t>
      </w:r>
      <w:r w:rsidRPr="00304A39">
        <w:rPr>
          <w:lang w:val="fr-FR"/>
        </w:rPr>
        <w:t xml:space="preserve"> 50 ou </w:t>
      </w:r>
      <w:r>
        <w:rPr>
          <w:lang w:val="fr-FR"/>
        </w:rPr>
        <w:t>148</w:t>
      </w:r>
      <w:r w:rsidRPr="00304A39">
        <w:rPr>
          <w:lang w:val="fr-FR"/>
        </w:rPr>
        <w:t>. Le dispositif peut être composé de différents éléments optiques destinés à éclairer l</w:t>
      </w:r>
      <w:r>
        <w:rPr>
          <w:lang w:val="fr-FR"/>
        </w:rPr>
        <w:t>’</w:t>
      </w:r>
      <w:r w:rsidRPr="00304A39">
        <w:rPr>
          <w:lang w:val="fr-FR"/>
        </w:rPr>
        <w:t>emplacement de la plaque. ».</w:t>
      </w:r>
    </w:p>
    <w:p w14:paraId="7AD01EBE" w14:textId="77777777" w:rsidR="00C057F9" w:rsidRPr="00304A39" w:rsidRDefault="00C057F9" w:rsidP="00443992">
      <w:pPr>
        <w:pStyle w:val="SingleTxtG"/>
        <w:rPr>
          <w:lang w:val="fr-FR"/>
        </w:rPr>
      </w:pPr>
      <w:r w:rsidRPr="00304A39">
        <w:rPr>
          <w:i/>
          <w:lang w:val="fr-FR"/>
        </w:rPr>
        <w:t>Paragraphe 6.13.2</w:t>
      </w:r>
      <w:r w:rsidRPr="00304A39">
        <w:rPr>
          <w:lang w:val="fr-FR"/>
        </w:rPr>
        <w:t>,</w:t>
      </w:r>
      <w:r w:rsidRPr="00304A39">
        <w:rPr>
          <w:i/>
          <w:lang w:val="fr-FR"/>
        </w:rPr>
        <w:t xml:space="preserve"> </w:t>
      </w:r>
      <w:r>
        <w:rPr>
          <w:lang w:val="fr-FR"/>
        </w:rPr>
        <w:t>lire</w:t>
      </w:r>
      <w:r w:rsidRPr="00304A39">
        <w:rPr>
          <w:lang w:val="fr-FR"/>
        </w:rPr>
        <w:t> :</w:t>
      </w:r>
    </w:p>
    <w:p w14:paraId="1D386021" w14:textId="77777777" w:rsidR="00C057F9" w:rsidRPr="00304A39" w:rsidRDefault="00C057F9" w:rsidP="002621FD">
      <w:pPr>
        <w:pStyle w:val="SingleTxtG"/>
        <w:tabs>
          <w:tab w:val="left" w:pos="2268"/>
        </w:tabs>
        <w:ind w:left="2268" w:hanging="1134"/>
        <w:rPr>
          <w:lang w:val="fr-FR"/>
        </w:rPr>
      </w:pPr>
      <w:r w:rsidRPr="00304A39">
        <w:rPr>
          <w:lang w:val="fr-FR"/>
        </w:rPr>
        <w:t>« 6.13.2</w:t>
      </w:r>
      <w:r w:rsidRPr="00304A39">
        <w:rPr>
          <w:lang w:val="fr-FR"/>
        </w:rPr>
        <w:tab/>
        <w:t>Nombre</w:t>
      </w:r>
    </w:p>
    <w:p w14:paraId="16CC8445" w14:textId="77777777" w:rsidR="00C057F9" w:rsidRPr="00304A39" w:rsidRDefault="00C057F9" w:rsidP="00443992">
      <w:pPr>
        <w:pStyle w:val="SingleTxtG"/>
        <w:ind w:left="2268"/>
        <w:rPr>
          <w:lang w:val="fr-FR"/>
        </w:rPr>
      </w:pPr>
      <w:r w:rsidRPr="00304A39">
        <w:rPr>
          <w:lang w:val="fr-FR"/>
        </w:rPr>
        <w:t xml:space="preserve">Un ou deux, du type homologué conformément au Règlement </w:t>
      </w:r>
      <w:r>
        <w:rPr>
          <w:lang w:val="fr-FR"/>
        </w:rPr>
        <w:t xml:space="preserve">ONU </w:t>
      </w:r>
      <w:r w:rsidRPr="00304A39">
        <w:rPr>
          <w:lang w:val="fr-FR"/>
        </w:rPr>
        <w:t>n</w:t>
      </w:r>
      <w:r w:rsidRPr="00304A39">
        <w:rPr>
          <w:vertAlign w:val="superscript"/>
          <w:lang w:val="fr-FR"/>
        </w:rPr>
        <w:t>o</w:t>
      </w:r>
      <w:r w:rsidRPr="00304A39">
        <w:rPr>
          <w:lang w:val="fr-FR"/>
        </w:rPr>
        <w:t xml:space="preserve"> 87 ou </w:t>
      </w:r>
      <w:r>
        <w:rPr>
          <w:lang w:val="fr-FR"/>
        </w:rPr>
        <w:t>148</w:t>
      </w:r>
      <w:r w:rsidRPr="00304A39">
        <w:rPr>
          <w:lang w:val="fr-FR"/>
        </w:rPr>
        <w:t>. ».</w:t>
      </w:r>
    </w:p>
    <w:p w14:paraId="3EFAF9F9" w14:textId="77777777" w:rsidR="00C057F9" w:rsidRPr="003C5131" w:rsidRDefault="00C057F9" w:rsidP="00443992">
      <w:pPr>
        <w:pStyle w:val="SingleTxtG"/>
        <w:rPr>
          <w:lang w:val="fr-FR"/>
        </w:rPr>
      </w:pPr>
      <w:r w:rsidRPr="003C5131">
        <w:rPr>
          <w:i/>
          <w:iCs/>
          <w:lang w:val="fr-FR"/>
        </w:rPr>
        <w:t xml:space="preserve">Ajouter </w:t>
      </w:r>
      <w:r>
        <w:rPr>
          <w:i/>
          <w:iCs/>
          <w:lang w:val="fr-FR"/>
        </w:rPr>
        <w:t>le</w:t>
      </w:r>
      <w:r w:rsidRPr="003C5131">
        <w:rPr>
          <w:i/>
          <w:iCs/>
          <w:lang w:val="fr-FR"/>
        </w:rPr>
        <w:t xml:space="preserve"> nouveau paragraphe 6</w:t>
      </w:r>
      <w:r>
        <w:rPr>
          <w:i/>
          <w:iCs/>
          <w:lang w:val="fr-FR"/>
        </w:rPr>
        <w:t>.</w:t>
      </w:r>
      <w:r w:rsidRPr="003C5131">
        <w:rPr>
          <w:i/>
          <w:iCs/>
          <w:lang w:val="fr-FR"/>
        </w:rPr>
        <w:t>15</w:t>
      </w:r>
      <w:r w:rsidRPr="003C5131">
        <w:rPr>
          <w:lang w:val="fr-FR"/>
        </w:rPr>
        <w:t>, libellé comme suit :</w:t>
      </w:r>
    </w:p>
    <w:p w14:paraId="3D54940F" w14:textId="77777777" w:rsidR="00C057F9" w:rsidRPr="003C5131" w:rsidRDefault="00C057F9" w:rsidP="002621FD">
      <w:pPr>
        <w:pStyle w:val="SingleTxtG"/>
        <w:tabs>
          <w:tab w:val="left" w:pos="2268"/>
        </w:tabs>
        <w:ind w:left="2268" w:hanging="1134"/>
        <w:rPr>
          <w:lang w:val="fr-FR"/>
        </w:rPr>
      </w:pPr>
      <w:r>
        <w:rPr>
          <w:lang w:val="fr-FR"/>
        </w:rPr>
        <w:t>« </w:t>
      </w:r>
      <w:r w:rsidRPr="003C5131">
        <w:rPr>
          <w:lang w:val="fr-FR"/>
        </w:rPr>
        <w:t>6.15</w:t>
      </w:r>
      <w:r w:rsidRPr="003C5131">
        <w:rPr>
          <w:lang w:val="fr-FR"/>
        </w:rPr>
        <w:tab/>
      </w:r>
      <w:r w:rsidRPr="003C5131">
        <w:rPr>
          <w:lang w:val="fr-FR"/>
        </w:rPr>
        <w:tab/>
        <w:t>Feu d</w:t>
      </w:r>
      <w:r>
        <w:rPr>
          <w:lang w:val="fr-FR"/>
        </w:rPr>
        <w:t>’</w:t>
      </w:r>
      <w:r w:rsidRPr="003C5131">
        <w:rPr>
          <w:lang w:val="fr-FR"/>
        </w:rPr>
        <w:t>accès au véhicule</w:t>
      </w:r>
    </w:p>
    <w:p w14:paraId="70C0CBAD" w14:textId="77777777" w:rsidR="00C057F9" w:rsidRPr="003C5131" w:rsidRDefault="00C057F9" w:rsidP="002621FD">
      <w:pPr>
        <w:pStyle w:val="SingleTxtG"/>
        <w:tabs>
          <w:tab w:val="left" w:pos="2268"/>
        </w:tabs>
        <w:ind w:left="2268" w:hanging="1134"/>
        <w:rPr>
          <w:lang w:val="fr-FR"/>
        </w:rPr>
      </w:pPr>
      <w:r w:rsidRPr="003C5131">
        <w:rPr>
          <w:lang w:val="fr-FR"/>
        </w:rPr>
        <w:t>6.15.1</w:t>
      </w:r>
      <w:r w:rsidRPr="003C5131">
        <w:rPr>
          <w:lang w:val="fr-FR"/>
        </w:rPr>
        <w:tab/>
      </w:r>
      <w:r w:rsidRPr="003C5131">
        <w:rPr>
          <w:lang w:val="fr-FR"/>
        </w:rPr>
        <w:tab/>
        <w:t>Présence</w:t>
      </w:r>
    </w:p>
    <w:p w14:paraId="2F52AFF3" w14:textId="77777777" w:rsidR="00C057F9" w:rsidRPr="003C5131" w:rsidRDefault="00C057F9" w:rsidP="00443992">
      <w:pPr>
        <w:pStyle w:val="SingleTxtG"/>
        <w:ind w:left="2268"/>
        <w:rPr>
          <w:lang w:val="fr-FR"/>
        </w:rPr>
      </w:pPr>
      <w:r>
        <w:rPr>
          <w:lang w:val="fr-FR"/>
        </w:rPr>
        <w:t>Facultative sur les motocycles.</w:t>
      </w:r>
    </w:p>
    <w:p w14:paraId="1234B9BF" w14:textId="77777777" w:rsidR="00C057F9" w:rsidRPr="003C5131" w:rsidRDefault="00C057F9" w:rsidP="002621FD">
      <w:pPr>
        <w:pStyle w:val="SingleTxtG"/>
        <w:tabs>
          <w:tab w:val="left" w:pos="2268"/>
        </w:tabs>
        <w:ind w:left="2268" w:hanging="1134"/>
        <w:rPr>
          <w:lang w:val="fr-FR"/>
        </w:rPr>
      </w:pPr>
      <w:r w:rsidRPr="003C5131">
        <w:rPr>
          <w:lang w:val="fr-FR"/>
        </w:rPr>
        <w:t>6.15.2</w:t>
      </w:r>
      <w:r w:rsidRPr="003C5131">
        <w:rPr>
          <w:lang w:val="fr-FR"/>
        </w:rPr>
        <w:tab/>
      </w:r>
      <w:r w:rsidRPr="003C5131">
        <w:rPr>
          <w:lang w:val="fr-FR"/>
        </w:rPr>
        <w:tab/>
        <w:t>Nombre</w:t>
      </w:r>
    </w:p>
    <w:p w14:paraId="0BC69E45" w14:textId="77777777" w:rsidR="00C057F9" w:rsidRPr="003C5131" w:rsidRDefault="00C057F9" w:rsidP="00443992">
      <w:pPr>
        <w:pStyle w:val="SingleTxtG"/>
        <w:ind w:left="2268"/>
        <w:rPr>
          <w:lang w:val="fr-FR"/>
        </w:rPr>
      </w:pPr>
      <w:r w:rsidRPr="003C5131">
        <w:rPr>
          <w:lang w:val="fr-FR"/>
        </w:rPr>
        <w:t>Un ou deux ; toutefois, des feux d</w:t>
      </w:r>
      <w:r>
        <w:rPr>
          <w:lang w:val="fr-FR"/>
        </w:rPr>
        <w:t>’</w:t>
      </w:r>
      <w:r w:rsidRPr="003C5131">
        <w:rPr>
          <w:lang w:val="fr-FR"/>
        </w:rPr>
        <w:t>accès supplémentaires éclairant les repose</w:t>
      </w:r>
      <w:r w:rsidR="00443992">
        <w:rPr>
          <w:lang w:val="fr-FR"/>
        </w:rPr>
        <w:noBreakHyphen/>
      </w:r>
      <w:r w:rsidRPr="003C5131">
        <w:rPr>
          <w:lang w:val="fr-FR"/>
        </w:rPr>
        <w:t>pied</w:t>
      </w:r>
      <w:r>
        <w:rPr>
          <w:lang w:val="fr-FR"/>
        </w:rPr>
        <w:t xml:space="preserve"> </w:t>
      </w:r>
      <w:r w:rsidRPr="003C5131">
        <w:rPr>
          <w:lang w:val="fr-FR"/>
        </w:rPr>
        <w:t>sont autorisés. Chaque repose-pied ne doit êtr</w:t>
      </w:r>
      <w:r>
        <w:rPr>
          <w:lang w:val="fr-FR"/>
        </w:rPr>
        <w:t>e éclairé que par un seul feu.</w:t>
      </w:r>
    </w:p>
    <w:p w14:paraId="5DB27449" w14:textId="77777777" w:rsidR="00C057F9" w:rsidRPr="003C5131" w:rsidRDefault="00C057F9" w:rsidP="002621FD">
      <w:pPr>
        <w:pStyle w:val="SingleTxtG"/>
        <w:tabs>
          <w:tab w:val="left" w:pos="2268"/>
        </w:tabs>
        <w:ind w:left="2268" w:hanging="1134"/>
        <w:rPr>
          <w:lang w:val="fr-FR"/>
        </w:rPr>
      </w:pPr>
      <w:r w:rsidRPr="003C5131">
        <w:rPr>
          <w:lang w:val="fr-FR"/>
        </w:rPr>
        <w:t>6.15.3</w:t>
      </w:r>
      <w:r w:rsidRPr="003C5131">
        <w:rPr>
          <w:lang w:val="fr-FR"/>
        </w:rPr>
        <w:tab/>
      </w:r>
      <w:r w:rsidRPr="003C5131">
        <w:rPr>
          <w:lang w:val="fr-FR"/>
        </w:rPr>
        <w:tab/>
        <w:t>Schéma de montage</w:t>
      </w:r>
    </w:p>
    <w:p w14:paraId="22240FB4" w14:textId="77777777" w:rsidR="00C057F9" w:rsidRPr="003C5131" w:rsidRDefault="00C057F9" w:rsidP="00443992">
      <w:pPr>
        <w:pStyle w:val="SingleTxtG"/>
        <w:ind w:left="2268"/>
        <w:rPr>
          <w:lang w:val="fr-FR"/>
        </w:rPr>
      </w:pPr>
      <w:r w:rsidRPr="003C5131">
        <w:rPr>
          <w:lang w:val="fr-FR"/>
        </w:rPr>
        <w:t>Pas de prescription particulière, mais les prescriptions du paragraphe</w:t>
      </w:r>
      <w:r>
        <w:rPr>
          <w:lang w:val="fr-FR"/>
        </w:rPr>
        <w:t> </w:t>
      </w:r>
      <w:r w:rsidRPr="003C5131">
        <w:rPr>
          <w:lang w:val="fr-FR"/>
        </w:rPr>
        <w:t>6.15.9.3 s</w:t>
      </w:r>
      <w:r>
        <w:rPr>
          <w:lang w:val="fr-FR"/>
        </w:rPr>
        <w:t>’appliquent.</w:t>
      </w:r>
    </w:p>
    <w:p w14:paraId="5C7B378B" w14:textId="77777777" w:rsidR="00C057F9" w:rsidRPr="003C5131" w:rsidRDefault="00C057F9" w:rsidP="002621FD">
      <w:pPr>
        <w:pStyle w:val="SingleTxtG"/>
        <w:tabs>
          <w:tab w:val="left" w:pos="2268"/>
        </w:tabs>
        <w:ind w:left="2268" w:hanging="1134"/>
        <w:rPr>
          <w:lang w:val="fr-FR"/>
        </w:rPr>
      </w:pPr>
      <w:r w:rsidRPr="003C5131">
        <w:rPr>
          <w:lang w:val="fr-FR"/>
        </w:rPr>
        <w:t>6.15.4</w:t>
      </w:r>
      <w:r w:rsidRPr="003C5131">
        <w:rPr>
          <w:lang w:val="fr-FR"/>
        </w:rPr>
        <w:tab/>
      </w:r>
      <w:r w:rsidRPr="003C5131">
        <w:rPr>
          <w:lang w:val="fr-FR"/>
        </w:rPr>
        <w:tab/>
        <w:t>Emplacement</w:t>
      </w:r>
    </w:p>
    <w:p w14:paraId="7E0EB073" w14:textId="77777777" w:rsidR="00C057F9" w:rsidRPr="003C5131" w:rsidRDefault="00C057F9" w:rsidP="00443992">
      <w:pPr>
        <w:pStyle w:val="SingleTxtG"/>
        <w:ind w:left="2268"/>
        <w:rPr>
          <w:lang w:val="fr-FR"/>
        </w:rPr>
      </w:pPr>
      <w:r w:rsidRPr="003C5131">
        <w:rPr>
          <w:lang w:val="fr-FR"/>
        </w:rPr>
        <w:t>Pa</w:t>
      </w:r>
      <w:r>
        <w:rPr>
          <w:lang w:val="fr-FR"/>
        </w:rPr>
        <w:t>s de prescription particulière.</w:t>
      </w:r>
    </w:p>
    <w:p w14:paraId="14942DA2" w14:textId="77777777" w:rsidR="00C057F9" w:rsidRPr="003C5131" w:rsidRDefault="00C057F9" w:rsidP="002621FD">
      <w:pPr>
        <w:pStyle w:val="SingleTxtG"/>
        <w:tabs>
          <w:tab w:val="left" w:pos="2268"/>
        </w:tabs>
        <w:ind w:left="2268" w:hanging="1134"/>
        <w:rPr>
          <w:lang w:val="fr-FR"/>
        </w:rPr>
      </w:pPr>
      <w:r w:rsidRPr="003C5131">
        <w:rPr>
          <w:lang w:val="fr-FR"/>
        </w:rPr>
        <w:t>6.15.5</w:t>
      </w:r>
      <w:r w:rsidRPr="003C5131">
        <w:rPr>
          <w:lang w:val="fr-FR"/>
        </w:rPr>
        <w:tab/>
      </w:r>
      <w:r w:rsidRPr="003C5131">
        <w:rPr>
          <w:lang w:val="fr-FR"/>
        </w:rPr>
        <w:tab/>
        <w:t>Visibilité géométrique</w:t>
      </w:r>
    </w:p>
    <w:p w14:paraId="13A74B17" w14:textId="77777777" w:rsidR="00C057F9" w:rsidRPr="003C5131" w:rsidRDefault="00C057F9" w:rsidP="00443992">
      <w:pPr>
        <w:pStyle w:val="SingleTxtG"/>
        <w:ind w:left="2268"/>
        <w:rPr>
          <w:lang w:val="fr-FR"/>
        </w:rPr>
      </w:pPr>
      <w:r w:rsidRPr="003C5131">
        <w:rPr>
          <w:lang w:val="fr-FR"/>
        </w:rPr>
        <w:t>Pa</w:t>
      </w:r>
      <w:r>
        <w:rPr>
          <w:lang w:val="fr-FR"/>
        </w:rPr>
        <w:t>s de prescription particulière.</w:t>
      </w:r>
    </w:p>
    <w:p w14:paraId="13F85D6B" w14:textId="77777777" w:rsidR="00C057F9" w:rsidRPr="003C5131" w:rsidRDefault="00C057F9" w:rsidP="002621FD">
      <w:pPr>
        <w:pStyle w:val="SingleTxtG"/>
        <w:tabs>
          <w:tab w:val="left" w:pos="2268"/>
        </w:tabs>
        <w:ind w:left="2268" w:hanging="1134"/>
        <w:rPr>
          <w:lang w:val="fr-FR"/>
        </w:rPr>
      </w:pPr>
      <w:r w:rsidRPr="003C5131">
        <w:rPr>
          <w:lang w:val="fr-FR"/>
        </w:rPr>
        <w:lastRenderedPageBreak/>
        <w:t>6.15.6</w:t>
      </w:r>
      <w:r w:rsidRPr="003C5131">
        <w:rPr>
          <w:lang w:val="fr-FR"/>
        </w:rPr>
        <w:tab/>
      </w:r>
      <w:r w:rsidRPr="003C5131">
        <w:rPr>
          <w:lang w:val="fr-FR"/>
        </w:rPr>
        <w:tab/>
        <w:t>Orientation</w:t>
      </w:r>
    </w:p>
    <w:p w14:paraId="3A247DDB" w14:textId="77777777" w:rsidR="00C057F9" w:rsidRPr="003C5131" w:rsidRDefault="00C057F9" w:rsidP="00443992">
      <w:pPr>
        <w:pStyle w:val="SingleTxtG"/>
        <w:ind w:left="2268"/>
        <w:rPr>
          <w:lang w:val="fr-FR"/>
        </w:rPr>
      </w:pPr>
      <w:r w:rsidRPr="003C5131">
        <w:rPr>
          <w:lang w:val="fr-FR"/>
        </w:rPr>
        <w:t>Pa</w:t>
      </w:r>
      <w:r>
        <w:rPr>
          <w:lang w:val="fr-FR"/>
        </w:rPr>
        <w:t>s de prescription particulière.</w:t>
      </w:r>
    </w:p>
    <w:p w14:paraId="24FD05F0" w14:textId="77777777" w:rsidR="00C057F9" w:rsidRPr="003C5131" w:rsidRDefault="00C057F9" w:rsidP="002621FD">
      <w:pPr>
        <w:pStyle w:val="SingleTxtG"/>
        <w:tabs>
          <w:tab w:val="left" w:pos="2268"/>
        </w:tabs>
        <w:ind w:left="2268" w:hanging="1134"/>
        <w:rPr>
          <w:lang w:val="fr-FR"/>
        </w:rPr>
      </w:pPr>
      <w:r w:rsidRPr="003C5131">
        <w:rPr>
          <w:lang w:val="fr-FR"/>
        </w:rPr>
        <w:t>6</w:t>
      </w:r>
      <w:r>
        <w:rPr>
          <w:lang w:val="fr-FR"/>
        </w:rPr>
        <w:t>.15.7</w:t>
      </w:r>
      <w:r>
        <w:rPr>
          <w:lang w:val="fr-FR"/>
        </w:rPr>
        <w:tab/>
      </w:r>
      <w:r>
        <w:rPr>
          <w:lang w:val="fr-FR"/>
        </w:rPr>
        <w:tab/>
        <w:t>Branchements électriques</w:t>
      </w:r>
    </w:p>
    <w:p w14:paraId="19D997B0" w14:textId="77777777" w:rsidR="00C057F9" w:rsidRPr="003C5131" w:rsidRDefault="00C057F9" w:rsidP="00443992">
      <w:pPr>
        <w:pStyle w:val="SingleTxtG"/>
        <w:ind w:left="2268"/>
        <w:rPr>
          <w:lang w:val="fr-FR"/>
        </w:rPr>
      </w:pPr>
      <w:r w:rsidRPr="003C5131">
        <w:rPr>
          <w:lang w:val="fr-FR"/>
        </w:rPr>
        <w:t xml:space="preserve">Pas de </w:t>
      </w:r>
      <w:r>
        <w:rPr>
          <w:lang w:val="fr-FR"/>
        </w:rPr>
        <w:t>prescription particulière.</w:t>
      </w:r>
    </w:p>
    <w:p w14:paraId="4B9D0A10" w14:textId="77777777" w:rsidR="00C057F9" w:rsidRPr="003C5131" w:rsidRDefault="00C057F9" w:rsidP="00443992">
      <w:pPr>
        <w:pStyle w:val="SingleTxtG"/>
        <w:keepNext/>
        <w:tabs>
          <w:tab w:val="left" w:pos="2268"/>
        </w:tabs>
        <w:ind w:left="2268" w:hanging="1134"/>
        <w:rPr>
          <w:lang w:val="fr-FR"/>
        </w:rPr>
      </w:pPr>
      <w:r w:rsidRPr="003C5131">
        <w:rPr>
          <w:lang w:val="fr-FR"/>
        </w:rPr>
        <w:t>6.15.8</w:t>
      </w:r>
      <w:r w:rsidRPr="003C5131">
        <w:rPr>
          <w:lang w:val="fr-FR"/>
        </w:rPr>
        <w:tab/>
      </w:r>
      <w:r w:rsidRPr="003C5131">
        <w:rPr>
          <w:lang w:val="fr-FR"/>
        </w:rPr>
        <w:tab/>
        <w:t>Témoin</w:t>
      </w:r>
    </w:p>
    <w:p w14:paraId="6297DA75" w14:textId="77777777" w:rsidR="00C057F9" w:rsidRPr="003C5131" w:rsidRDefault="00C057F9" w:rsidP="00443992">
      <w:pPr>
        <w:pStyle w:val="SingleTxtG"/>
        <w:keepNext/>
        <w:ind w:left="2268"/>
        <w:rPr>
          <w:lang w:val="fr-FR"/>
        </w:rPr>
      </w:pPr>
      <w:r w:rsidRPr="003C5131">
        <w:rPr>
          <w:lang w:val="fr-FR"/>
        </w:rPr>
        <w:t>Pa</w:t>
      </w:r>
      <w:r>
        <w:rPr>
          <w:lang w:val="fr-FR"/>
        </w:rPr>
        <w:t>s de prescription particulière.</w:t>
      </w:r>
    </w:p>
    <w:p w14:paraId="76A4A1C1" w14:textId="77777777" w:rsidR="00C057F9" w:rsidRPr="003C5131" w:rsidRDefault="00C057F9" w:rsidP="002621FD">
      <w:pPr>
        <w:pStyle w:val="SingleTxtG"/>
        <w:tabs>
          <w:tab w:val="left" w:pos="2268"/>
        </w:tabs>
        <w:ind w:left="2268" w:hanging="1134"/>
        <w:rPr>
          <w:lang w:val="fr-FR"/>
        </w:rPr>
      </w:pPr>
      <w:r w:rsidRPr="003C5131">
        <w:rPr>
          <w:lang w:val="fr-FR"/>
        </w:rPr>
        <w:t>6.15.9</w:t>
      </w:r>
      <w:r w:rsidRPr="003C5131">
        <w:rPr>
          <w:lang w:val="fr-FR"/>
        </w:rPr>
        <w:tab/>
      </w:r>
      <w:r w:rsidRPr="003C5131">
        <w:rPr>
          <w:lang w:val="fr-FR"/>
        </w:rPr>
        <w:tab/>
        <w:t xml:space="preserve">Autres prescriptions </w:t>
      </w:r>
    </w:p>
    <w:p w14:paraId="24DE4E7E" w14:textId="77777777" w:rsidR="00C057F9" w:rsidRPr="003C5131" w:rsidRDefault="00C057F9" w:rsidP="002621FD">
      <w:pPr>
        <w:pStyle w:val="SingleTxtG"/>
        <w:tabs>
          <w:tab w:val="left" w:pos="2268"/>
        </w:tabs>
        <w:ind w:left="2268" w:hanging="1134"/>
        <w:rPr>
          <w:lang w:val="fr-FR"/>
        </w:rPr>
      </w:pPr>
      <w:r w:rsidRPr="003C5131">
        <w:rPr>
          <w:lang w:val="fr-FR"/>
        </w:rPr>
        <w:t>6.15.9.1</w:t>
      </w:r>
      <w:r w:rsidRPr="003C5131">
        <w:rPr>
          <w:lang w:val="fr-FR"/>
        </w:rPr>
        <w:tab/>
        <w:t>Le feu d</w:t>
      </w:r>
      <w:r>
        <w:rPr>
          <w:lang w:val="fr-FR"/>
        </w:rPr>
        <w:t>’</w:t>
      </w:r>
      <w:r w:rsidRPr="003C5131">
        <w:rPr>
          <w:lang w:val="fr-FR"/>
        </w:rPr>
        <w:t>accès au véhicule ne doit s</w:t>
      </w:r>
      <w:r>
        <w:rPr>
          <w:lang w:val="fr-FR"/>
        </w:rPr>
        <w:t>’</w:t>
      </w:r>
      <w:r w:rsidRPr="003C5131">
        <w:rPr>
          <w:lang w:val="fr-FR"/>
        </w:rPr>
        <w:t>allumer que si le véhicule est à l</w:t>
      </w:r>
      <w:r>
        <w:rPr>
          <w:lang w:val="fr-FR"/>
        </w:rPr>
        <w:t>’</w:t>
      </w:r>
      <w:r w:rsidRPr="003C5131">
        <w:rPr>
          <w:lang w:val="fr-FR"/>
        </w:rPr>
        <w:t>arrêt et que si l</w:t>
      </w:r>
      <w:r>
        <w:rPr>
          <w:lang w:val="fr-FR"/>
        </w:rPr>
        <w:t>’</w:t>
      </w:r>
      <w:r w:rsidRPr="003C5131">
        <w:rPr>
          <w:lang w:val="fr-FR"/>
        </w:rPr>
        <w:t>une au moins des conditions suivantes est remplie</w:t>
      </w:r>
      <w:r>
        <w:rPr>
          <w:lang w:val="fr-FR"/>
        </w:rPr>
        <w:t> </w:t>
      </w:r>
      <w:r w:rsidRPr="003C5131">
        <w:rPr>
          <w:lang w:val="fr-FR"/>
        </w:rPr>
        <w:t>:</w:t>
      </w:r>
    </w:p>
    <w:p w14:paraId="7F760878" w14:textId="77777777" w:rsidR="00C057F9" w:rsidRPr="003C5131" w:rsidRDefault="00C057F9" w:rsidP="00443992">
      <w:pPr>
        <w:pStyle w:val="SingleTxtG"/>
        <w:ind w:left="2835" w:hanging="567"/>
        <w:rPr>
          <w:lang w:val="fr-FR"/>
        </w:rPr>
      </w:pPr>
      <w:r w:rsidRPr="003C5131">
        <w:rPr>
          <w:lang w:val="fr-FR"/>
        </w:rPr>
        <w:t>a)</w:t>
      </w:r>
      <w:r w:rsidRPr="003C5131">
        <w:rPr>
          <w:lang w:val="fr-FR"/>
        </w:rPr>
        <w:tab/>
        <w:t>Le dispositif qui commande le démarrage ou l</w:t>
      </w:r>
      <w:r>
        <w:rPr>
          <w:lang w:val="fr-FR"/>
        </w:rPr>
        <w:t>’</w:t>
      </w:r>
      <w:r w:rsidRPr="003C5131">
        <w:rPr>
          <w:lang w:val="fr-FR"/>
        </w:rPr>
        <w:t>arrêt du moteur (système de propulsion) est placé dans une position dans laquelle le moteur (système de prop</w:t>
      </w:r>
      <w:r>
        <w:rPr>
          <w:lang w:val="fr-FR"/>
        </w:rPr>
        <w:t>ulsion) ne peut pas fonctionner </w:t>
      </w:r>
      <w:r w:rsidRPr="003C5131">
        <w:rPr>
          <w:lang w:val="fr-FR"/>
        </w:rPr>
        <w:t>; ou</w:t>
      </w:r>
    </w:p>
    <w:p w14:paraId="6E2FD57B" w14:textId="77777777" w:rsidR="00C057F9" w:rsidRPr="003C5131" w:rsidRDefault="00C057F9" w:rsidP="00443992">
      <w:pPr>
        <w:pStyle w:val="SingleTxtG"/>
        <w:ind w:left="2268"/>
        <w:rPr>
          <w:lang w:val="fr-FR"/>
        </w:rPr>
      </w:pPr>
      <w:r w:rsidRPr="003C5131">
        <w:rPr>
          <w:lang w:val="fr-FR"/>
        </w:rPr>
        <w:t>b)</w:t>
      </w:r>
      <w:r w:rsidRPr="003C5131">
        <w:rPr>
          <w:lang w:val="fr-FR"/>
        </w:rPr>
        <w:tab/>
        <w:t>Un compartiment de chargement est ouvert.</w:t>
      </w:r>
    </w:p>
    <w:p w14:paraId="3C1DD37C" w14:textId="77777777" w:rsidR="00C057F9" w:rsidRPr="003C5131" w:rsidRDefault="00C057F9" w:rsidP="00443992">
      <w:pPr>
        <w:pStyle w:val="SingleTxtG"/>
        <w:ind w:left="2268"/>
        <w:rPr>
          <w:lang w:val="fr-FR"/>
        </w:rPr>
      </w:pPr>
      <w:r w:rsidRPr="003C5131">
        <w:rPr>
          <w:lang w:val="fr-FR"/>
        </w:rPr>
        <w:t>Les dispositions du paragraphe</w:t>
      </w:r>
      <w:r>
        <w:rPr>
          <w:lang w:val="fr-FR"/>
        </w:rPr>
        <w:t> </w:t>
      </w:r>
      <w:r w:rsidRPr="003C5131">
        <w:rPr>
          <w:lang w:val="fr-FR"/>
        </w:rPr>
        <w:t>5.9 doivent être respectées dans toutes les positions d</w:t>
      </w:r>
      <w:r>
        <w:rPr>
          <w:lang w:val="fr-FR"/>
        </w:rPr>
        <w:t>’</w:t>
      </w:r>
      <w:r w:rsidRPr="003C5131">
        <w:rPr>
          <w:lang w:val="fr-FR"/>
        </w:rPr>
        <w:t>utilisation fixes.</w:t>
      </w:r>
    </w:p>
    <w:p w14:paraId="5F470301" w14:textId="77777777" w:rsidR="00C057F9" w:rsidRPr="003C5131" w:rsidRDefault="00C057F9" w:rsidP="002621FD">
      <w:pPr>
        <w:pStyle w:val="SingleTxtG"/>
        <w:tabs>
          <w:tab w:val="left" w:pos="2268"/>
        </w:tabs>
        <w:ind w:left="2268" w:hanging="1134"/>
        <w:rPr>
          <w:lang w:val="fr-FR"/>
        </w:rPr>
      </w:pPr>
      <w:r w:rsidRPr="003C5131">
        <w:rPr>
          <w:lang w:val="fr-FR"/>
        </w:rPr>
        <w:t>6.15.9.2</w:t>
      </w:r>
      <w:r w:rsidRPr="003C5131">
        <w:rPr>
          <w:lang w:val="fr-FR"/>
        </w:rPr>
        <w:tab/>
        <w:t>Les feux homologués émettant une lumière blanche, à l</w:t>
      </w:r>
      <w:r>
        <w:rPr>
          <w:lang w:val="fr-FR"/>
        </w:rPr>
        <w:t>’</w:t>
      </w:r>
      <w:r w:rsidRPr="003C5131">
        <w:rPr>
          <w:lang w:val="fr-FR"/>
        </w:rPr>
        <w:t xml:space="preserve">exception des feux de route et </w:t>
      </w:r>
      <w:r>
        <w:rPr>
          <w:lang w:val="fr-FR"/>
        </w:rPr>
        <w:t xml:space="preserve">des </w:t>
      </w:r>
      <w:r w:rsidRPr="003C5131">
        <w:rPr>
          <w:lang w:val="fr-FR"/>
        </w:rPr>
        <w:t>feux de circulation diurne, peuvent être allumés pour assurer la fonction de feux d</w:t>
      </w:r>
      <w:r>
        <w:rPr>
          <w:lang w:val="fr-FR"/>
        </w:rPr>
        <w:t>’</w:t>
      </w:r>
      <w:r w:rsidRPr="003C5131">
        <w:rPr>
          <w:lang w:val="fr-FR"/>
        </w:rPr>
        <w:t>accès au véhicule. Ils peuvent aussi être allumés simultanément avec les feux d</w:t>
      </w:r>
      <w:r>
        <w:rPr>
          <w:lang w:val="fr-FR"/>
        </w:rPr>
        <w:t>’</w:t>
      </w:r>
      <w:r w:rsidRPr="003C5131">
        <w:rPr>
          <w:lang w:val="fr-FR"/>
        </w:rPr>
        <w:t>accès au véhicule ; dans ce cas,</w:t>
      </w:r>
      <w:r>
        <w:rPr>
          <w:lang w:val="fr-FR"/>
        </w:rPr>
        <w:t xml:space="preserve"> les conditions des paragraphes </w:t>
      </w:r>
      <w:r w:rsidRPr="003C5131">
        <w:rPr>
          <w:lang w:val="fr-FR"/>
        </w:rPr>
        <w:t>5.10 et 5.11 ci-dessus ne s</w:t>
      </w:r>
      <w:r>
        <w:rPr>
          <w:lang w:val="fr-FR"/>
        </w:rPr>
        <w:t>’appliquent pas.</w:t>
      </w:r>
    </w:p>
    <w:p w14:paraId="424B17BA" w14:textId="77777777" w:rsidR="00C057F9" w:rsidRDefault="00C057F9" w:rsidP="002621FD">
      <w:pPr>
        <w:pStyle w:val="SingleTxtG"/>
        <w:tabs>
          <w:tab w:val="left" w:pos="2268"/>
        </w:tabs>
        <w:ind w:left="2268" w:hanging="1134"/>
        <w:rPr>
          <w:lang w:val="fr-FR"/>
        </w:rPr>
      </w:pPr>
      <w:r w:rsidRPr="003C5131">
        <w:rPr>
          <w:lang w:val="fr-FR"/>
        </w:rPr>
        <w:t>6.15.9.3</w:t>
      </w:r>
      <w:r w:rsidRPr="003C5131">
        <w:rPr>
          <w:lang w:val="fr-FR"/>
        </w:rPr>
        <w:tab/>
        <w:t>Le service technique doit effectuer, à la satisfaction de l</w:t>
      </w:r>
      <w:r>
        <w:rPr>
          <w:lang w:val="fr-FR"/>
        </w:rPr>
        <w:t>’</w:t>
      </w:r>
      <w:r w:rsidRPr="003C5131">
        <w:rPr>
          <w:lang w:val="fr-FR"/>
        </w:rPr>
        <w:t>autorité d</w:t>
      </w:r>
      <w:r>
        <w:rPr>
          <w:lang w:val="fr-FR"/>
        </w:rPr>
        <w:t>’</w:t>
      </w:r>
      <w:r w:rsidRPr="003C5131">
        <w:rPr>
          <w:lang w:val="fr-FR"/>
        </w:rPr>
        <w:t>homologation de type, un essai visuel pour vérifier que la surface apparente des feux d</w:t>
      </w:r>
      <w:r>
        <w:rPr>
          <w:lang w:val="fr-FR"/>
        </w:rPr>
        <w:t>’</w:t>
      </w:r>
      <w:r w:rsidRPr="003C5131">
        <w:rPr>
          <w:lang w:val="fr-FR"/>
        </w:rPr>
        <w:t>accès n</w:t>
      </w:r>
      <w:r>
        <w:rPr>
          <w:lang w:val="fr-FR"/>
        </w:rPr>
        <w:t>’</w:t>
      </w:r>
      <w:r w:rsidRPr="003C5131">
        <w:rPr>
          <w:lang w:val="fr-FR"/>
        </w:rPr>
        <w:t>est pas directement visible pour l</w:t>
      </w:r>
      <w:r>
        <w:rPr>
          <w:lang w:val="fr-FR"/>
        </w:rPr>
        <w:t>’</w:t>
      </w:r>
      <w:r w:rsidRPr="003C5131">
        <w:rPr>
          <w:lang w:val="fr-FR"/>
        </w:rPr>
        <w:t>œil d</w:t>
      </w:r>
      <w:r>
        <w:rPr>
          <w:lang w:val="fr-FR"/>
        </w:rPr>
        <w:t>’</w:t>
      </w:r>
      <w:r w:rsidRPr="003C5131">
        <w:rPr>
          <w:lang w:val="fr-FR"/>
        </w:rPr>
        <w:t>un observateur se déplaçant dans une zone délimitée par un plan transversal situé à 10</w:t>
      </w:r>
      <w:r>
        <w:rPr>
          <w:lang w:val="fr-FR"/>
        </w:rPr>
        <w:t> </w:t>
      </w:r>
      <w:r w:rsidRPr="003C5131">
        <w:rPr>
          <w:lang w:val="fr-FR"/>
        </w:rPr>
        <w:t>m en avant du véhicule,</w:t>
      </w:r>
      <w:r>
        <w:rPr>
          <w:lang w:val="fr-FR"/>
        </w:rPr>
        <w:t xml:space="preserve"> un plan transversal situé à 10 </w:t>
      </w:r>
      <w:r w:rsidRPr="003C5131">
        <w:rPr>
          <w:lang w:val="fr-FR"/>
        </w:rPr>
        <w:t xml:space="preserve">m derrière le véhicule, et deux </w:t>
      </w:r>
      <w:r>
        <w:rPr>
          <w:lang w:val="fr-FR"/>
        </w:rPr>
        <w:t>plans longitudinaux situés à 10 </w:t>
      </w:r>
      <w:r w:rsidRPr="003C5131">
        <w:rPr>
          <w:lang w:val="fr-FR"/>
        </w:rPr>
        <w:t xml:space="preserve">m </w:t>
      </w:r>
      <w:bookmarkStart w:id="1" w:name="_GoBack"/>
      <w:bookmarkEnd w:id="1"/>
      <w:r w:rsidRPr="003C5131">
        <w:rPr>
          <w:lang w:val="fr-FR"/>
        </w:rPr>
        <w:t>de chaque côté du véhicule, ces quatre plans s</w:t>
      </w:r>
      <w:r>
        <w:rPr>
          <w:lang w:val="fr-FR"/>
        </w:rPr>
        <w:t>’</w:t>
      </w:r>
      <w:r w:rsidRPr="003C5131">
        <w:rPr>
          <w:lang w:val="fr-FR"/>
        </w:rPr>
        <w:t>étendant de 1 à 3</w:t>
      </w:r>
      <w:r>
        <w:rPr>
          <w:lang w:val="fr-FR"/>
        </w:rPr>
        <w:t> </w:t>
      </w:r>
      <w:r w:rsidRPr="003C5131">
        <w:rPr>
          <w:lang w:val="fr-FR"/>
        </w:rPr>
        <w:t>m au-dessus du sol perpendiculairement à celui-ci conformément au schéma de l</w:t>
      </w:r>
      <w:r>
        <w:rPr>
          <w:lang w:val="fr-FR"/>
        </w:rPr>
        <w:t>’annexe 7.</w:t>
      </w:r>
    </w:p>
    <w:p w14:paraId="55DA16A8" w14:textId="77777777" w:rsidR="00C057F9" w:rsidRPr="003C5131" w:rsidRDefault="00C057F9" w:rsidP="00443992">
      <w:pPr>
        <w:pStyle w:val="SingleTxtG"/>
        <w:ind w:left="2268"/>
        <w:rPr>
          <w:lang w:val="fr-FR"/>
        </w:rPr>
      </w:pPr>
      <w:r w:rsidRPr="003C5131">
        <w:rPr>
          <w:lang w:val="fr-FR"/>
        </w:rPr>
        <w:t xml:space="preserve">Les prescriptions susmentionnées seront vérifiées selon les </w:t>
      </w:r>
      <w:r>
        <w:rPr>
          <w:lang w:val="fr-FR"/>
        </w:rPr>
        <w:t>conditions fixées au paragraphe </w:t>
      </w:r>
      <w:r w:rsidRPr="003C5131">
        <w:rPr>
          <w:lang w:val="fr-FR"/>
        </w:rPr>
        <w:t>5.4, plus les</w:t>
      </w:r>
      <w:r>
        <w:rPr>
          <w:lang w:val="fr-FR"/>
        </w:rPr>
        <w:t xml:space="preserve"> conditions suivantes </w:t>
      </w:r>
      <w:r w:rsidRPr="003C5131">
        <w:rPr>
          <w:lang w:val="fr-FR"/>
        </w:rPr>
        <w:t>:</w:t>
      </w:r>
    </w:p>
    <w:p w14:paraId="2AA40DF0" w14:textId="77777777" w:rsidR="00C057F9" w:rsidRPr="003C5131" w:rsidRDefault="00C057F9" w:rsidP="00443992">
      <w:pPr>
        <w:pStyle w:val="SingleTxtG"/>
        <w:ind w:left="3686" w:hanging="1134"/>
        <w:rPr>
          <w:lang w:val="fr-FR"/>
        </w:rPr>
      </w:pPr>
      <w:r>
        <w:rPr>
          <w:lang w:val="fr-FR"/>
        </w:rPr>
        <w:t>Béquille </w:t>
      </w:r>
      <w:r w:rsidRPr="003C5131">
        <w:rPr>
          <w:lang w:val="fr-FR"/>
        </w:rPr>
        <w:t>:</w:t>
      </w:r>
      <w:r>
        <w:rPr>
          <w:lang w:val="fr-FR"/>
        </w:rPr>
        <w:tab/>
      </w:r>
      <w:r w:rsidRPr="003C5131">
        <w:rPr>
          <w:lang w:val="fr-FR"/>
        </w:rPr>
        <w:t>En appui sur une béquille latérale ou sur une béquille centra</w:t>
      </w:r>
      <w:r>
        <w:rPr>
          <w:lang w:val="fr-FR"/>
        </w:rPr>
        <w:t>le, le cas échéant sur les deux </w:t>
      </w:r>
      <w:r w:rsidRPr="003C5131">
        <w:rPr>
          <w:lang w:val="fr-FR"/>
        </w:rPr>
        <w:t>;</w:t>
      </w:r>
    </w:p>
    <w:p w14:paraId="72B78108" w14:textId="77777777" w:rsidR="00C057F9" w:rsidRPr="003C5131" w:rsidRDefault="00C057F9" w:rsidP="00443992">
      <w:pPr>
        <w:pStyle w:val="SingleTxtG"/>
        <w:ind w:left="3686" w:hanging="1134"/>
        <w:rPr>
          <w:lang w:val="fr-FR"/>
        </w:rPr>
      </w:pPr>
      <w:r>
        <w:rPr>
          <w:lang w:val="fr-FR"/>
        </w:rPr>
        <w:t>Guidon :</w:t>
      </w:r>
      <w:r w:rsidRPr="003C5131">
        <w:rPr>
          <w:lang w:val="fr-FR"/>
        </w:rPr>
        <w:tab/>
        <w:t>Dans la position de marche en ligne droite et verrouillé dans chaque position possible.</w:t>
      </w:r>
    </w:p>
    <w:p w14:paraId="04DE0FBD" w14:textId="77777777" w:rsidR="00C057F9" w:rsidRPr="003C5131" w:rsidRDefault="00C057F9" w:rsidP="00443992">
      <w:pPr>
        <w:pStyle w:val="SingleTxtG"/>
        <w:ind w:left="2268"/>
        <w:rPr>
          <w:lang w:val="fr-FR"/>
        </w:rPr>
      </w:pPr>
      <w:r w:rsidRPr="003C5131">
        <w:rPr>
          <w:lang w:val="fr-FR"/>
        </w:rPr>
        <w:t>À la demande du demandeur de l</w:t>
      </w:r>
      <w:r>
        <w:rPr>
          <w:lang w:val="fr-FR"/>
        </w:rPr>
        <w:t>’</w:t>
      </w:r>
      <w:r w:rsidRPr="003C5131">
        <w:rPr>
          <w:lang w:val="fr-FR"/>
        </w:rPr>
        <w:t>homologation et avec l</w:t>
      </w:r>
      <w:r>
        <w:rPr>
          <w:lang w:val="fr-FR"/>
        </w:rPr>
        <w:t>’</w:t>
      </w:r>
      <w:r w:rsidRPr="003C5131">
        <w:rPr>
          <w:lang w:val="fr-FR"/>
        </w:rPr>
        <w:t>accord du service technique, le respect des prescriptions ci-dessus peut être vérifié sur schéma ou par simulation.</w:t>
      </w:r>
      <w:r>
        <w:rPr>
          <w:lang w:val="fr-FR"/>
        </w:rPr>
        <w:t> »</w:t>
      </w:r>
      <w:r w:rsidRPr="003C5131">
        <w:rPr>
          <w:lang w:val="fr-FR"/>
        </w:rPr>
        <w:t>.</w:t>
      </w:r>
    </w:p>
    <w:p w14:paraId="560E74A4" w14:textId="77777777" w:rsidR="00C057F9" w:rsidRDefault="00C057F9" w:rsidP="00443992">
      <w:pPr>
        <w:pStyle w:val="SingleTxtG"/>
        <w:rPr>
          <w:i/>
          <w:iCs/>
          <w:lang w:val="fr-FR"/>
        </w:rPr>
      </w:pPr>
      <w:r w:rsidRPr="00443992">
        <w:rPr>
          <w:i/>
          <w:lang w:val="fr-FR"/>
        </w:rPr>
        <w:t>Annexe</w:t>
      </w:r>
      <w:r w:rsidRPr="003C5131">
        <w:rPr>
          <w:i/>
          <w:iCs/>
          <w:lang w:val="fr-FR"/>
        </w:rPr>
        <w:t xml:space="preserve"> 1</w:t>
      </w:r>
    </w:p>
    <w:p w14:paraId="039D8D26" w14:textId="77777777" w:rsidR="00C057F9" w:rsidRPr="003C5131" w:rsidRDefault="00C057F9" w:rsidP="00443992">
      <w:pPr>
        <w:pStyle w:val="SingleTxtG"/>
        <w:rPr>
          <w:lang w:val="fr-FR"/>
        </w:rPr>
      </w:pPr>
      <w:r>
        <w:rPr>
          <w:i/>
          <w:iCs/>
          <w:lang w:val="fr-FR"/>
        </w:rPr>
        <w:t>A</w:t>
      </w:r>
      <w:r w:rsidRPr="003C5131">
        <w:rPr>
          <w:i/>
          <w:iCs/>
          <w:lang w:val="fr-FR"/>
        </w:rPr>
        <w:t xml:space="preserve">jouter </w:t>
      </w:r>
      <w:r>
        <w:rPr>
          <w:i/>
          <w:iCs/>
          <w:lang w:val="fr-FR"/>
        </w:rPr>
        <w:t>le</w:t>
      </w:r>
      <w:r w:rsidRPr="003C5131">
        <w:rPr>
          <w:i/>
          <w:iCs/>
          <w:lang w:val="fr-FR"/>
        </w:rPr>
        <w:t xml:space="preserve"> nouveau point 9.22</w:t>
      </w:r>
      <w:r>
        <w:rPr>
          <w:lang w:val="fr-FR"/>
        </w:rPr>
        <w:t>, libellé comme suit </w:t>
      </w:r>
      <w:r w:rsidRPr="003C5131">
        <w:rPr>
          <w:lang w:val="fr-FR"/>
        </w:rPr>
        <w:t>:</w:t>
      </w:r>
    </w:p>
    <w:p w14:paraId="4E3CAEEA" w14:textId="77777777" w:rsidR="00233939" w:rsidRPr="00233939" w:rsidRDefault="00C057F9" w:rsidP="00443992">
      <w:pPr>
        <w:pStyle w:val="SingleTxtG"/>
        <w:tabs>
          <w:tab w:val="left" w:pos="2268"/>
        </w:tabs>
        <w:ind w:left="2268" w:hanging="1134"/>
      </w:pPr>
      <w:r>
        <w:rPr>
          <w:lang w:val="fr-FR"/>
        </w:rPr>
        <w:t>« </w:t>
      </w:r>
      <w:r w:rsidRPr="003C5131">
        <w:rPr>
          <w:lang w:val="fr-FR"/>
        </w:rPr>
        <w:t>9.22</w:t>
      </w:r>
      <w:r w:rsidRPr="003C5131">
        <w:rPr>
          <w:lang w:val="fr-FR"/>
        </w:rPr>
        <w:tab/>
        <w:t>Feu d</w:t>
      </w:r>
      <w:r>
        <w:rPr>
          <w:lang w:val="fr-FR"/>
        </w:rPr>
        <w:t>’</w:t>
      </w:r>
      <w:r w:rsidRPr="003C5131">
        <w:rPr>
          <w:lang w:val="fr-FR"/>
        </w:rPr>
        <w:t>accès au véhicule</w:t>
      </w:r>
      <w:r>
        <w:rPr>
          <w:lang w:val="fr-FR"/>
        </w:rPr>
        <w:t> </w:t>
      </w:r>
      <w:r w:rsidRPr="003C5131">
        <w:rPr>
          <w:lang w:val="fr-FR"/>
        </w:rPr>
        <w:t>:</w:t>
      </w:r>
      <w:r w:rsidRPr="003C5131">
        <w:rPr>
          <w:lang w:val="fr-FR"/>
        </w:rPr>
        <w:tab/>
        <w:t>oui/non</w:t>
      </w:r>
      <w:r w:rsidRPr="003C5131">
        <w:rPr>
          <w:vertAlign w:val="superscript"/>
          <w:lang w:val="fr-FR"/>
        </w:rPr>
        <w:t>2</w:t>
      </w:r>
      <w:r>
        <w:rPr>
          <w:lang w:val="fr-FR"/>
        </w:rPr>
        <w:t>. »</w:t>
      </w:r>
      <w:r w:rsidRPr="003C5131">
        <w:rPr>
          <w:lang w:val="fr-FR"/>
        </w:rPr>
        <w:t>.</w:t>
      </w:r>
    </w:p>
    <w:p w14:paraId="090F251F" w14:textId="77777777" w:rsidR="00C057F9" w:rsidRPr="003C5131" w:rsidRDefault="00C057F9" w:rsidP="00443992">
      <w:pPr>
        <w:pStyle w:val="SingleTxtG"/>
        <w:rPr>
          <w:lang w:val="fr-FR"/>
        </w:rPr>
      </w:pPr>
      <w:r>
        <w:br w:type="page"/>
      </w:r>
      <w:r w:rsidRPr="003C5131">
        <w:rPr>
          <w:i/>
          <w:iCs/>
          <w:lang w:val="fr-FR"/>
        </w:rPr>
        <w:lastRenderedPageBreak/>
        <w:t xml:space="preserve">Ajouter </w:t>
      </w:r>
      <w:r>
        <w:rPr>
          <w:i/>
          <w:iCs/>
          <w:lang w:val="fr-FR"/>
        </w:rPr>
        <w:t>la</w:t>
      </w:r>
      <w:r w:rsidRPr="003C5131">
        <w:rPr>
          <w:i/>
          <w:iCs/>
          <w:lang w:val="fr-FR"/>
        </w:rPr>
        <w:t xml:space="preserve"> nouvelle annexe 7</w:t>
      </w:r>
      <w:r w:rsidRPr="003C5131">
        <w:rPr>
          <w:lang w:val="fr-FR"/>
        </w:rPr>
        <w:t>, libellée comme suit</w:t>
      </w:r>
      <w:r>
        <w:rPr>
          <w:lang w:val="fr-FR"/>
        </w:rPr>
        <w:t> </w:t>
      </w:r>
      <w:r w:rsidRPr="003C5131">
        <w:rPr>
          <w:lang w:val="fr-FR"/>
        </w:rPr>
        <w:t>:</w:t>
      </w:r>
    </w:p>
    <w:p w14:paraId="250FCF22" w14:textId="77777777" w:rsidR="00C057F9" w:rsidRPr="003C5131" w:rsidRDefault="00C057F9" w:rsidP="00443992">
      <w:pPr>
        <w:pStyle w:val="HChG"/>
        <w:rPr>
          <w:lang w:val="fr-FR"/>
        </w:rPr>
      </w:pPr>
      <w:r w:rsidRPr="00252D62">
        <w:rPr>
          <w:b w:val="0"/>
          <w:bCs/>
          <w:sz w:val="20"/>
          <w:lang w:val="fr-FR"/>
        </w:rPr>
        <w:t>« </w:t>
      </w:r>
      <w:r w:rsidRPr="003C5131">
        <w:rPr>
          <w:lang w:val="fr-FR"/>
        </w:rPr>
        <w:t>Annexe 7</w:t>
      </w:r>
    </w:p>
    <w:p w14:paraId="6A8A2005" w14:textId="77777777" w:rsidR="00C057F9" w:rsidRPr="003C5131" w:rsidRDefault="00C057F9" w:rsidP="00443992">
      <w:pPr>
        <w:pStyle w:val="HChG"/>
        <w:rPr>
          <w:lang w:val="fr-FR"/>
        </w:rPr>
      </w:pPr>
      <w:r w:rsidRPr="003C5131">
        <w:rPr>
          <w:lang w:val="fr-FR"/>
        </w:rPr>
        <w:tab/>
      </w:r>
      <w:r>
        <w:rPr>
          <w:lang w:val="fr-FR"/>
        </w:rPr>
        <w:tab/>
      </w:r>
      <w:r w:rsidRPr="003C5131">
        <w:rPr>
          <w:lang w:val="fr-FR"/>
        </w:rPr>
        <w:t>Zones d</w:t>
      </w:r>
      <w:r>
        <w:rPr>
          <w:lang w:val="fr-FR"/>
        </w:rPr>
        <w:t>’</w:t>
      </w:r>
      <w:r w:rsidRPr="003C5131">
        <w:rPr>
          <w:lang w:val="fr-FR"/>
        </w:rPr>
        <w:t xml:space="preserve">observation de la surface apparente </w:t>
      </w:r>
      <w:r w:rsidR="00443992">
        <w:rPr>
          <w:lang w:val="fr-FR"/>
        </w:rPr>
        <w:br/>
      </w:r>
      <w:r w:rsidRPr="003C5131">
        <w:rPr>
          <w:lang w:val="fr-FR"/>
        </w:rPr>
        <w:t>des feux d</w:t>
      </w:r>
      <w:r>
        <w:rPr>
          <w:lang w:val="fr-FR"/>
        </w:rPr>
        <w:t>’</w:t>
      </w:r>
      <w:r w:rsidRPr="003C5131">
        <w:rPr>
          <w:lang w:val="fr-FR"/>
        </w:rPr>
        <w:t>accès au véhicule</w:t>
      </w:r>
    </w:p>
    <w:p w14:paraId="4FFB4365" w14:textId="77777777" w:rsidR="00C057F9" w:rsidRPr="003C5131" w:rsidRDefault="00C057F9" w:rsidP="00443992">
      <w:pPr>
        <w:pStyle w:val="SingleTxtG"/>
        <w:rPr>
          <w:lang w:val="fr-FR"/>
        </w:rPr>
      </w:pPr>
      <w:r w:rsidRPr="003C5131">
        <w:rPr>
          <w:lang w:val="fr-FR"/>
        </w:rPr>
        <w:t>Zones d</w:t>
      </w:r>
      <w:r>
        <w:rPr>
          <w:lang w:val="fr-FR"/>
        </w:rPr>
        <w:t>’</w:t>
      </w:r>
      <w:r w:rsidRPr="003C5131">
        <w:rPr>
          <w:lang w:val="fr-FR"/>
        </w:rPr>
        <w:t>observation</w:t>
      </w:r>
    </w:p>
    <w:p w14:paraId="755562E3" w14:textId="77777777" w:rsidR="00C057F9" w:rsidRDefault="00C057F9" w:rsidP="00443992">
      <w:pPr>
        <w:pStyle w:val="SingleTxtG"/>
        <w:rPr>
          <w:lang w:val="fr-FR"/>
        </w:rPr>
      </w:pPr>
      <w:r w:rsidRPr="003C5131">
        <w:rPr>
          <w:lang w:val="fr-FR"/>
        </w:rPr>
        <w:t xml:space="preserve">Le schéma ci-après représente la zone </w:t>
      </w:r>
      <w:r w:rsidRPr="00BE022A">
        <w:rPr>
          <w:lang w:val="fr-FR"/>
        </w:rPr>
        <w:t>d</w:t>
      </w:r>
      <w:r>
        <w:rPr>
          <w:lang w:val="fr-FR"/>
        </w:rPr>
        <w:t>’</w:t>
      </w:r>
      <w:r w:rsidRPr="00BE022A">
        <w:rPr>
          <w:lang w:val="fr-FR"/>
        </w:rPr>
        <w:t>observation</w:t>
      </w:r>
      <w:r>
        <w:rPr>
          <w:lang w:val="fr-FR"/>
        </w:rPr>
        <w:t xml:space="preserve"> depuis un côté </w:t>
      </w:r>
      <w:r w:rsidRPr="003C5131">
        <w:rPr>
          <w:lang w:val="fr-FR"/>
        </w:rPr>
        <w:t>; les autres zones correspondent à la vision depuis l</w:t>
      </w:r>
      <w:r>
        <w:rPr>
          <w:lang w:val="fr-FR"/>
        </w:rPr>
        <w:t>’</w:t>
      </w:r>
      <w:r w:rsidRPr="003C5131">
        <w:rPr>
          <w:lang w:val="fr-FR"/>
        </w:rPr>
        <w:t>avant, depuis l</w:t>
      </w:r>
      <w:r>
        <w:rPr>
          <w:lang w:val="fr-FR"/>
        </w:rPr>
        <w:t>’</w:t>
      </w:r>
      <w:r w:rsidRPr="003C5131">
        <w:rPr>
          <w:lang w:val="fr-FR"/>
        </w:rPr>
        <w:t>arrière et depuis l</w:t>
      </w:r>
      <w:r>
        <w:rPr>
          <w:lang w:val="fr-FR"/>
        </w:rPr>
        <w:t>’</w:t>
      </w:r>
      <w:r w:rsidRPr="003C5131">
        <w:rPr>
          <w:lang w:val="fr-FR"/>
        </w:rPr>
        <w:t>autre côté du véhicule.</w:t>
      </w:r>
    </w:p>
    <w:p w14:paraId="67BF9F90" w14:textId="77777777" w:rsidR="00C057F9" w:rsidRDefault="00C057F9" w:rsidP="00DF5930">
      <w:pPr>
        <w:pStyle w:val="SingleTxtG"/>
        <w:ind w:left="680"/>
        <w:rPr>
          <w:bCs/>
        </w:rPr>
      </w:pPr>
      <w:r>
        <w:rPr>
          <w:noProof/>
          <w:lang w:eastAsia="fr-CH"/>
        </w:rPr>
        <w:drawing>
          <wp:inline distT="0" distB="0" distL="0" distR="0" wp14:anchorId="54ACDCF7" wp14:editId="06A5DD94">
            <wp:extent cx="5392420" cy="143002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420" cy="1430020"/>
                    </a:xfrm>
                    <a:prstGeom prst="rect">
                      <a:avLst/>
                    </a:prstGeom>
                    <a:noFill/>
                    <a:ln>
                      <a:noFill/>
                    </a:ln>
                  </pic:spPr>
                </pic:pic>
              </a:graphicData>
            </a:graphic>
          </wp:inline>
        </w:drawing>
      </w:r>
    </w:p>
    <w:p w14:paraId="3D595651" w14:textId="77777777" w:rsidR="00C057F9" w:rsidRDefault="00C057F9" w:rsidP="00443992">
      <w:pPr>
        <w:pStyle w:val="SingleTxtG"/>
        <w:rPr>
          <w:lang w:val="fr-FR"/>
        </w:rPr>
      </w:pPr>
      <w:r w:rsidRPr="003C5131">
        <w:rPr>
          <w:lang w:val="fr-FR"/>
        </w:rPr>
        <w:t>Limites des zones</w:t>
      </w:r>
    </w:p>
    <w:p w14:paraId="275136B2" w14:textId="77777777" w:rsidR="005F0207" w:rsidRDefault="00C057F9" w:rsidP="00443992">
      <w:pPr>
        <w:pStyle w:val="SingleTxtG"/>
        <w:ind w:left="567" w:right="340"/>
        <w:jc w:val="right"/>
        <w:rPr>
          <w:bCs/>
        </w:rPr>
      </w:pPr>
      <w:r>
        <w:rPr>
          <w:noProof/>
          <w:lang w:eastAsia="fr-CH"/>
        </w:rPr>
        <w:drawing>
          <wp:inline distT="0" distB="0" distL="0" distR="0" wp14:anchorId="2432352F" wp14:editId="352F0B51">
            <wp:extent cx="5299075" cy="330581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Pr>
          <w:bCs/>
        </w:rPr>
        <w:t> ».</w:t>
      </w:r>
    </w:p>
    <w:p w14:paraId="71AC1943" w14:textId="77777777" w:rsidR="00443992" w:rsidRPr="00443992" w:rsidRDefault="00443992" w:rsidP="00443992">
      <w:pPr>
        <w:pStyle w:val="SingleTxtG"/>
        <w:spacing w:before="240" w:after="0"/>
        <w:jc w:val="center"/>
        <w:rPr>
          <w:u w:val="single"/>
        </w:rPr>
      </w:pPr>
      <w:r>
        <w:rPr>
          <w:u w:val="single"/>
        </w:rPr>
        <w:tab/>
      </w:r>
      <w:r>
        <w:rPr>
          <w:u w:val="single"/>
        </w:rPr>
        <w:tab/>
      </w:r>
      <w:r>
        <w:rPr>
          <w:u w:val="single"/>
        </w:rPr>
        <w:tab/>
      </w:r>
    </w:p>
    <w:sectPr w:rsidR="00443992" w:rsidRPr="00443992" w:rsidSect="0023393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03AA" w14:textId="77777777" w:rsidR="00E8043E" w:rsidRDefault="00E8043E"/>
  </w:endnote>
  <w:endnote w:type="continuationSeparator" w:id="0">
    <w:p w14:paraId="4B1AF9B2" w14:textId="77777777" w:rsidR="00E8043E" w:rsidRDefault="00E8043E">
      <w:pPr>
        <w:pStyle w:val="Pieddepage"/>
      </w:pPr>
    </w:p>
  </w:endnote>
  <w:endnote w:type="continuationNotice" w:id="1">
    <w:p w14:paraId="010EA245" w14:textId="77777777" w:rsidR="00E8043E" w:rsidRPr="00C451B9" w:rsidRDefault="00E8043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5C8" w14:textId="77777777" w:rsidR="00233939" w:rsidRPr="00233939" w:rsidRDefault="00233939" w:rsidP="00233939">
    <w:pPr>
      <w:pStyle w:val="Pieddepage"/>
      <w:tabs>
        <w:tab w:val="right" w:pos="9638"/>
      </w:tabs>
    </w:pPr>
    <w:r w:rsidRPr="00233939">
      <w:rPr>
        <w:b/>
        <w:sz w:val="18"/>
      </w:rPr>
      <w:fldChar w:fldCharType="begin"/>
    </w:r>
    <w:r w:rsidRPr="00233939">
      <w:rPr>
        <w:b/>
        <w:sz w:val="18"/>
      </w:rPr>
      <w:instrText xml:space="preserve"> PAGE  \* MERGEFORMAT </w:instrText>
    </w:r>
    <w:r w:rsidRPr="00233939">
      <w:rPr>
        <w:b/>
        <w:sz w:val="18"/>
      </w:rPr>
      <w:fldChar w:fldCharType="separate"/>
    </w:r>
    <w:r w:rsidRPr="00233939">
      <w:rPr>
        <w:b/>
        <w:noProof/>
        <w:sz w:val="18"/>
      </w:rPr>
      <w:t>2</w:t>
    </w:r>
    <w:r w:rsidRPr="00233939">
      <w:rPr>
        <w:b/>
        <w:sz w:val="18"/>
      </w:rPr>
      <w:fldChar w:fldCharType="end"/>
    </w:r>
    <w:r>
      <w:rPr>
        <w:b/>
        <w:sz w:val="18"/>
      </w:rPr>
      <w:tab/>
    </w:r>
    <w:r>
      <w:t>GE.19-19430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D9D8" w14:textId="77777777" w:rsidR="00233939" w:rsidRPr="00233939" w:rsidRDefault="00233939" w:rsidP="00233939">
    <w:pPr>
      <w:pStyle w:val="Pieddepage"/>
      <w:tabs>
        <w:tab w:val="right" w:pos="9638"/>
      </w:tabs>
      <w:rPr>
        <w:b/>
        <w:sz w:val="18"/>
      </w:rPr>
    </w:pPr>
    <w:r>
      <w:t>GE.19-19430</w:t>
    </w:r>
    <w:r>
      <w:tab/>
    </w:r>
    <w:r w:rsidRPr="00233939">
      <w:rPr>
        <w:b/>
        <w:sz w:val="18"/>
      </w:rPr>
      <w:fldChar w:fldCharType="begin"/>
    </w:r>
    <w:r w:rsidRPr="00233939">
      <w:rPr>
        <w:b/>
        <w:sz w:val="18"/>
      </w:rPr>
      <w:instrText xml:space="preserve"> PAGE  \* MERGEFORMAT </w:instrText>
    </w:r>
    <w:r w:rsidRPr="00233939">
      <w:rPr>
        <w:b/>
        <w:sz w:val="18"/>
      </w:rPr>
      <w:fldChar w:fldCharType="separate"/>
    </w:r>
    <w:r w:rsidRPr="00233939">
      <w:rPr>
        <w:b/>
        <w:noProof/>
        <w:sz w:val="18"/>
      </w:rPr>
      <w:t>3</w:t>
    </w:r>
    <w:r w:rsidRPr="002339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EB42" w14:textId="77777777" w:rsidR="00467F2C" w:rsidRPr="00233939" w:rsidRDefault="00233939" w:rsidP="00233939">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34B80866" wp14:editId="1327053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19-19430  (F)</w:t>
    </w:r>
    <w:r w:rsidR="001500F2">
      <w:rPr>
        <w:sz w:val="20"/>
      </w:rPr>
      <w:t xml:space="preserve">    180620    180620</w:t>
    </w:r>
    <w:r>
      <w:rPr>
        <w:sz w:val="20"/>
      </w:rPr>
      <w:br/>
    </w:r>
    <w:r w:rsidRPr="00233939">
      <w:rPr>
        <w:rFonts w:ascii="C39T30Lfz" w:hAnsi="C39T30Lfz"/>
        <w:sz w:val="56"/>
      </w:rPr>
      <w:t></w:t>
    </w:r>
    <w:r w:rsidRPr="00233939">
      <w:rPr>
        <w:rFonts w:ascii="C39T30Lfz" w:hAnsi="C39T30Lfz"/>
        <w:sz w:val="56"/>
      </w:rPr>
      <w:t></w:t>
    </w:r>
    <w:r w:rsidRPr="00233939">
      <w:rPr>
        <w:rFonts w:ascii="C39T30Lfz" w:hAnsi="C39T30Lfz"/>
        <w:sz w:val="56"/>
      </w:rPr>
      <w:t></w:t>
    </w:r>
    <w:r w:rsidRPr="00233939">
      <w:rPr>
        <w:rFonts w:ascii="C39T30Lfz" w:hAnsi="C39T30Lfz"/>
        <w:sz w:val="56"/>
      </w:rPr>
      <w:t></w:t>
    </w:r>
    <w:r w:rsidRPr="00233939">
      <w:rPr>
        <w:rFonts w:ascii="C39T30Lfz" w:hAnsi="C39T30Lfz"/>
        <w:sz w:val="56"/>
      </w:rPr>
      <w:t></w:t>
    </w:r>
    <w:r w:rsidRPr="00233939">
      <w:rPr>
        <w:rFonts w:ascii="C39T30Lfz" w:hAnsi="C39T30Lfz"/>
        <w:sz w:val="56"/>
      </w:rPr>
      <w:t></w:t>
    </w:r>
    <w:r w:rsidRPr="00233939">
      <w:rPr>
        <w:rFonts w:ascii="C39T30Lfz" w:hAnsi="C39T30Lfz"/>
        <w:sz w:val="56"/>
      </w:rPr>
      <w:t></w:t>
    </w:r>
    <w:r w:rsidRPr="00233939">
      <w:rPr>
        <w:rFonts w:ascii="C39T30Lfz" w:hAnsi="C39T30Lfz"/>
        <w:sz w:val="56"/>
      </w:rPr>
      <w:t></w:t>
    </w:r>
    <w:r w:rsidRPr="00233939">
      <w:rPr>
        <w:rFonts w:ascii="C39T30Lfz" w:hAnsi="C39T30Lfz"/>
        <w:sz w:val="56"/>
      </w:rPr>
      <w:t></w:t>
    </w:r>
    <w:r>
      <w:rPr>
        <w:noProof/>
        <w:sz w:val="20"/>
      </w:rPr>
      <w:drawing>
        <wp:anchor distT="0" distB="0" distL="114300" distR="114300" simplePos="0" relativeHeight="251658240" behindDoc="0" locked="0" layoutInCell="1" allowOverlap="1" wp14:anchorId="3307DF60" wp14:editId="501127BC">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9130" w14:textId="77777777" w:rsidR="00E8043E" w:rsidRPr="00D27D5E" w:rsidRDefault="00E8043E" w:rsidP="00D27D5E">
      <w:pPr>
        <w:tabs>
          <w:tab w:val="right" w:pos="2155"/>
        </w:tabs>
        <w:spacing w:after="80"/>
        <w:ind w:left="680"/>
        <w:rPr>
          <w:u w:val="single"/>
        </w:rPr>
      </w:pPr>
      <w:r>
        <w:rPr>
          <w:u w:val="single"/>
        </w:rPr>
        <w:tab/>
      </w:r>
    </w:p>
  </w:footnote>
  <w:footnote w:type="continuationSeparator" w:id="0">
    <w:p w14:paraId="03171EDB" w14:textId="77777777" w:rsidR="00E8043E" w:rsidRPr="00D171D4" w:rsidRDefault="00E8043E" w:rsidP="00D171D4">
      <w:pPr>
        <w:tabs>
          <w:tab w:val="right" w:pos="2155"/>
        </w:tabs>
        <w:spacing w:after="80"/>
        <w:ind w:left="680"/>
        <w:rPr>
          <w:u w:val="single"/>
        </w:rPr>
      </w:pPr>
      <w:r w:rsidRPr="00D171D4">
        <w:rPr>
          <w:u w:val="single"/>
        </w:rPr>
        <w:tab/>
      </w:r>
    </w:p>
  </w:footnote>
  <w:footnote w:type="continuationNotice" w:id="1">
    <w:p w14:paraId="1BC793C6" w14:textId="77777777" w:rsidR="00E8043E" w:rsidRPr="00C451B9" w:rsidRDefault="00E8043E" w:rsidP="00C451B9">
      <w:pPr>
        <w:spacing w:line="240" w:lineRule="auto"/>
        <w:rPr>
          <w:sz w:val="2"/>
          <w:szCs w:val="2"/>
        </w:rPr>
      </w:pPr>
    </w:p>
  </w:footnote>
  <w:footnote w:id="2">
    <w:p w14:paraId="3D2E4A89"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33EE518C" w14:textId="77777777" w:rsidR="00591072" w:rsidRPr="00591072" w:rsidRDefault="00591072" w:rsidP="00591072">
      <w:pPr>
        <w:pStyle w:val="Notedebasdepage"/>
      </w:pPr>
      <w:r w:rsidRPr="00233939">
        <w:tab/>
      </w:r>
      <w:r w:rsidRPr="00233939">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58BB314A" w14:textId="77777777"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9B55" w14:textId="45785F76" w:rsidR="00233939" w:rsidRPr="00233939" w:rsidRDefault="00233939">
    <w:pPr>
      <w:pStyle w:val="En-tte"/>
      <w:rPr>
        <w:lang w:val="en-US"/>
      </w:rPr>
    </w:pPr>
    <w:r>
      <w:fldChar w:fldCharType="begin"/>
    </w:r>
    <w:r w:rsidRPr="00233939">
      <w:rPr>
        <w:lang w:val="en-US"/>
      </w:rPr>
      <w:instrText xml:space="preserve"> TITLE  \* MERGEFORMAT </w:instrText>
    </w:r>
    <w:r>
      <w:fldChar w:fldCharType="separate"/>
    </w:r>
    <w:r w:rsidR="00804532">
      <w:rPr>
        <w:lang w:val="en-US"/>
      </w:rPr>
      <w:t>E/ECE/324/Rev.1/Add.52/Rev.3/Amend.7</w:t>
    </w:r>
    <w:r>
      <w:fldChar w:fldCharType="end"/>
    </w:r>
    <w:r w:rsidRPr="00233939">
      <w:rPr>
        <w:lang w:val="en-US"/>
      </w:rPr>
      <w:br/>
    </w:r>
    <w:r>
      <w:fldChar w:fldCharType="begin"/>
    </w:r>
    <w:r w:rsidRPr="00233939">
      <w:rPr>
        <w:lang w:val="en-US"/>
      </w:rPr>
      <w:instrText xml:space="preserve"> KEYWORDS  \* MERGEFORMAT </w:instrText>
    </w:r>
    <w:r>
      <w:fldChar w:fldCharType="separate"/>
    </w:r>
    <w:r w:rsidR="00804532">
      <w:rPr>
        <w:lang w:val="en-US"/>
      </w:rPr>
      <w:t>E/ECE/TRANS/505/Rev.1/Add.52/Rev.3/Amend.7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B499" w14:textId="01CE986D" w:rsidR="00233939" w:rsidRPr="00233939" w:rsidRDefault="00233939" w:rsidP="00233939">
    <w:pPr>
      <w:pStyle w:val="En-tte"/>
      <w:jc w:val="right"/>
      <w:rPr>
        <w:lang w:val="en-US"/>
      </w:rPr>
    </w:pPr>
    <w:r>
      <w:fldChar w:fldCharType="begin"/>
    </w:r>
    <w:r w:rsidRPr="00233939">
      <w:rPr>
        <w:lang w:val="en-US"/>
      </w:rPr>
      <w:instrText xml:space="preserve"> TITLE  \* MERGEFORMAT </w:instrText>
    </w:r>
    <w:r>
      <w:fldChar w:fldCharType="separate"/>
    </w:r>
    <w:r w:rsidR="00804532">
      <w:rPr>
        <w:lang w:val="en-US"/>
      </w:rPr>
      <w:t>E/ECE/324/Rev.1/Add.52/Rev.3/Amend.7</w:t>
    </w:r>
    <w:r>
      <w:fldChar w:fldCharType="end"/>
    </w:r>
    <w:r w:rsidRPr="00233939">
      <w:rPr>
        <w:lang w:val="en-US"/>
      </w:rPr>
      <w:br/>
    </w:r>
    <w:r>
      <w:fldChar w:fldCharType="begin"/>
    </w:r>
    <w:r w:rsidRPr="00233939">
      <w:rPr>
        <w:lang w:val="en-US"/>
      </w:rPr>
      <w:instrText xml:space="preserve"> KEYWORDS  \* MERGEFORMAT </w:instrText>
    </w:r>
    <w:r>
      <w:fldChar w:fldCharType="separate"/>
    </w:r>
    <w:r w:rsidR="00804532">
      <w:rPr>
        <w:lang w:val="en-US"/>
      </w:rPr>
      <w:t>E/ECE/TRANS/505/Rev.1/Add.52/Rev.3/Amend.7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043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00F2"/>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3939"/>
    <w:rsid w:val="00242BBD"/>
    <w:rsid w:val="00244817"/>
    <w:rsid w:val="0024586F"/>
    <w:rsid w:val="00246BC8"/>
    <w:rsid w:val="00251F95"/>
    <w:rsid w:val="00252317"/>
    <w:rsid w:val="00252D62"/>
    <w:rsid w:val="002621FD"/>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43992"/>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3BDF"/>
    <w:rsid w:val="0068562A"/>
    <w:rsid w:val="00687E17"/>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C64A8"/>
    <w:rsid w:val="007D2668"/>
    <w:rsid w:val="007D3119"/>
    <w:rsid w:val="007D6678"/>
    <w:rsid w:val="007F1867"/>
    <w:rsid w:val="007F1EC4"/>
    <w:rsid w:val="007F55CB"/>
    <w:rsid w:val="007F768E"/>
    <w:rsid w:val="008021D4"/>
    <w:rsid w:val="00804532"/>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937B7"/>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057F9"/>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0FB6"/>
    <w:rsid w:val="00C71827"/>
    <w:rsid w:val="00C75D25"/>
    <w:rsid w:val="00C825E5"/>
    <w:rsid w:val="00C95EB8"/>
    <w:rsid w:val="00CA0756"/>
    <w:rsid w:val="00CA27BE"/>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11C2"/>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DF5930"/>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043E"/>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0923822"/>
  <w15:docId w15:val="{A6B0FD6A-F00C-4C08-B9EC-3C223DD6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93280-6C50-4230-AF6E-D0BD433C5D12}"/>
</file>

<file path=customXml/itemProps2.xml><?xml version="1.0" encoding="utf-8"?>
<ds:datastoreItem xmlns:ds="http://schemas.openxmlformats.org/officeDocument/2006/customXml" ds:itemID="{1BB3E8B1-542F-4025-811F-FDEB98B9F583}"/>
</file>

<file path=customXml/itemProps3.xml><?xml version="1.0" encoding="utf-8"?>
<ds:datastoreItem xmlns:ds="http://schemas.openxmlformats.org/officeDocument/2006/customXml" ds:itemID="{2130E167-475D-444A-A0DC-FB106157B890}"/>
</file>

<file path=docProps/app.xml><?xml version="1.0" encoding="utf-8"?>
<Properties xmlns="http://schemas.openxmlformats.org/officeDocument/2006/extended-properties" xmlns:vt="http://schemas.openxmlformats.org/officeDocument/2006/docPropsVTypes">
  <Template>E_ECE_324.dotm</Template>
  <TotalTime>0</TotalTime>
  <Pages>8</Pages>
  <Words>2129</Words>
  <Characters>13839</Characters>
  <Application>Microsoft Office Word</Application>
  <DocSecurity>0</DocSecurity>
  <Lines>1383</Lines>
  <Paragraphs>939</Paragraphs>
  <ScaleCrop>false</ScaleCrop>
  <HeadingPairs>
    <vt:vector size="2" baseType="variant">
      <vt:variant>
        <vt:lpstr>Titre</vt:lpstr>
      </vt:variant>
      <vt:variant>
        <vt:i4>1</vt:i4>
      </vt:variant>
    </vt:vector>
  </HeadingPairs>
  <TitlesOfParts>
    <vt:vector size="1" baseType="lpstr">
      <vt:lpstr>E/ECE/324/Rev.1/Add.52/Rev.3/Amend.7</vt:lpstr>
    </vt:vector>
  </TitlesOfParts>
  <Company>CSD</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E/ECE/324/Rev.1/Add.52/Rev.3/Amend.7</dc:title>
  <dc:creator>Julien OKRZESIK</dc:creator>
  <cp:keywords>E/ECE/TRANS/505/Rev.1/Add.52/Rev.3/Amend.7</cp:keywords>
  <cp:lastModifiedBy>Julien Okrzesik</cp:lastModifiedBy>
  <cp:revision>3</cp:revision>
  <cp:lastPrinted>2020-06-18T13:08:00Z</cp:lastPrinted>
  <dcterms:created xsi:type="dcterms:W3CDTF">2020-06-18T13:08:00Z</dcterms:created>
  <dcterms:modified xsi:type="dcterms:W3CDTF">2020-06-18T13:08:00Z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