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A221A0" w:rsidRPr="00DD53F6" w:rsidTr="0001719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A221A0" w:rsidRDefault="00A221A0" w:rsidP="005108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A221A0" w:rsidRPr="00DD53F6" w:rsidRDefault="00A221A0" w:rsidP="0051082B">
            <w:pPr>
              <w:jc w:val="right"/>
              <w:rPr>
                <w:lang w:val="en-US"/>
              </w:rPr>
            </w:pPr>
            <w:r w:rsidRPr="00DD53F6">
              <w:rPr>
                <w:sz w:val="40"/>
                <w:lang w:val="en-US"/>
              </w:rPr>
              <w:t>E</w:t>
            </w:r>
            <w:r w:rsidRPr="00DD53F6">
              <w:rPr>
                <w:lang w:val="en-US"/>
              </w:rPr>
              <w:t>/ECE/324/Rev.1/Add.47/Rev.12/Amend.7</w:t>
            </w:r>
            <w:r w:rsidRPr="00DD53F6">
              <w:rPr>
                <w:rFonts w:cs="Times New Roman"/>
                <w:lang w:val="en-US"/>
              </w:rPr>
              <w:t>−</w:t>
            </w:r>
            <w:r w:rsidRPr="00DD53F6">
              <w:rPr>
                <w:sz w:val="40"/>
                <w:lang w:val="en-US"/>
              </w:rPr>
              <w:t>E</w:t>
            </w:r>
            <w:r w:rsidRPr="00DD53F6">
              <w:rPr>
                <w:lang w:val="en-US"/>
              </w:rPr>
              <w:t>/ECE/TRANS/505/Rev.1/Add.47/Rev.12/Amend.7</w:t>
            </w:r>
          </w:p>
        </w:tc>
      </w:tr>
      <w:tr w:rsidR="002D5AAC" w:rsidTr="00A221A0">
        <w:trPr>
          <w:trHeight w:hRule="exact" w:val="240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DD53F6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D53F6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51082B" w:rsidRPr="00D62A45" w:rsidRDefault="00EC5B34" w:rsidP="00A221A0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51082B">
              <w:rPr>
                <w:lang w:val="en-US"/>
              </w:rPr>
              <w:t xml:space="preserve"> June 2019</w:t>
            </w:r>
          </w:p>
        </w:tc>
      </w:tr>
    </w:tbl>
    <w:p w:rsidR="0051082B" w:rsidRPr="00C54D45" w:rsidRDefault="0051082B" w:rsidP="0051082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:rsidR="0051082B" w:rsidRPr="008708EC" w:rsidRDefault="0051082B" w:rsidP="0051082B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221A0">
        <w:rPr>
          <w:b w:val="0"/>
          <w:sz w:val="20"/>
        </w:rPr>
        <w:footnoteReference w:customMarkFollows="1" w:id="1"/>
        <w:t>*</w:t>
      </w:r>
    </w:p>
    <w:p w:rsidR="0051082B" w:rsidRPr="008708EC" w:rsidRDefault="0051082B" w:rsidP="0051082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51082B" w:rsidRPr="008708EC" w:rsidRDefault="0051082B" w:rsidP="0051082B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51082B" w:rsidRPr="008708EC" w:rsidRDefault="0051082B" w:rsidP="0051082B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– Правила № 48 ООН</w:t>
      </w:r>
    </w:p>
    <w:p w:rsidR="0051082B" w:rsidRPr="008708EC" w:rsidRDefault="0051082B" w:rsidP="0051082B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12 – Поправка 7</w:t>
      </w:r>
    </w:p>
    <w:p w:rsidR="0051082B" w:rsidRPr="008708EC" w:rsidRDefault="0051082B" w:rsidP="0051082B">
      <w:pPr>
        <w:pStyle w:val="SingleTxtG"/>
        <w:spacing w:after="360"/>
        <w:rPr>
          <w:spacing w:val="-2"/>
        </w:rPr>
      </w:pPr>
      <w:r>
        <w:t>Дополнение 11 к поправкам серии 06 − Дата вступления в силу: 28 мая 2019 года</w:t>
      </w:r>
    </w:p>
    <w:p w:rsidR="0051082B" w:rsidRPr="008708EC" w:rsidRDefault="0051082B" w:rsidP="0051082B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51082B" w:rsidRPr="008708EC" w:rsidRDefault="0051082B" w:rsidP="0051082B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ECE/TRANS/WP.29/2018/84.</w:t>
      </w:r>
    </w:p>
    <w:p w:rsidR="0051082B" w:rsidRPr="008708EC" w:rsidRDefault="0051082B" w:rsidP="0051082B">
      <w:pPr>
        <w:suppressAutoHyphens w:val="0"/>
        <w:spacing w:line="240" w:lineRule="auto"/>
        <w:jc w:val="center"/>
        <w:rPr>
          <w:b/>
          <w:sz w:val="24"/>
        </w:rPr>
      </w:pPr>
      <w:r w:rsidRPr="00C54D4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68EB751" wp14:editId="3C1B914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</w:t>
      </w:r>
      <w:r w:rsidR="00DD53F6">
        <w:rPr>
          <w:b/>
          <w:bCs/>
        </w:rPr>
        <w:t>__</w:t>
      </w:r>
      <w:r>
        <w:rPr>
          <w:b/>
          <w:bCs/>
        </w:rPr>
        <w:t>_____</w:t>
      </w:r>
    </w:p>
    <w:p w:rsidR="0051082B" w:rsidRDefault="0051082B" w:rsidP="0051082B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51082B" w:rsidRDefault="0051082B" w:rsidP="0051082B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51082B" w:rsidRPr="008708EC" w:rsidRDefault="0051082B" w:rsidP="0051082B">
      <w:pPr>
        <w:suppressAutoHyphens w:val="0"/>
        <w:spacing w:line="240" w:lineRule="auto"/>
        <w:jc w:val="center"/>
        <w:rPr>
          <w:bCs/>
        </w:rPr>
      </w:pPr>
      <w:r>
        <w:lastRenderedPageBreak/>
        <w:t xml:space="preserve"> </w:t>
      </w:r>
    </w:p>
    <w:p w:rsidR="0051082B" w:rsidRPr="00E432DD" w:rsidRDefault="0051082B" w:rsidP="0051082B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Включить новый пункт 2.37</w:t>
      </w:r>
      <w:r>
        <w:rPr>
          <w:lang w:val="ru-RU"/>
        </w:rPr>
        <w:t xml:space="preserve"> следующего содержания:</w:t>
      </w:r>
    </w:p>
    <w:p w:rsidR="0051082B" w:rsidRPr="008708EC" w:rsidRDefault="0051082B" w:rsidP="0051082B">
      <w:pPr>
        <w:spacing w:after="120"/>
        <w:ind w:left="2268" w:right="1134" w:hanging="1134"/>
        <w:jc w:val="both"/>
        <w:rPr>
          <w:color w:val="000000" w:themeColor="text1"/>
        </w:rPr>
      </w:pPr>
      <w:r w:rsidRPr="008708EC">
        <w:t>«2.37</w:t>
      </w:r>
      <w:r w:rsidRPr="008708EC">
        <w:tab/>
      </w:r>
      <w:r w:rsidRPr="008708EC">
        <w:tab/>
        <w:t>"</w:t>
      </w:r>
      <w:r w:rsidRPr="008708EC">
        <w:rPr>
          <w:i/>
          <w:iCs/>
        </w:rPr>
        <w:t>внешний индикатор состояния</w:t>
      </w:r>
      <w:r w:rsidRPr="008708EC">
        <w:t>"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</w:t>
      </w:r>
      <w:r>
        <w:t> </w:t>
      </w:r>
      <w:r w:rsidRPr="008708EC">
        <w:t>(СОС) и иммобилизатора, предусмотренных в правилах</w:t>
      </w:r>
      <w:r>
        <w:t> </w:t>
      </w:r>
      <w:r w:rsidRPr="008708EC">
        <w:t>№</w:t>
      </w:r>
      <w:r>
        <w:t> </w:t>
      </w:r>
      <w:r w:rsidR="00EC5B34">
        <w:t xml:space="preserve">97 и </w:t>
      </w:r>
      <w:r w:rsidRPr="008708EC">
        <w:t>116 ООН, когда транспортное средство находится на</w:t>
      </w:r>
      <w:r>
        <w:t> </w:t>
      </w:r>
      <w:r w:rsidRPr="008708EC">
        <w:t xml:space="preserve">стоянке». </w:t>
      </w:r>
    </w:p>
    <w:p w:rsidR="0051082B" w:rsidRPr="008708EC" w:rsidRDefault="0051082B" w:rsidP="0051082B">
      <w:pPr>
        <w:spacing w:after="120"/>
        <w:ind w:left="1134" w:right="1134"/>
        <w:jc w:val="both"/>
        <w:rPr>
          <w:i/>
        </w:rPr>
      </w:pPr>
      <w:r w:rsidRPr="008708EC">
        <w:rPr>
          <w:i/>
          <w:iCs/>
        </w:rPr>
        <w:t>Пункт 2.7</w:t>
      </w:r>
      <w:r w:rsidRPr="008708EC">
        <w:t xml:space="preserve"> изменить следующим образом:</w:t>
      </w:r>
    </w:p>
    <w:p w:rsidR="0051082B" w:rsidRPr="008708EC" w:rsidRDefault="0051082B" w:rsidP="0051082B">
      <w:pPr>
        <w:spacing w:after="120"/>
        <w:ind w:left="2268" w:right="1134" w:hanging="1134"/>
        <w:jc w:val="both"/>
      </w:pPr>
      <w:r w:rsidRPr="008708EC">
        <w:t>«2.7</w:t>
      </w:r>
      <w:r w:rsidRPr="008708EC">
        <w:tab/>
      </w:r>
      <w:r w:rsidRPr="008708EC">
        <w:tab/>
        <w:t>"</w:t>
      </w:r>
      <w:r w:rsidRPr="008708EC">
        <w:rPr>
          <w:i/>
          <w:iCs/>
        </w:rPr>
        <w:t>огонь</w:t>
      </w:r>
      <w:r w:rsidRPr="008708EC">
        <w:t>"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>
        <w:t> </w:t>
      </w:r>
      <w:r w:rsidRPr="008708EC">
        <w:t>М</w:t>
      </w:r>
      <w:r w:rsidRPr="008708EC">
        <w:rPr>
          <w:vertAlign w:val="subscript"/>
        </w:rPr>
        <w:t>2</w:t>
      </w:r>
      <w:r w:rsidRPr="008708EC">
        <w:t xml:space="preserve"> и М</w:t>
      </w:r>
      <w:r w:rsidRPr="008708EC">
        <w:rPr>
          <w:vertAlign w:val="subscript"/>
        </w:rPr>
        <w:t>3</w:t>
      </w:r>
      <w:r w:rsidRPr="008708EC">
        <w:t>, соответствующие положениям Правил № 107 ООН, и внешний индикатор состояния, определенный в настоящих Правилах</w:t>
      </w:r>
      <w:r>
        <w:t> </w:t>
      </w:r>
      <w:r w:rsidRPr="008708EC">
        <w:t xml:space="preserve">ООН, не считаются огнями. </w:t>
      </w:r>
    </w:p>
    <w:p w:rsidR="0051082B" w:rsidRPr="008708EC" w:rsidRDefault="0051082B" w:rsidP="0051082B">
      <w:pPr>
        <w:spacing w:after="120"/>
        <w:ind w:left="1701" w:right="1134" w:firstLine="567"/>
        <w:jc w:val="both"/>
      </w:pPr>
      <w:r w:rsidRPr="008708EC">
        <w:t>…»</w:t>
      </w:r>
    </w:p>
    <w:p w:rsidR="0051082B" w:rsidRPr="008708EC" w:rsidRDefault="0051082B" w:rsidP="0051082B">
      <w:pPr>
        <w:spacing w:after="120"/>
        <w:ind w:left="2268" w:right="1469" w:hanging="1134"/>
        <w:jc w:val="both"/>
        <w:rPr>
          <w:rFonts w:eastAsia="Calibri"/>
        </w:rPr>
      </w:pPr>
      <w:r w:rsidRPr="008708EC">
        <w:rPr>
          <w:i/>
          <w:iCs/>
        </w:rPr>
        <w:t>Пункт 5.7.2.1</w:t>
      </w:r>
      <w:r w:rsidRPr="008708EC">
        <w:t xml:space="preserve"> изменить следующим образом:</w:t>
      </w:r>
    </w:p>
    <w:p w:rsidR="0051082B" w:rsidRPr="00E061E3" w:rsidRDefault="0051082B" w:rsidP="0051082B">
      <w:pPr>
        <w:pStyle w:val="SingleTxtGR"/>
        <w:ind w:left="2268" w:hanging="1134"/>
        <w:rPr>
          <w:iCs/>
        </w:rPr>
      </w:pPr>
      <w:r>
        <w:t>«5.7.2.1</w:t>
      </w:r>
      <w:r>
        <w:tab/>
        <w:t>Единые огни, определенные в подпункте а) пункта 2.16.1</w:t>
      </w:r>
      <w:r w:rsidRPr="00E061E3">
        <w:t>, видимая поверхность которых состоит из двух или более отдельных частей, устанавливают таким образом, чтобы:</w:t>
      </w:r>
    </w:p>
    <w:p w:rsidR="0051082B" w:rsidRPr="00E061E3" w:rsidRDefault="0051082B" w:rsidP="0051082B">
      <w:pPr>
        <w:pStyle w:val="SingleTxtGR"/>
        <w:ind w:left="2835" w:hanging="567"/>
        <w:rPr>
          <w:iCs/>
        </w:rPr>
      </w:pPr>
      <w:r w:rsidRPr="00E061E3">
        <w:t>a)</w:t>
      </w:r>
      <w:r w:rsidRPr="00E061E3">
        <w:tab/>
        <w:t xml:space="preserve"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60% наименьшего прямоугольника, описанного вокруг проекции упомянутой видимой поверхности в направлении исходной оси; </w:t>
      </w:r>
    </w:p>
    <w:p w:rsidR="0051082B" w:rsidRPr="00E432DD" w:rsidRDefault="0051082B" w:rsidP="0051082B">
      <w:pPr>
        <w:pStyle w:val="SingleTxtGR"/>
        <w:ind w:left="2835" w:hanging="567"/>
        <w:rPr>
          <w:iCs/>
        </w:rPr>
      </w:pPr>
      <w:r w:rsidRPr="00E061E3">
        <w:t>b)</w:t>
      </w:r>
      <w:r w:rsidRPr="00E061E3">
        <w:tab/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</w:t>
      </w:r>
      <w:r>
        <w:t xml:space="preserve"> более 75 мм.</w:t>
      </w:r>
    </w:p>
    <w:p w:rsidR="0051082B" w:rsidRPr="00E432DD" w:rsidRDefault="0051082B" w:rsidP="0051082B">
      <w:pPr>
        <w:pStyle w:val="SingleTxtGR"/>
        <w:ind w:left="2268"/>
        <w:rPr>
          <w:iCs/>
        </w:rPr>
      </w:pPr>
      <w:r>
        <w:t>Эти требования не применяются к единому светоотражающему устройству».</w:t>
      </w:r>
    </w:p>
    <w:p w:rsidR="0051082B" w:rsidRPr="00E432DD" w:rsidRDefault="0051082B" w:rsidP="0051082B">
      <w:pPr>
        <w:pStyle w:val="SingleTxtGR"/>
        <w:rPr>
          <w:rFonts w:eastAsia="Calibri"/>
        </w:rPr>
      </w:pPr>
      <w:r>
        <w:rPr>
          <w:i/>
          <w:iCs/>
        </w:rPr>
        <w:t>Пункт 5.8.2</w:t>
      </w:r>
      <w:r>
        <w:t xml:space="preserve"> изменить следующим образом:</w:t>
      </w:r>
    </w:p>
    <w:p w:rsidR="0051082B" w:rsidRPr="00E432DD" w:rsidRDefault="0051082B" w:rsidP="0051082B">
      <w:pPr>
        <w:pStyle w:val="SingleTxtGR"/>
        <w:ind w:left="2268" w:hanging="1134"/>
      </w:pPr>
      <w:r>
        <w:t>«5.8.2</w:t>
      </w:r>
      <w:r>
        <w:tab/>
      </w:r>
      <w:r>
        <w:tab/>
        <w:t xml:space="preserve">В случае фар ближнего света минимальную высоту над уровнем грунта измеряют от нижней точки </w:t>
      </w:r>
      <w:r w:rsidRPr="00E061E3">
        <w:t>видимой поверхности в направлении исходной оси независимо от</w:t>
      </w:r>
      <w:r>
        <w:t xml:space="preserve"> ее использования».</w:t>
      </w:r>
    </w:p>
    <w:p w:rsidR="0051082B" w:rsidRPr="00E432DD" w:rsidRDefault="0051082B" w:rsidP="0051082B">
      <w:pPr>
        <w:pStyle w:val="SingleTxtGR"/>
        <w:rPr>
          <w:rFonts w:eastAsia="Calibri"/>
        </w:rPr>
      </w:pPr>
      <w:r>
        <w:rPr>
          <w:i/>
          <w:iCs/>
        </w:rPr>
        <w:t>Пункты 5.10.1 и 5.10.2</w:t>
      </w:r>
      <w:r>
        <w:t xml:space="preserve"> изменить следующим образом:</w:t>
      </w:r>
    </w:p>
    <w:p w:rsidR="0051082B" w:rsidRPr="00E061E3" w:rsidRDefault="0051082B" w:rsidP="0051082B">
      <w:pPr>
        <w:pStyle w:val="SingleTxtGR"/>
        <w:ind w:left="2268" w:hanging="1134"/>
      </w:pPr>
      <w:r>
        <w:t>«5.10.1</w:t>
      </w:r>
      <w:r>
        <w:tab/>
        <w:t xml:space="preserve"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</w:t>
      </w:r>
      <w:r w:rsidRPr="00E061E3">
        <w:t>поперечной плоскости на расстоянии 25 м спереди от транспортного средства (см. приложение 4</w:t>
      </w:r>
      <w:r>
        <w:t>)</w:t>
      </w:r>
      <w:r w:rsidRPr="00E061E3">
        <w:t xml:space="preserve">; </w:t>
      </w:r>
    </w:p>
    <w:p w:rsidR="0051082B" w:rsidRPr="00E432DD" w:rsidRDefault="0051082B" w:rsidP="0051082B">
      <w:pPr>
        <w:pStyle w:val="SingleTxtGR"/>
        <w:ind w:left="2268" w:hanging="1134"/>
      </w:pPr>
      <w:r w:rsidRPr="00E061E3">
        <w:t>5.10.2</w:t>
      </w:r>
      <w:r>
        <w:tab/>
      </w:r>
      <w:r w:rsidRPr="00E061E3">
        <w:tab/>
        <w:t>в отношении видимости белого света в направлении назад от транспортного средства, за исключением задних фар и боковой</w:t>
      </w:r>
      <w:r>
        <w:rPr>
          <w:b/>
          <w:bCs/>
        </w:rPr>
        <w:t xml:space="preserve"> </w:t>
      </w:r>
      <w:r>
        <w:t xml:space="preserve">белой маркировки с улучшенными светоотражающими характеристиками, видимая поверхность белого огня не должна быть непосредственно </w:t>
      </w:r>
      <w:bookmarkStart w:id="2" w:name="_GoBack"/>
      <w:bookmarkEnd w:id="2"/>
      <w:r>
        <w:lastRenderedPageBreak/>
        <w:t>видима для наблюдателя, перемещающегося в зоне 2 поперечной плоскости на расстоянии 25 м сзади от транспортного средства (см. приложение 4)».</w:t>
      </w:r>
    </w:p>
    <w:p w:rsidR="0051082B" w:rsidRPr="00E432DD" w:rsidRDefault="0051082B" w:rsidP="0051082B">
      <w:pPr>
        <w:pStyle w:val="SingleTxtGR"/>
      </w:pPr>
      <w:r>
        <w:rPr>
          <w:i/>
          <w:iCs/>
        </w:rPr>
        <w:t>Включить новый пункт 5.32</w:t>
      </w:r>
      <w:r>
        <w:t xml:space="preserve"> следующего содержания:</w:t>
      </w:r>
    </w:p>
    <w:p w:rsidR="0051082B" w:rsidRPr="00E061E3" w:rsidRDefault="0051082B" w:rsidP="0051082B">
      <w:pPr>
        <w:pStyle w:val="para"/>
        <w:ind w:left="1134" w:firstLine="0"/>
        <w:rPr>
          <w:lang w:val="ru-RU"/>
        </w:rPr>
      </w:pPr>
      <w:r w:rsidRPr="00E061E3">
        <w:rPr>
          <w:lang w:val="ru-RU"/>
        </w:rPr>
        <w:t>«5.32</w:t>
      </w:r>
      <w:r w:rsidRPr="00E061E3">
        <w:rPr>
          <w:lang w:val="ru-RU"/>
        </w:rPr>
        <w:tab/>
      </w:r>
      <w:r w:rsidRPr="00E061E3">
        <w:rPr>
          <w:lang w:val="ru-RU"/>
        </w:rPr>
        <w:tab/>
        <w:t>Внешний индикатор состояния</w:t>
      </w:r>
    </w:p>
    <w:p w:rsidR="0051082B" w:rsidRPr="00E061E3" w:rsidRDefault="0051082B" w:rsidP="0051082B">
      <w:pPr>
        <w:pStyle w:val="para"/>
        <w:ind w:firstLine="0"/>
        <w:rPr>
          <w:lang w:val="ru-RU"/>
        </w:rPr>
      </w:pPr>
      <w:r w:rsidRPr="00E061E3">
        <w:rPr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:rsidR="0051082B" w:rsidRPr="00E061E3" w:rsidRDefault="0051082B" w:rsidP="0051082B">
      <w:pPr>
        <w:pStyle w:val="para"/>
        <w:ind w:firstLine="0"/>
        <w:rPr>
          <w:lang w:val="ru-RU"/>
        </w:rPr>
      </w:pPr>
      <w:r w:rsidRPr="00E061E3">
        <w:rPr>
          <w:lang w:val="ru-RU"/>
        </w:rPr>
        <w:t>a)</w:t>
      </w:r>
      <w:r w:rsidRPr="00E061E3">
        <w:rPr>
          <w:lang w:val="ru-RU"/>
        </w:rPr>
        <w:tab/>
        <w:t xml:space="preserve">сила света в любом направлении не превышает 0,5 кд; </w:t>
      </w:r>
    </w:p>
    <w:p w:rsidR="0051082B" w:rsidRPr="00E061E3" w:rsidRDefault="0051082B" w:rsidP="0051082B">
      <w:pPr>
        <w:pStyle w:val="para"/>
        <w:ind w:left="2835" w:hanging="567"/>
        <w:rPr>
          <w:lang w:val="ru-RU"/>
        </w:rPr>
      </w:pPr>
      <w:r w:rsidRPr="00E061E3">
        <w:rPr>
          <w:lang w:val="ru-RU"/>
        </w:rPr>
        <w:t>b)</w:t>
      </w:r>
      <w:r w:rsidRPr="00E061E3">
        <w:rPr>
          <w:lang w:val="ru-RU"/>
        </w:rPr>
        <w:tab/>
        <w:t>цвет испускаемого света является белым, красным или автожелтым;</w:t>
      </w:r>
    </w:p>
    <w:p w:rsidR="0051082B" w:rsidRPr="00E061E3" w:rsidRDefault="0051082B" w:rsidP="0051082B">
      <w:pPr>
        <w:pStyle w:val="para"/>
        <w:ind w:firstLine="0"/>
        <w:rPr>
          <w:lang w:val="ru-RU"/>
        </w:rPr>
      </w:pPr>
      <w:r w:rsidRPr="00E061E3">
        <w:rPr>
          <w:lang w:val="ru-RU"/>
        </w:rPr>
        <w:t>c)</w:t>
      </w:r>
      <w:r w:rsidRPr="00E061E3">
        <w:rPr>
          <w:lang w:val="ru-RU"/>
        </w:rPr>
        <w:tab/>
        <w:t>площадь видимой поверхности не превышает 20 см</w:t>
      </w:r>
      <w:r w:rsidRPr="00E061E3">
        <w:rPr>
          <w:vertAlign w:val="superscript"/>
          <w:lang w:val="ru-RU"/>
        </w:rPr>
        <w:t>2</w:t>
      </w:r>
      <w:r w:rsidRPr="00E061E3">
        <w:rPr>
          <w:lang w:val="ru-RU"/>
        </w:rPr>
        <w:t>.</w:t>
      </w:r>
    </w:p>
    <w:p w:rsidR="0051082B" w:rsidRPr="00E061E3" w:rsidRDefault="0051082B" w:rsidP="0051082B">
      <w:pPr>
        <w:pStyle w:val="SingleTxtGR"/>
        <w:ind w:left="2268"/>
      </w:pPr>
      <w:r w:rsidRPr="00E061E3"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E061E3">
        <w:rPr>
          <w:vertAlign w:val="superscript"/>
        </w:rPr>
        <w:t xml:space="preserve">2 </w:t>
      </w:r>
      <w:r w:rsidRPr="00E061E3">
        <w:t>для каждого индикатора».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rPr>
          <w:i/>
          <w:iCs/>
        </w:rPr>
        <w:t>Пункт 6.2.9</w:t>
      </w:r>
      <w:r w:rsidRPr="008708EC">
        <w:t xml:space="preserve"> изменить следующим образом: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«6.2.9</w:t>
      </w:r>
      <w:r w:rsidRPr="008708EC">
        <w:tab/>
        <w:t xml:space="preserve">Прочие требования 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6.2.9.1</w:t>
      </w:r>
      <w:r w:rsidRPr="008708EC">
        <w:tab/>
        <w:t>Требования, содержащиеся в пункте 5.5.2, не применяют к фарам ближнего света.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6.2.9.2</w:t>
      </w:r>
      <w:r w:rsidRPr="008708EC"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2 000 люмен, устанавливаются только совместно с устройством(ами) для очистки фар в соответствии с Правилами № 45 ООН.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6.2.9.3</w:t>
      </w:r>
      <w:r w:rsidRPr="008708EC"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2 000 люмен.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ab/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 ООН,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6.2.9.4</w:t>
      </w:r>
      <w:r w:rsidRPr="008708EC">
        <w:tab/>
        <w:t>Для целей поворотного освещения могут использоваться только</w:t>
      </w:r>
      <w:r>
        <w:t> </w:t>
      </w:r>
      <w:r w:rsidRPr="008708EC">
        <w:t>фары ближнего света, отвечающие требованиям правил № 98 или 112 ООН.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ab/>
        <w:t xml:space="preserve"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приводится в действие только при движении транспортного средства по прямой; это условие не </w:t>
      </w:r>
      <w:r w:rsidRPr="008708EC">
        <w:lastRenderedPageBreak/>
        <w:t>применяют, если поворотное освещение используют для поворота направо при правостороннем движении (для поворота налево при левостороннем движении)».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rPr>
          <w:i/>
          <w:iCs/>
        </w:rPr>
        <w:t>Пункт 6.3.6.1.2.1</w:t>
      </w:r>
      <w:r w:rsidRPr="008708EC">
        <w:t xml:space="preserve"> изменить следующим образом: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t>«6.3.6.1.2.1</w:t>
      </w:r>
      <w:r w:rsidRPr="008708EC">
        <w:tab/>
        <w:t>когда общий номинальный световой поток источника света для</w:t>
      </w:r>
      <w:r>
        <w:t> </w:t>
      </w:r>
      <w:r w:rsidRPr="008708EC">
        <w:t>каждой передней противотуманной фары не превышает 2</w:t>
      </w:r>
      <w:r>
        <w:t> </w:t>
      </w:r>
      <w:r w:rsidRPr="008708EC">
        <w:t>000</w:t>
      </w:r>
      <w:r>
        <w:t> </w:t>
      </w:r>
      <w:r w:rsidRPr="008708EC">
        <w:t>люмен:»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rPr>
          <w:i/>
          <w:iCs/>
        </w:rPr>
        <w:t>Пункт 6.3.6.1.2.2</w:t>
      </w:r>
      <w:r w:rsidRPr="008708EC">
        <w:t xml:space="preserve"> изменить следующим образом:</w:t>
      </w:r>
    </w:p>
    <w:p w:rsidR="0051082B" w:rsidRPr="008708EC" w:rsidRDefault="0051082B" w:rsidP="0051082B">
      <w:pPr>
        <w:spacing w:after="120"/>
        <w:ind w:left="2268" w:right="1467" w:hanging="1134"/>
        <w:jc w:val="both"/>
      </w:pPr>
      <w:r w:rsidRPr="008708EC">
        <w:t>«6.3.6.1.2.2</w:t>
      </w:r>
      <w:r w:rsidRPr="008708EC">
        <w:tab/>
        <w:t>когда общий номинальный световой поток источника света для каждой передней противотуманной фары превышает 2 000 люмен:»</w:t>
      </w:r>
    </w:p>
    <w:p w:rsidR="0051082B" w:rsidRPr="008708EC" w:rsidRDefault="0051082B" w:rsidP="0051082B">
      <w:pPr>
        <w:spacing w:after="120"/>
        <w:ind w:left="2268" w:right="1134" w:hanging="1134"/>
        <w:jc w:val="both"/>
      </w:pPr>
      <w:r w:rsidRPr="008708EC">
        <w:rPr>
          <w:i/>
          <w:iCs/>
        </w:rPr>
        <w:t>Пункт 6.18.9</w:t>
      </w:r>
      <w:r w:rsidRPr="008708EC">
        <w:t xml:space="preserve"> изменить следующим образом:</w:t>
      </w:r>
    </w:p>
    <w:p w:rsidR="0051082B" w:rsidRPr="008708EC" w:rsidRDefault="0051082B" w:rsidP="0051082B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708EC">
        <w:t>«6.18.9</w:t>
      </w:r>
      <w:r w:rsidRPr="008708EC">
        <w:tab/>
        <w:t>Прочие требования</w:t>
      </w:r>
    </w:p>
    <w:p w:rsidR="0051082B" w:rsidRPr="008708EC" w:rsidRDefault="0051082B" w:rsidP="0051082B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708EC">
        <w:tab/>
        <w:t>Если крайний задний боковой габаритный огонь комбинируется с задним габаритным огнем, совмещенным с задним противотуманным огнем или сигналом торможения, то фотометрические характеристики бокового габаритного огня при включенном заднем противотуманном огне или сигнале торможения могут изменяться.</w:t>
      </w:r>
    </w:p>
    <w:p w:rsidR="0051082B" w:rsidRPr="008708EC" w:rsidRDefault="0051082B" w:rsidP="0051082B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708EC"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:rsidR="0051082B" w:rsidRPr="008708EC" w:rsidRDefault="0051082B" w:rsidP="0051082B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708EC">
        <w:tab/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поворота».</w:t>
      </w:r>
    </w:p>
    <w:p w:rsidR="0051082B" w:rsidRPr="008708EC" w:rsidRDefault="0051082B" w:rsidP="0051082B">
      <w:pPr>
        <w:spacing w:after="120"/>
        <w:ind w:left="2268" w:right="1467" w:hanging="1134"/>
        <w:jc w:val="both"/>
        <w:rPr>
          <w:rFonts w:eastAsia="Calibri"/>
        </w:rPr>
      </w:pPr>
      <w:r w:rsidRPr="008708EC">
        <w:rPr>
          <w:i/>
          <w:iCs/>
        </w:rPr>
        <w:t>Пункт 6.26.9.2</w:t>
      </w:r>
      <w:r w:rsidRPr="008708EC">
        <w:t xml:space="preserve"> изменить следующим образом:</w:t>
      </w:r>
    </w:p>
    <w:p w:rsidR="0051082B" w:rsidRDefault="0051082B" w:rsidP="0051082B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708EC">
        <w:t xml:space="preserve">«6.26.9.2 </w:t>
      </w:r>
      <w:r w:rsidRPr="008708EC">
        <w:tab/>
        <w:t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 6.2.2 Правил № 23 ООН, как указано в карточке сообщения в пункте 9 приложения 1».</w:t>
      </w:r>
    </w:p>
    <w:p w:rsidR="00381C24" w:rsidRPr="0051082B" w:rsidRDefault="0051082B" w:rsidP="005108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1082B" w:rsidSect="005108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2D" w:rsidRPr="00A312BC" w:rsidRDefault="0099192D" w:rsidP="00A312BC"/>
  </w:endnote>
  <w:endnote w:type="continuationSeparator" w:id="0">
    <w:p w:rsidR="0099192D" w:rsidRPr="00A312BC" w:rsidRDefault="009919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2B" w:rsidRPr="0051082B" w:rsidRDefault="0051082B">
    <w:pPr>
      <w:pStyle w:val="Footer"/>
    </w:pPr>
    <w:r w:rsidRPr="0051082B">
      <w:rPr>
        <w:b/>
        <w:sz w:val="18"/>
      </w:rPr>
      <w:fldChar w:fldCharType="begin"/>
    </w:r>
    <w:r w:rsidRPr="0051082B">
      <w:rPr>
        <w:b/>
        <w:sz w:val="18"/>
      </w:rPr>
      <w:instrText xml:space="preserve"> PAGE  \* MERGEFORMAT </w:instrText>
    </w:r>
    <w:r w:rsidRPr="0051082B">
      <w:rPr>
        <w:b/>
        <w:sz w:val="18"/>
      </w:rPr>
      <w:fldChar w:fldCharType="separate"/>
    </w:r>
    <w:r w:rsidR="00B82AAF">
      <w:rPr>
        <w:b/>
        <w:noProof/>
        <w:sz w:val="18"/>
      </w:rPr>
      <w:t>4</w:t>
    </w:r>
    <w:r w:rsidRPr="0051082B">
      <w:rPr>
        <w:b/>
        <w:sz w:val="18"/>
      </w:rPr>
      <w:fldChar w:fldCharType="end"/>
    </w:r>
    <w:r>
      <w:rPr>
        <w:b/>
        <w:sz w:val="18"/>
      </w:rPr>
      <w:tab/>
    </w:r>
    <w:r>
      <w:t>GE.19-10440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2B" w:rsidRPr="0051082B" w:rsidRDefault="0051082B" w:rsidP="0051082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GE.19-10440</w:t>
    </w:r>
    <w:r>
      <w:tab/>
    </w:r>
    <w:r w:rsidRPr="0051082B">
      <w:rPr>
        <w:b/>
        <w:sz w:val="18"/>
      </w:rPr>
      <w:fldChar w:fldCharType="begin"/>
    </w:r>
    <w:r w:rsidRPr="0051082B">
      <w:rPr>
        <w:b/>
        <w:sz w:val="18"/>
      </w:rPr>
      <w:instrText xml:space="preserve"> PAGE  \* MERGEFORMAT </w:instrText>
    </w:r>
    <w:r w:rsidRPr="0051082B">
      <w:rPr>
        <w:b/>
        <w:sz w:val="18"/>
      </w:rPr>
      <w:fldChar w:fldCharType="separate"/>
    </w:r>
    <w:r w:rsidR="00B82AAF">
      <w:rPr>
        <w:b/>
        <w:noProof/>
        <w:sz w:val="18"/>
      </w:rPr>
      <w:t>3</w:t>
    </w:r>
    <w:r w:rsidRPr="005108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1082B" w:rsidRDefault="0051082B" w:rsidP="0051082B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19-10440  (R)</w:t>
    </w:r>
    <w:r w:rsidR="00A221A0">
      <w:rPr>
        <w:lang w:val="en-US"/>
      </w:rPr>
      <w:t xml:space="preserve">  220719  230719</w:t>
    </w:r>
    <w:r>
      <w:br/>
    </w:r>
    <w:r w:rsidRPr="0051082B">
      <w:rPr>
        <w:rFonts w:ascii="C39T30Lfz" w:hAnsi="C39T30Lfz"/>
        <w:kern w:val="14"/>
        <w:sz w:val="56"/>
      </w:rPr>
      <w:t></w:t>
    </w:r>
    <w:r w:rsidRPr="0051082B">
      <w:rPr>
        <w:rFonts w:ascii="C39T30Lfz" w:hAnsi="C39T30Lfz"/>
        <w:kern w:val="14"/>
        <w:sz w:val="56"/>
      </w:rPr>
      <w:t></w:t>
    </w:r>
    <w:r w:rsidRPr="0051082B">
      <w:rPr>
        <w:rFonts w:ascii="C39T30Lfz" w:hAnsi="C39T30Lfz"/>
        <w:kern w:val="14"/>
        <w:sz w:val="56"/>
      </w:rPr>
      <w:t></w:t>
    </w:r>
    <w:r w:rsidRPr="0051082B">
      <w:rPr>
        <w:rFonts w:ascii="C39T30Lfz" w:hAnsi="C39T30Lfz"/>
        <w:kern w:val="14"/>
        <w:sz w:val="56"/>
      </w:rPr>
      <w:t></w:t>
    </w:r>
    <w:r w:rsidRPr="0051082B">
      <w:rPr>
        <w:rFonts w:ascii="C39T30Lfz" w:hAnsi="C39T30Lfz"/>
        <w:kern w:val="14"/>
        <w:sz w:val="56"/>
      </w:rPr>
      <w:t></w:t>
    </w:r>
    <w:r w:rsidRPr="0051082B">
      <w:rPr>
        <w:rFonts w:ascii="C39T30Lfz" w:hAnsi="C39T30Lfz"/>
        <w:kern w:val="14"/>
        <w:sz w:val="56"/>
      </w:rPr>
      <w:t></w:t>
    </w:r>
    <w:r w:rsidRPr="0051082B">
      <w:rPr>
        <w:rFonts w:ascii="C39T30Lfz" w:hAnsi="C39T30Lfz"/>
        <w:kern w:val="14"/>
        <w:sz w:val="56"/>
      </w:rPr>
      <w:t></w:t>
    </w:r>
    <w:r w:rsidRPr="0051082B">
      <w:rPr>
        <w:rFonts w:ascii="C39T30Lfz" w:hAnsi="C39T30Lfz"/>
        <w:kern w:val="14"/>
        <w:sz w:val="56"/>
      </w:rPr>
      <w:t></w:t>
    </w:r>
    <w:r w:rsidRPr="0051082B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7/Rev.12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2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2D" w:rsidRPr="001075E9" w:rsidRDefault="009919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192D" w:rsidRDefault="009919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082B" w:rsidRPr="008708EC" w:rsidRDefault="0051082B" w:rsidP="0051082B">
      <w:pPr>
        <w:pStyle w:val="FootnoteText"/>
      </w:pPr>
      <w:r>
        <w:tab/>
      </w:r>
      <w:r w:rsidRPr="00A221A0">
        <w:rPr>
          <w:sz w:val="20"/>
        </w:rPr>
        <w:t>*</w:t>
      </w:r>
      <w:r>
        <w:tab/>
        <w:t>Прежние названия Соглашения:</w:t>
      </w:r>
    </w:p>
    <w:p w:rsidR="0051082B" w:rsidRPr="008708EC" w:rsidRDefault="0051082B" w:rsidP="0051082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51082B" w:rsidRPr="008708EC" w:rsidRDefault="0051082B" w:rsidP="0051082B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221A0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2B" w:rsidRPr="0051082B" w:rsidRDefault="00E870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82AAF">
      <w:t>E/ECE/324/Rev.1/Add.47/Rev.12/Amend.7</w:t>
    </w:r>
    <w:r>
      <w:fldChar w:fldCharType="end"/>
    </w:r>
    <w:r w:rsidR="0051082B">
      <w:br/>
    </w:r>
    <w:r>
      <w:fldChar w:fldCharType="begin"/>
    </w:r>
    <w:r>
      <w:instrText xml:space="preserve"> KEYWORDS  \* MERGEFORMAT </w:instrText>
    </w:r>
    <w:r>
      <w:fldChar w:fldCharType="separate"/>
    </w:r>
    <w:r w:rsidR="00B82AAF">
      <w:t>E/ECE/TRANS/505/Rev.1/Add.47/Rev.12/Amend.7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2B" w:rsidRPr="0051082B" w:rsidRDefault="00E8709E" w:rsidP="0051082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82AAF">
      <w:t>E/ECE/324/Rev.1/Add.47/Rev.12/Amend.7</w:t>
    </w:r>
    <w:r>
      <w:fldChar w:fldCharType="end"/>
    </w:r>
    <w:r w:rsidR="0051082B">
      <w:br/>
    </w:r>
    <w:r>
      <w:fldChar w:fldCharType="begin"/>
    </w:r>
    <w:r>
      <w:instrText xml:space="preserve"> KEYWORDS  \* MERGEFORMAT </w:instrText>
    </w:r>
    <w:r>
      <w:fldChar w:fldCharType="separate"/>
    </w:r>
    <w:r w:rsidR="00B82AAF">
      <w:t>E/ECE/TRANS/505/Rev.1/Add.47/Rev.12/Amend.7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2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155B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73FE4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082B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122A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9192D"/>
    <w:rsid w:val="009A24AC"/>
    <w:rsid w:val="00A14DA8"/>
    <w:rsid w:val="00A21F00"/>
    <w:rsid w:val="00A221A0"/>
    <w:rsid w:val="00A312BC"/>
    <w:rsid w:val="00A84021"/>
    <w:rsid w:val="00A84D35"/>
    <w:rsid w:val="00A917B3"/>
    <w:rsid w:val="00AB2DBD"/>
    <w:rsid w:val="00AB4B51"/>
    <w:rsid w:val="00AC3430"/>
    <w:rsid w:val="00AE46D9"/>
    <w:rsid w:val="00B10CC7"/>
    <w:rsid w:val="00B36DF7"/>
    <w:rsid w:val="00B539E7"/>
    <w:rsid w:val="00B62458"/>
    <w:rsid w:val="00B82AAF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53F6"/>
    <w:rsid w:val="00DD78D1"/>
    <w:rsid w:val="00DE32CD"/>
    <w:rsid w:val="00DF71B9"/>
    <w:rsid w:val="00E73F76"/>
    <w:rsid w:val="00E8709E"/>
    <w:rsid w:val="00E90403"/>
    <w:rsid w:val="00EA2C9F"/>
    <w:rsid w:val="00EA420E"/>
    <w:rsid w:val="00EC5B34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60FE97-1CAA-4FDC-B045-F4E76A4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51082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51082B"/>
    <w:rPr>
      <w:lang w:val="ru-RU" w:eastAsia="en-US"/>
    </w:rPr>
  </w:style>
  <w:style w:type="character" w:customStyle="1" w:styleId="HChGChar">
    <w:name w:val="_ H _Ch_G Char"/>
    <w:link w:val="HChG"/>
    <w:rsid w:val="0051082B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51082B"/>
    <w:pPr>
      <w:ind w:left="2268" w:hanging="1134"/>
    </w:pPr>
    <w:rPr>
      <w:lang w:val="en-GB"/>
    </w:rPr>
  </w:style>
  <w:style w:type="character" w:customStyle="1" w:styleId="paraChar">
    <w:name w:val="para Char"/>
    <w:link w:val="para"/>
    <w:locked/>
    <w:rsid w:val="0051082B"/>
    <w:rPr>
      <w:lang w:val="en-GB" w:eastAsia="en-US"/>
    </w:rPr>
  </w:style>
  <w:style w:type="paragraph" w:customStyle="1" w:styleId="SingleTxtGR">
    <w:name w:val="_ Single Txt_GR"/>
    <w:basedOn w:val="Normal"/>
    <w:qFormat/>
    <w:rsid w:val="0051082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E/ECE/324/Rev.1/Add.47/Rev.12/Amend.7</vt:lpstr>
      <vt:lpstr>E/ECE/324/Rev.1/Add.47/Rev.12/Amend.7</vt:lpstr>
      <vt:lpstr>A/</vt:lpstr>
    </vt:vector>
  </TitlesOfParts>
  <Company>DCM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E/ECE/324/Rev.1/Add.47/Rev.12/Amend.7</dc:title>
  <dc:creator>Tatiana SHARKINA</dc:creator>
  <cp:keywords>E/ECE/TRANS/505/Rev.1/Add.47/Rev.12/Amend.7</cp:keywords>
  <cp:lastModifiedBy>Lucille Caillot</cp:lastModifiedBy>
  <cp:revision>2</cp:revision>
  <cp:lastPrinted>2019-07-23T09:20:00Z</cp:lastPrinted>
  <dcterms:created xsi:type="dcterms:W3CDTF">2020-01-08T09:50:00Z</dcterms:created>
  <dcterms:modified xsi:type="dcterms:W3CDTF">2020-01-08T09:50:00Z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