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E2B89" w14:paraId="5286FFBC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F32ACB" w14:textId="77777777" w:rsidR="002D5AAC" w:rsidRPr="008C1A9B" w:rsidRDefault="002D5AAC" w:rsidP="003E2B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DBD8376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A693E48" w14:textId="77777777" w:rsidR="003E2B89" w:rsidRPr="003E2B89" w:rsidRDefault="003E2B89" w:rsidP="003E2B89">
            <w:pPr>
              <w:jc w:val="right"/>
              <w:rPr>
                <w:lang w:val="en-US"/>
              </w:rPr>
            </w:pPr>
            <w:r w:rsidRPr="003E2B89">
              <w:rPr>
                <w:sz w:val="40"/>
                <w:lang w:val="en-US"/>
              </w:rPr>
              <w:t>E</w:t>
            </w:r>
            <w:r w:rsidRPr="003E2B89">
              <w:rPr>
                <w:lang w:val="en-US"/>
              </w:rPr>
              <w:t>/ECE/324/Rev.1/Add.66/Rev.4/Amend.2</w:t>
            </w:r>
            <w:r w:rsidRPr="003E2B89">
              <w:rPr>
                <w:rFonts w:cs="Times New Roman"/>
                <w:lang w:val="en-US"/>
              </w:rPr>
              <w:t>−</w:t>
            </w:r>
            <w:r w:rsidRPr="003E2B89">
              <w:rPr>
                <w:sz w:val="40"/>
                <w:lang w:val="en-US"/>
              </w:rPr>
              <w:t>E</w:t>
            </w:r>
            <w:r w:rsidRPr="003E2B89">
              <w:rPr>
                <w:lang w:val="en-US"/>
              </w:rPr>
              <w:t>/ECE/TRANS/505/Rev.1/Add.66/Rev.4/Amend.2</w:t>
            </w:r>
          </w:p>
        </w:tc>
      </w:tr>
      <w:tr w:rsidR="002D5AAC" w:rsidRPr="009D084C" w14:paraId="68E8FB2F" w14:textId="77777777" w:rsidTr="003E2B89">
        <w:trPr>
          <w:trHeight w:hRule="exact" w:val="2410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00DB640" w14:textId="77777777" w:rsidR="002D5AAC" w:rsidRPr="003E2B8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9157EC1" w14:textId="77777777" w:rsidR="002D5AAC" w:rsidRPr="003E2B8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8AC9338" w14:textId="77777777" w:rsidR="003E2B89" w:rsidRDefault="003E2B89" w:rsidP="003E2B89">
            <w:pPr>
              <w:spacing w:before="120"/>
              <w:rPr>
                <w:szCs w:val="20"/>
                <w:lang w:val="en-US"/>
              </w:rPr>
            </w:pPr>
          </w:p>
          <w:p w14:paraId="6F98B4C4" w14:textId="77777777" w:rsidR="003E2B89" w:rsidRDefault="003E2B89" w:rsidP="003E2B89">
            <w:pPr>
              <w:spacing w:before="120"/>
              <w:rPr>
                <w:szCs w:val="20"/>
                <w:lang w:val="en-US"/>
              </w:rPr>
            </w:pPr>
          </w:p>
          <w:p w14:paraId="505BB2D8" w14:textId="77777777" w:rsidR="003E2B89" w:rsidRPr="009D084C" w:rsidRDefault="003E2B89" w:rsidP="003E2B89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14:paraId="4CF9176F" w14:textId="77777777" w:rsidR="003E2B89" w:rsidRPr="009A0776" w:rsidRDefault="003E2B89" w:rsidP="003E2B89">
      <w:pPr>
        <w:pStyle w:val="HChGR"/>
        <w:spacing w:before="200" w:after="160" w:line="280" w:lineRule="exact"/>
      </w:pPr>
      <w:r w:rsidRPr="009A0776">
        <w:tab/>
      </w:r>
      <w:r w:rsidRPr="009A0776">
        <w:tab/>
        <w:t>Соглашение</w:t>
      </w:r>
    </w:p>
    <w:p w14:paraId="0B04E39B" w14:textId="77777777" w:rsidR="003E2B89" w:rsidRPr="00F90F71" w:rsidRDefault="003E2B89" w:rsidP="003E2B89">
      <w:pPr>
        <w:pStyle w:val="H1GR"/>
        <w:spacing w:before="120" w:after="160" w:line="260" w:lineRule="exact"/>
      </w:pPr>
      <w:r w:rsidRPr="00390654">
        <w:tab/>
      </w:r>
      <w:r w:rsidRPr="00390654">
        <w:tab/>
      </w:r>
      <w:r w:rsidRPr="008144B7">
        <w:tab/>
      </w:r>
      <w:r w:rsidRPr="003E2B89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14:paraId="559C6276" w14:textId="77777777" w:rsidR="003E2B89" w:rsidRPr="00F90F71" w:rsidRDefault="003E2B89" w:rsidP="003E2B89">
      <w:pPr>
        <w:pStyle w:val="SingleTxtGR"/>
        <w:spacing w:after="80" w:line="220" w:lineRule="atLeast"/>
      </w:pPr>
      <w:r w:rsidRPr="006D40F2">
        <w:t>(</w:t>
      </w:r>
      <w:r w:rsidRPr="003E2B89">
        <w:t>Пересмотр 3, включающий поправки, вступившие в силу 14 сентября 2017 года</w:t>
      </w:r>
      <w:r w:rsidRPr="006D40F2">
        <w:t>)</w:t>
      </w:r>
    </w:p>
    <w:p w14:paraId="6B7A28B3" w14:textId="77777777" w:rsidR="003E2B89" w:rsidRPr="00390654" w:rsidRDefault="003E2B89" w:rsidP="003E2B89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8784114" w14:textId="77777777" w:rsidR="003E2B89" w:rsidRPr="00F90F71" w:rsidRDefault="003E2B89" w:rsidP="003E2B89">
      <w:pPr>
        <w:pStyle w:val="H1GR"/>
        <w:spacing w:before="240" w:after="120" w:line="260" w:lineRule="exact"/>
      </w:pPr>
      <w:r w:rsidRPr="00F90F71">
        <w:tab/>
      </w:r>
      <w:r w:rsidRPr="00F90F71">
        <w:tab/>
      </w:r>
      <w:r w:rsidRPr="003E2B89">
        <w:rPr>
          <w:bCs/>
        </w:rPr>
        <w:t>Добавление 66 – Правила № 67 ООН</w:t>
      </w:r>
    </w:p>
    <w:p w14:paraId="48658564" w14:textId="77777777" w:rsidR="003E2B89" w:rsidRPr="00F90F71" w:rsidRDefault="003E2B89" w:rsidP="003E2B89">
      <w:pPr>
        <w:pStyle w:val="H1GR"/>
        <w:spacing w:before="120" w:after="120" w:line="260" w:lineRule="exact"/>
      </w:pPr>
      <w:r w:rsidRPr="00F90F71">
        <w:tab/>
      </w:r>
      <w:r w:rsidRPr="00F90F71">
        <w:tab/>
      </w:r>
      <w:r w:rsidRPr="003E2B89">
        <w:rPr>
          <w:bCs/>
        </w:rPr>
        <w:t>Пересмотр 4 – Поправка 2</w:t>
      </w:r>
    </w:p>
    <w:p w14:paraId="79BB2118" w14:textId="77777777" w:rsidR="003E2B89" w:rsidRPr="00F90F71" w:rsidRDefault="003E2B89" w:rsidP="003E2B89">
      <w:pPr>
        <w:pStyle w:val="SingleTxtGR"/>
        <w:spacing w:after="80" w:line="220" w:lineRule="atLeast"/>
      </w:pPr>
      <w:r w:rsidRPr="003E2B89">
        <w:t>Поправки серии 02 − Дата вступления в силу: 28 мая 2019 года</w:t>
      </w:r>
    </w:p>
    <w:p w14:paraId="1AF198C5" w14:textId="77777777" w:rsidR="003E2B89" w:rsidRPr="003E2B89" w:rsidRDefault="003E2B89" w:rsidP="003E2B89">
      <w:pPr>
        <w:pStyle w:val="H1GR"/>
        <w:spacing w:before="200" w:after="0" w:line="260" w:lineRule="exact"/>
        <w:rPr>
          <w:bCs/>
        </w:rPr>
      </w:pPr>
      <w:r w:rsidRPr="00F90F71">
        <w:tab/>
      </w:r>
      <w:r w:rsidRPr="00F90F71">
        <w:tab/>
      </w:r>
      <w:r w:rsidRPr="003E2B89">
        <w:rPr>
          <w:bCs/>
        </w:rPr>
        <w:t>Единообразные предписания, касающиеся официального утверждения:</w:t>
      </w:r>
    </w:p>
    <w:p w14:paraId="417E8B91" w14:textId="77777777" w:rsidR="003E2B89" w:rsidRPr="003E2B89" w:rsidRDefault="003E2B89" w:rsidP="003E2B89">
      <w:pPr>
        <w:pStyle w:val="H1GR"/>
        <w:spacing w:before="120" w:after="0" w:line="260" w:lineRule="exact"/>
        <w:rPr>
          <w:bCs/>
        </w:rPr>
      </w:pPr>
      <w:r w:rsidRPr="003E2B89">
        <w:rPr>
          <w:bCs/>
        </w:rPr>
        <w:tab/>
      </w:r>
      <w:r w:rsidRPr="003E2B89">
        <w:rPr>
          <w:bCs/>
          <w:lang w:val="en-GB"/>
        </w:rPr>
        <w:t>I</w:t>
      </w:r>
      <w:r w:rsidRPr="003E2B89">
        <w:rPr>
          <w:bCs/>
        </w:rPr>
        <w:t>.</w:t>
      </w:r>
      <w:r w:rsidRPr="003E2B89">
        <w:rPr>
          <w:bCs/>
        </w:rPr>
        <w:tab/>
        <w:t>специального оборудования транспортных средств категорий М и</w:t>
      </w:r>
      <w:r w:rsidRPr="003E2B89">
        <w:rPr>
          <w:bCs/>
          <w:lang w:val="en-GB"/>
        </w:rPr>
        <w:t> N</w:t>
      </w:r>
      <w:r w:rsidRPr="003E2B89">
        <w:rPr>
          <w:bCs/>
        </w:rPr>
        <w:t>, двигатели которых работают на сжиженном нефтяном газе</w:t>
      </w:r>
    </w:p>
    <w:p w14:paraId="2EBD16E3" w14:textId="77777777" w:rsidR="003E2B89" w:rsidRPr="00F90F71" w:rsidRDefault="003E2B89" w:rsidP="003E2B89">
      <w:pPr>
        <w:pStyle w:val="H1GR"/>
        <w:spacing w:before="60" w:after="0" w:line="260" w:lineRule="exact"/>
      </w:pPr>
      <w:r w:rsidRPr="003E2B89">
        <w:rPr>
          <w:bCs/>
        </w:rPr>
        <w:tab/>
      </w:r>
      <w:r w:rsidRPr="003E2B89">
        <w:rPr>
          <w:bCs/>
          <w:lang w:val="en-GB"/>
        </w:rPr>
        <w:t>II</w:t>
      </w:r>
      <w:r w:rsidRPr="003E2B89">
        <w:rPr>
          <w:bCs/>
        </w:rPr>
        <w:t>.</w:t>
      </w:r>
      <w:r w:rsidRPr="003E2B89">
        <w:rPr>
          <w:bCs/>
        </w:rPr>
        <w:tab/>
      </w:r>
      <w:r w:rsidRPr="003E2B89">
        <w:rPr>
          <w:bCs/>
        </w:rPr>
        <w:tab/>
        <w:t>транспортных средств категорий М и</w:t>
      </w:r>
      <w:r w:rsidRPr="003E2B89">
        <w:rPr>
          <w:bCs/>
          <w:lang w:val="en-GB"/>
        </w:rPr>
        <w:t> N</w:t>
      </w:r>
      <w:r w:rsidRPr="003E2B89">
        <w:rPr>
          <w:bCs/>
        </w:rPr>
        <w:t>, оснащенных специальным оборудованием для использования сжиженного нефтяного газа в качестве топлива, в отношении установки такого оборудования</w:t>
      </w:r>
    </w:p>
    <w:p w14:paraId="2723DACF" w14:textId="77777777" w:rsidR="003E2B89" w:rsidRPr="00390654" w:rsidRDefault="003E2B89" w:rsidP="003E2B89">
      <w:pPr>
        <w:pStyle w:val="SingleTxtGR"/>
        <w:spacing w:before="120" w:after="80" w:line="220" w:lineRule="atLeast"/>
        <w:rPr>
          <w:w w:val="102"/>
        </w:rPr>
      </w:pPr>
      <w:r w:rsidRPr="003E2B89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ECE/TRANS/WP.29/2018/124.</w:t>
      </w:r>
    </w:p>
    <w:p w14:paraId="258DF099" w14:textId="77777777" w:rsidR="003E2B89" w:rsidRPr="00390654" w:rsidRDefault="003E2B89" w:rsidP="003E2B89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5153D64D" w14:textId="77777777" w:rsidR="003E2B89" w:rsidRDefault="003E2B89" w:rsidP="003E2B89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74D01AEE" wp14:editId="6EA60BF4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3512" w14:textId="77777777" w:rsidR="003E2B89" w:rsidRPr="00F200F5" w:rsidRDefault="003E2B89" w:rsidP="003E2B89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7E6DB8FE" w14:textId="77777777" w:rsidR="003E2B89" w:rsidRPr="0089293D" w:rsidRDefault="003E2B89" w:rsidP="003E2B89">
      <w:pPr>
        <w:pStyle w:val="SingleTxtGR"/>
        <w:spacing w:after="100" w:line="230" w:lineRule="atLeast"/>
      </w:pPr>
      <w:r w:rsidRPr="0089293D">
        <w:rPr>
          <w:i/>
        </w:rPr>
        <w:lastRenderedPageBreak/>
        <w:t>Пункт 5.2,</w:t>
      </w:r>
      <w:r w:rsidRPr="0089293D">
        <w:t xml:space="preserve"> заменить текст в скобках на: «(в настоящее время 02, что соответствует поправкам серии 02)».</w:t>
      </w:r>
    </w:p>
    <w:p w14:paraId="525EF716" w14:textId="77777777" w:rsidR="003E2B89" w:rsidRPr="0089293D" w:rsidRDefault="003E2B89" w:rsidP="003E2B89">
      <w:pPr>
        <w:pStyle w:val="SingleTxtGR"/>
        <w:spacing w:after="100" w:line="230" w:lineRule="atLeast"/>
        <w:rPr>
          <w:i/>
        </w:rPr>
      </w:pPr>
      <w:r w:rsidRPr="0089293D">
        <w:rPr>
          <w:i/>
        </w:rPr>
        <w:t>Включить новый пункт 17.1.6.1</w:t>
      </w:r>
      <w:r w:rsidRPr="0089293D">
        <w:t xml:space="preserve"> следующего содержания:</w:t>
      </w:r>
    </w:p>
    <w:p w14:paraId="2039E8ED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«17.1.6.1</w:t>
      </w:r>
      <w:r w:rsidRPr="0089293D">
        <w:tab/>
        <w:t xml:space="preserve">Независимо от положений пункта 17.1.6 должна быть обеспечена возможность для проведения внешнего осмотра (например, для периодической технической проверки) резервуара СНГ и его вспомогательного оборудования, установленных с внешней стороны транспортного средства, в соответствии с техническими требованиями изготовителя, причем без инструментов, позволяющих демонтировать какую-либо часть, но при помощи визуальных вспомогательных средств, например фонарей, зеркал или эндоскопов». </w:t>
      </w:r>
    </w:p>
    <w:p w14:paraId="68A98F15" w14:textId="77777777" w:rsidR="003E2B89" w:rsidRPr="0089293D" w:rsidRDefault="003E2B89" w:rsidP="003E2B89">
      <w:pPr>
        <w:pStyle w:val="SingleTxtGR"/>
        <w:spacing w:after="100" w:line="230" w:lineRule="atLeast"/>
      </w:pPr>
      <w:r w:rsidRPr="0089293D">
        <w:rPr>
          <w:i/>
        </w:rPr>
        <w:t>Включить новые пункты 22.6</w:t>
      </w:r>
      <w:r>
        <w:rPr>
          <w:i/>
        </w:rPr>
        <w:t>–</w:t>
      </w:r>
      <w:r w:rsidRPr="0089293D">
        <w:rPr>
          <w:i/>
        </w:rPr>
        <w:t>22.13</w:t>
      </w:r>
      <w:r w:rsidRPr="0089293D">
        <w:t xml:space="preserve"> следующего содержания:</w:t>
      </w:r>
    </w:p>
    <w:p w14:paraId="4BE3014E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«22.6</w:t>
      </w:r>
      <w:r w:rsidRPr="0089293D">
        <w:tab/>
      </w:r>
      <w:r>
        <w:tab/>
      </w:r>
      <w:r w:rsidRPr="0089293D">
        <w:t xml:space="preserve"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02. </w:t>
      </w:r>
    </w:p>
    <w:p w14:paraId="5EB5DDA8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22.7</w:t>
      </w:r>
      <w:r w:rsidRPr="0089293D">
        <w:tab/>
      </w:r>
      <w:r>
        <w:tab/>
      </w:r>
      <w:r w:rsidRPr="0089293D">
        <w:t>Начиная с 1 сентября 2020 года Договаривающиеся стороны, применяющие настоящие Правила, не обязаны признавать официальные утверждения типа, которые были вперв</w:t>
      </w:r>
      <w:r>
        <w:t>ые выданы после 1 сентября 2020 </w:t>
      </w:r>
      <w:r w:rsidRPr="0089293D">
        <w:t xml:space="preserve">года, на основании поправок предыдущих серий. </w:t>
      </w:r>
    </w:p>
    <w:p w14:paraId="02056B73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22.8</w:t>
      </w:r>
      <w:r w:rsidRPr="0089293D">
        <w:tab/>
      </w:r>
      <w:r>
        <w:tab/>
      </w:r>
      <w:r w:rsidRPr="0089293D">
        <w:t xml:space="preserve">До 1 сентября 2021 года Договаривающиеся стороны, применяющие настоящие Правила, признают официальные утверждения типа, которые были впервые выданы до 1 сентября 2020 года, на основании поправок предыдущих серий. </w:t>
      </w:r>
    </w:p>
    <w:p w14:paraId="24F7C018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22.9</w:t>
      </w:r>
      <w:r w:rsidRPr="0089293D">
        <w:tab/>
      </w:r>
      <w:r>
        <w:tab/>
      </w:r>
      <w:r w:rsidRPr="0089293D">
        <w:t xml:space="preserve">Начиная с 1 сентября 2021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 </w:t>
      </w:r>
    </w:p>
    <w:p w14:paraId="4F911DBB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22.10</w:t>
      </w:r>
      <w:r w:rsidRPr="0089293D">
        <w:tab/>
      </w:r>
      <w:r>
        <w:tab/>
      </w:r>
      <w:r w:rsidRPr="0089293D">
        <w:t xml:space="preserve">Независимо от пункта 22.9 Договаривающиеся стороны, применяющие настоящие Правила, продолжают признавать официальные утверждения типа в отношении предметов оборудования/частей, выданные на основании поправок предыдущих серий к настоящим Правилам. </w:t>
      </w:r>
    </w:p>
    <w:p w14:paraId="0D2E6494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22.11</w:t>
      </w:r>
      <w:r w:rsidRPr="0089293D">
        <w:tab/>
      </w:r>
      <w:r>
        <w:tab/>
      </w:r>
      <w:r w:rsidRPr="0089293D">
        <w:t xml:space="preserve">Независимо от пункта 22.9 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Правилам, в отношении транспортных средств/систем транспортных средств, которые не затронуты изменениями, внесенными на основании поправок серии 02. </w:t>
      </w:r>
    </w:p>
    <w:p w14:paraId="47D54CD8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22.12</w:t>
      </w:r>
      <w:r w:rsidRPr="0089293D">
        <w:tab/>
      </w:r>
      <w:r>
        <w:tab/>
      </w:r>
      <w:r w:rsidRPr="0089293D">
        <w:t xml:space="preserve"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Правилам. </w:t>
      </w:r>
    </w:p>
    <w:p w14:paraId="5CF1D475" w14:textId="77777777" w:rsidR="003E2B89" w:rsidRPr="0089293D" w:rsidRDefault="003E2B89" w:rsidP="003E2B89">
      <w:pPr>
        <w:pStyle w:val="SingleTxtGR"/>
        <w:spacing w:after="100" w:line="230" w:lineRule="atLeast"/>
        <w:ind w:left="2268" w:hanging="1134"/>
      </w:pPr>
      <w:r w:rsidRPr="0089293D">
        <w:t>22.13</w:t>
      </w:r>
      <w:r w:rsidRPr="0089293D">
        <w:tab/>
      </w:r>
      <w:r>
        <w:tab/>
      </w:r>
      <w:r w:rsidRPr="0089293D">
        <w:t xml:space="preserve">Начиная с 1 сентября 2021 года Договаривающиеся стороны, применяющие настоящие Правила, могут отказывать в предоставлении национального или регионального официального утверждения типа и могут отказывать в первоначальной регистрации типа транспортного средства, если данный тип транспортного средства затронут изменениями, внесенными на основании поправок серии 02, но не отвечает требованиям поправок серии 02 к настоящим Правилам». </w:t>
      </w:r>
    </w:p>
    <w:p w14:paraId="44706C1D" w14:textId="77777777" w:rsidR="003E2B89" w:rsidRPr="00413341" w:rsidRDefault="003E2B89" w:rsidP="003E2B89">
      <w:pPr>
        <w:pStyle w:val="SingleTxtGR"/>
        <w:spacing w:after="100" w:line="230" w:lineRule="atLeast"/>
      </w:pPr>
      <w:r w:rsidRPr="00DF07E9">
        <w:rPr>
          <w:i/>
          <w:iCs/>
        </w:rPr>
        <w:t xml:space="preserve">По всему тексту приложений 2А и 2С (образец </w:t>
      </w:r>
      <w:r w:rsidRPr="0089293D">
        <w:rPr>
          <w:i/>
          <w:iCs/>
          <w:lang w:val="fr-CH"/>
        </w:rPr>
        <w:t>A</w:t>
      </w:r>
      <w:r w:rsidRPr="00DF07E9">
        <w:rPr>
          <w:i/>
          <w:iCs/>
        </w:rPr>
        <w:t xml:space="preserve"> и образец </w:t>
      </w:r>
      <w:r w:rsidRPr="0089293D">
        <w:rPr>
          <w:i/>
          <w:iCs/>
          <w:lang w:val="fr-CH"/>
        </w:rPr>
        <w:t>B</w:t>
      </w:r>
      <w:r w:rsidRPr="00DF07E9">
        <w:rPr>
          <w:i/>
          <w:iCs/>
        </w:rPr>
        <w:t>)</w:t>
      </w:r>
      <w:r>
        <w:t xml:space="preserve"> заменить обозначение </w:t>
      </w:r>
      <w:r w:rsidRPr="00DF07E9">
        <w:t>«01» на «02» (девять раз)</w:t>
      </w:r>
      <w:r>
        <w:t>.</w:t>
      </w:r>
    </w:p>
    <w:p w14:paraId="27F065AF" w14:textId="77777777" w:rsidR="003E2B89" w:rsidRPr="00413341" w:rsidRDefault="003E2B89" w:rsidP="003E2B89">
      <w:pPr>
        <w:spacing w:before="240"/>
        <w:ind w:left="1134" w:right="1134"/>
        <w:jc w:val="center"/>
        <w:rPr>
          <w:u w:val="single"/>
        </w:rPr>
      </w:pPr>
      <w:r w:rsidRPr="00413341">
        <w:rPr>
          <w:u w:val="single"/>
        </w:rPr>
        <w:tab/>
      </w:r>
      <w:r w:rsidRPr="00413341">
        <w:rPr>
          <w:u w:val="single"/>
        </w:rPr>
        <w:tab/>
      </w:r>
      <w:r w:rsidRPr="00413341">
        <w:rPr>
          <w:u w:val="single"/>
        </w:rPr>
        <w:tab/>
      </w:r>
      <w:r>
        <w:rPr>
          <w:u w:val="single"/>
        </w:rPr>
        <w:tab/>
      </w:r>
    </w:p>
    <w:p w14:paraId="4C79B98C" w14:textId="77777777" w:rsidR="00381C24" w:rsidRPr="00BC18B2" w:rsidRDefault="00381C24" w:rsidP="001F49C9"/>
    <w:sectPr w:rsidR="00381C24" w:rsidRPr="00BC18B2" w:rsidSect="003E2B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A84A" w14:textId="77777777" w:rsidR="005478CA" w:rsidRPr="00A312BC" w:rsidRDefault="005478CA" w:rsidP="00A312BC"/>
  </w:endnote>
  <w:endnote w:type="continuationSeparator" w:id="0">
    <w:p w14:paraId="1D5B2FDF" w14:textId="77777777" w:rsidR="005478CA" w:rsidRPr="00A312BC" w:rsidRDefault="005478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D726" w14:textId="77777777" w:rsidR="003E2B89" w:rsidRPr="003E2B89" w:rsidRDefault="003E2B89">
    <w:pPr>
      <w:pStyle w:val="Footer"/>
    </w:pPr>
    <w:r w:rsidRPr="003E2B89">
      <w:rPr>
        <w:b/>
        <w:sz w:val="18"/>
      </w:rPr>
      <w:fldChar w:fldCharType="begin"/>
    </w:r>
    <w:r w:rsidRPr="003E2B89">
      <w:rPr>
        <w:b/>
        <w:sz w:val="18"/>
      </w:rPr>
      <w:instrText xml:space="preserve"> PAGE  \* MERGEFORMAT </w:instrText>
    </w:r>
    <w:r w:rsidRPr="003E2B89">
      <w:rPr>
        <w:b/>
        <w:sz w:val="18"/>
      </w:rPr>
      <w:fldChar w:fldCharType="separate"/>
    </w:r>
    <w:r w:rsidR="00987234">
      <w:rPr>
        <w:b/>
        <w:noProof/>
        <w:sz w:val="18"/>
      </w:rPr>
      <w:t>2</w:t>
    </w:r>
    <w:r w:rsidRPr="003E2B89">
      <w:rPr>
        <w:b/>
        <w:sz w:val="18"/>
      </w:rPr>
      <w:fldChar w:fldCharType="end"/>
    </w:r>
    <w:r>
      <w:rPr>
        <w:b/>
        <w:sz w:val="18"/>
      </w:rPr>
      <w:tab/>
    </w:r>
    <w:r>
      <w:t>GE.19-10441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5918" w14:textId="77777777" w:rsidR="003E2B89" w:rsidRPr="003E2B89" w:rsidRDefault="003E2B89" w:rsidP="003E2B8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GE.19-10441</w:t>
    </w:r>
    <w:r>
      <w:tab/>
    </w:r>
    <w:r w:rsidRPr="003E2B89">
      <w:rPr>
        <w:b/>
        <w:sz w:val="18"/>
      </w:rPr>
      <w:fldChar w:fldCharType="begin"/>
    </w:r>
    <w:r w:rsidRPr="003E2B89">
      <w:rPr>
        <w:b/>
        <w:sz w:val="18"/>
      </w:rPr>
      <w:instrText xml:space="preserve"> PAGE  \* MERGEFORMAT </w:instrText>
    </w:r>
    <w:r w:rsidRPr="003E2B8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E2B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A5B5" w14:textId="77777777" w:rsidR="00042B72" w:rsidRPr="003E2B89" w:rsidRDefault="003E2B89" w:rsidP="003E2B8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6BDAF2F" wp14:editId="35F64F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19-10441  (R)</w:t>
    </w:r>
    <w:r>
      <w:rPr>
        <w:lang w:val="en-US"/>
      </w:rPr>
      <w:t xml:space="preserve">  230719  230719</w:t>
    </w:r>
    <w:r>
      <w:br/>
    </w:r>
    <w:r w:rsidRPr="003E2B89">
      <w:rPr>
        <w:rFonts w:ascii="C39T30Lfz" w:hAnsi="C39T30Lfz"/>
        <w:kern w:val="14"/>
        <w:sz w:val="56"/>
      </w:rPr>
      <w:t></w:t>
    </w:r>
    <w:r w:rsidRPr="003E2B89">
      <w:rPr>
        <w:rFonts w:ascii="C39T30Lfz" w:hAnsi="C39T30Lfz"/>
        <w:kern w:val="14"/>
        <w:sz w:val="56"/>
      </w:rPr>
      <w:t></w:t>
    </w:r>
    <w:r w:rsidRPr="003E2B89">
      <w:rPr>
        <w:rFonts w:ascii="C39T30Lfz" w:hAnsi="C39T30Lfz"/>
        <w:kern w:val="14"/>
        <w:sz w:val="56"/>
      </w:rPr>
      <w:t></w:t>
    </w:r>
    <w:r w:rsidRPr="003E2B89">
      <w:rPr>
        <w:rFonts w:ascii="C39T30Lfz" w:hAnsi="C39T30Lfz"/>
        <w:kern w:val="14"/>
        <w:sz w:val="56"/>
      </w:rPr>
      <w:t></w:t>
    </w:r>
    <w:r w:rsidRPr="003E2B89">
      <w:rPr>
        <w:rFonts w:ascii="C39T30Lfz" w:hAnsi="C39T30Lfz"/>
        <w:kern w:val="14"/>
        <w:sz w:val="56"/>
      </w:rPr>
      <w:t></w:t>
    </w:r>
    <w:r w:rsidRPr="003E2B89">
      <w:rPr>
        <w:rFonts w:ascii="C39T30Lfz" w:hAnsi="C39T30Lfz"/>
        <w:kern w:val="14"/>
        <w:sz w:val="56"/>
      </w:rPr>
      <w:t></w:t>
    </w:r>
    <w:r w:rsidRPr="003E2B89">
      <w:rPr>
        <w:rFonts w:ascii="C39T30Lfz" w:hAnsi="C39T30Lfz"/>
        <w:kern w:val="14"/>
        <w:sz w:val="56"/>
      </w:rPr>
      <w:t></w:t>
    </w:r>
    <w:r w:rsidRPr="003E2B89">
      <w:rPr>
        <w:rFonts w:ascii="C39T30Lfz" w:hAnsi="C39T30Lfz"/>
        <w:kern w:val="14"/>
        <w:sz w:val="56"/>
      </w:rPr>
      <w:t></w:t>
    </w:r>
    <w:r w:rsidRPr="003E2B8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541A44B" wp14:editId="02489D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66/Rev.4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6/Rev.4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7444" w14:textId="77777777" w:rsidR="005478CA" w:rsidRPr="001075E9" w:rsidRDefault="005478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779DA5" w14:textId="77777777" w:rsidR="005478CA" w:rsidRDefault="005478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C75476" w14:textId="77777777" w:rsidR="003E2B89" w:rsidRPr="003E2B89" w:rsidRDefault="003E2B89" w:rsidP="003E2B89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3E2B89">
        <w:t>Прежние названия Соглашения:</w:t>
      </w:r>
    </w:p>
    <w:p w14:paraId="18000345" w14:textId="77777777" w:rsidR="003E2B89" w:rsidRPr="003E2B89" w:rsidRDefault="003E2B89" w:rsidP="003E2B89">
      <w:pPr>
        <w:pStyle w:val="FootnoteText"/>
        <w:spacing w:line="210" w:lineRule="exact"/>
      </w:pPr>
      <w:r w:rsidRPr="003E2B89">
        <w:tab/>
      </w:r>
      <w:r w:rsidRPr="003E2B89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38A34B9" w14:textId="77777777" w:rsidR="003E2B89" w:rsidRPr="007203EC" w:rsidRDefault="003E2B89" w:rsidP="003E2B89">
      <w:pPr>
        <w:pStyle w:val="FootnoteText"/>
        <w:spacing w:line="210" w:lineRule="exact"/>
      </w:pPr>
      <w:r w:rsidRPr="003E2B89">
        <w:tab/>
      </w:r>
      <w:r w:rsidRPr="003E2B89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3E2B89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AD05" w14:textId="14C09B47" w:rsidR="003E2B89" w:rsidRPr="003E2B89" w:rsidRDefault="001A76B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E/ECE/324/Rev.1/Add.66/Rev.4/Amend.2</w:t>
    </w:r>
    <w:r>
      <w:fldChar w:fldCharType="end"/>
    </w:r>
    <w:r w:rsidR="003E2B8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7F86" w14:textId="0B7152BB" w:rsidR="003E2B89" w:rsidRPr="003E2B89" w:rsidRDefault="001A76B7" w:rsidP="003E2B8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E/ECE/324/Rev.1/Add.66/Rev.4/Amend.2</w:t>
    </w:r>
    <w:r>
      <w:fldChar w:fldCharType="end"/>
    </w:r>
    <w:r w:rsidR="003E2B8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C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A76B7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2B8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478CA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73960"/>
    <w:rsid w:val="00894693"/>
    <w:rsid w:val="008A08D7"/>
    <w:rsid w:val="008A63E9"/>
    <w:rsid w:val="008A697B"/>
    <w:rsid w:val="008B6909"/>
    <w:rsid w:val="008C1A9B"/>
    <w:rsid w:val="00906890"/>
    <w:rsid w:val="00911BE4"/>
    <w:rsid w:val="00943923"/>
    <w:rsid w:val="00951972"/>
    <w:rsid w:val="009608F3"/>
    <w:rsid w:val="00987234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5AF4C"/>
  <w15:docId w15:val="{3FABCDBF-182A-4E92-9BB6-92E65F0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paragraph" w:customStyle="1" w:styleId="HChGR">
    <w:name w:val="_ H _Ch_GR"/>
    <w:basedOn w:val="Normal"/>
    <w:next w:val="Normal"/>
    <w:qFormat/>
    <w:rsid w:val="003E2B8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3E2B8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3E2B8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3E2B89"/>
    <w:rPr>
      <w:lang w:val="ru-RU" w:eastAsia="en-US"/>
    </w:rPr>
  </w:style>
  <w:style w:type="paragraph" w:styleId="CommentText">
    <w:name w:val="annotation text"/>
    <w:basedOn w:val="Normal"/>
    <w:link w:val="CommentTextChar"/>
    <w:semiHidden/>
    <w:unhideWhenUsed/>
    <w:rsid w:val="003E2B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B89"/>
    <w:rPr>
      <w:rFonts w:eastAsia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E/ECE/324/Rev.1/Add.66/Rev.4/Amend.2</vt:lpstr>
      <vt:lpstr>E/ECE/324/Rev.1/Add.66/Rev.4/Amend.2</vt:lpstr>
      <vt:lpstr>A/</vt:lpstr>
    </vt:vector>
  </TitlesOfParts>
  <Company>DCM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E/ECE/324/Rev.1/Add.66/Rev.4/Amend.2</dc:title>
  <dc:creator>Uliana ANTIPOVA</dc:creator>
  <cp:keywords>E/ECE/TRANS/505/Rev.1/Add.66/Rev.4/Amend.2</cp:keywords>
  <cp:lastModifiedBy>Marie-Claude Collet</cp:lastModifiedBy>
  <cp:revision>3</cp:revision>
  <cp:lastPrinted>2019-12-05T12:52:00Z</cp:lastPrinted>
  <dcterms:created xsi:type="dcterms:W3CDTF">2019-12-05T12:52:00Z</dcterms:created>
  <dcterms:modified xsi:type="dcterms:W3CDTF">2019-12-05T12:52:00Z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