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A4141" w14:paraId="3A19603D" w14:textId="77777777" w:rsidTr="00A27C92">
        <w:trPr>
          <w:trHeight w:hRule="exact" w:val="851"/>
        </w:trPr>
        <w:tc>
          <w:tcPr>
            <w:tcW w:w="9639" w:type="dxa"/>
            <w:gridSpan w:val="2"/>
            <w:tcBorders>
              <w:bottom w:val="single" w:sz="4" w:space="0" w:color="auto"/>
            </w:tcBorders>
            <w:shd w:val="clear" w:color="auto" w:fill="auto"/>
            <w:vAlign w:val="bottom"/>
          </w:tcPr>
          <w:p w14:paraId="16AB0632" w14:textId="77777777" w:rsidR="002A4141" w:rsidRPr="002A4141" w:rsidRDefault="002A4141" w:rsidP="002A4141">
            <w:pPr>
              <w:jc w:val="right"/>
              <w:rPr>
                <w:lang w:val="en-US"/>
              </w:rPr>
            </w:pPr>
            <w:bookmarkStart w:id="0" w:name="_GoBack"/>
            <w:bookmarkEnd w:id="0"/>
            <w:r w:rsidRPr="002A4141">
              <w:rPr>
                <w:sz w:val="40"/>
                <w:lang w:val="en-US"/>
              </w:rPr>
              <w:t>E</w:t>
            </w:r>
            <w:r w:rsidRPr="002A4141">
              <w:rPr>
                <w:lang w:val="en-US"/>
              </w:rPr>
              <w:t>/ECE/324/Rev.1/Add.66/Rev.4/Amend.2−</w:t>
            </w:r>
            <w:r w:rsidRPr="002A4141">
              <w:rPr>
                <w:sz w:val="40"/>
                <w:lang w:val="en-US"/>
              </w:rPr>
              <w:t>E</w:t>
            </w:r>
            <w:r w:rsidRPr="002A4141">
              <w:rPr>
                <w:lang w:val="en-US"/>
              </w:rPr>
              <w:t>/ECE/TRANS/505/Rev.1/Add.66/Rev.4/Amend.2</w:t>
            </w:r>
          </w:p>
        </w:tc>
      </w:tr>
      <w:tr w:rsidR="00421A10" w:rsidRPr="00DB58B5" w14:paraId="69F2BB80" w14:textId="77777777" w:rsidTr="00A27C92">
        <w:trPr>
          <w:trHeight w:hRule="exact" w:val="2835"/>
        </w:trPr>
        <w:tc>
          <w:tcPr>
            <w:tcW w:w="6804" w:type="dxa"/>
            <w:tcBorders>
              <w:top w:val="single" w:sz="4" w:space="0" w:color="auto"/>
              <w:bottom w:val="single" w:sz="12" w:space="0" w:color="auto"/>
            </w:tcBorders>
            <w:shd w:val="clear" w:color="auto" w:fill="auto"/>
          </w:tcPr>
          <w:p w14:paraId="7A8DE736" w14:textId="77777777" w:rsidR="00421A10" w:rsidRPr="002A4141"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30EC07C4" w14:textId="77777777" w:rsidR="00421A10" w:rsidRPr="00DB58B5" w:rsidRDefault="002A4141" w:rsidP="00A27C92">
            <w:pPr>
              <w:spacing w:before="480" w:line="240" w:lineRule="exact"/>
            </w:pPr>
            <w:r>
              <w:t>24 juin 2019</w:t>
            </w:r>
          </w:p>
        </w:tc>
      </w:tr>
    </w:tbl>
    <w:p w14:paraId="200FFA6A" w14:textId="77777777" w:rsidR="00421A10" w:rsidRPr="006549FF" w:rsidRDefault="0029791D" w:rsidP="0029791D">
      <w:pPr>
        <w:pStyle w:val="HChG"/>
      </w:pPr>
      <w:r>
        <w:tab/>
      </w:r>
      <w:r>
        <w:tab/>
      </w:r>
      <w:r w:rsidR="00421A10" w:rsidRPr="006549FF">
        <w:t>Accord</w:t>
      </w:r>
    </w:p>
    <w:p w14:paraId="200670FA" w14:textId="77777777" w:rsidR="00421A10" w:rsidRPr="00583D68" w:rsidRDefault="0029791D" w:rsidP="002A4141">
      <w:pPr>
        <w:pStyle w:val="H1G"/>
        <w:spacing w:before="240"/>
      </w:pPr>
      <w:r>
        <w:tab/>
      </w:r>
      <w:r>
        <w:tab/>
      </w:r>
      <w:r w:rsidR="00421A10" w:rsidRPr="00583D68">
        <w:t>Concernant l</w:t>
      </w:r>
      <w:r w:rsidR="005C2605">
        <w:t>’</w:t>
      </w:r>
      <w:r w:rsidR="00421A10" w:rsidRPr="00583D68">
        <w:t xml:space="preserve">adoption </w:t>
      </w:r>
      <w:r w:rsidR="002A4141" w:rsidRPr="00A7126A">
        <w:rPr>
          <w:color w:val="000000"/>
          <w:szCs w:val="24"/>
        </w:rPr>
        <w:t>de Règlements techniques harmonisés de l</w:t>
      </w:r>
      <w:r w:rsidR="005C2605">
        <w:rPr>
          <w:color w:val="000000"/>
          <w:szCs w:val="24"/>
        </w:rPr>
        <w:t>’</w:t>
      </w:r>
      <w:r w:rsidR="002A4141" w:rsidRPr="00A7126A">
        <w:rPr>
          <w:color w:val="000000"/>
          <w:szCs w:val="24"/>
        </w:rPr>
        <w:t>ONU applicables aux véhicules à roues et aux équipements et pièces susceptibles d</w:t>
      </w:r>
      <w:r w:rsidR="005C2605">
        <w:rPr>
          <w:color w:val="000000"/>
          <w:szCs w:val="24"/>
        </w:rPr>
        <w:t>’</w:t>
      </w:r>
      <w:r w:rsidR="002A4141" w:rsidRPr="00A7126A">
        <w:rPr>
          <w:color w:val="000000"/>
          <w:szCs w:val="24"/>
        </w:rPr>
        <w:t>être montés ou utilisés sur les véhicules à roues et les conditions de reconnaissance réciproque des homologations délivrées conformément à ces Règlements</w:t>
      </w:r>
      <w:r w:rsidR="00442E31" w:rsidRPr="002A4141">
        <w:rPr>
          <w:rStyle w:val="FootnoteReference"/>
          <w:b w:val="0"/>
          <w:sz w:val="20"/>
          <w:vertAlign w:val="baseline"/>
        </w:rPr>
        <w:footnoteReference w:customMarkFollows="1" w:id="2"/>
        <w:t>*</w:t>
      </w:r>
    </w:p>
    <w:p w14:paraId="3228F0B3" w14:textId="77777777" w:rsidR="00421A10" w:rsidRPr="00A12483" w:rsidRDefault="00421A10" w:rsidP="0029791D">
      <w:pPr>
        <w:pStyle w:val="SingleTxtG"/>
        <w:jc w:val="left"/>
        <w:rPr>
          <w:b/>
          <w:sz w:val="24"/>
          <w:szCs w:val="24"/>
        </w:rPr>
      </w:pPr>
      <w:r w:rsidRPr="006549FF">
        <w:t xml:space="preserve">(Révision </w:t>
      </w:r>
      <w:r w:rsidR="002A4141" w:rsidRPr="00A7126A">
        <w:t>3, comprenant les amendements entrés en vigueur le 14 septembre 2017)</w:t>
      </w:r>
    </w:p>
    <w:p w14:paraId="67A6E09C" w14:textId="77777777" w:rsidR="00421A10" w:rsidRPr="006549FF" w:rsidRDefault="0029791D" w:rsidP="0029791D">
      <w:pPr>
        <w:jc w:val="center"/>
      </w:pPr>
      <w:r>
        <w:t>_______________</w:t>
      </w:r>
    </w:p>
    <w:p w14:paraId="0803BBDC" w14:textId="77777777" w:rsidR="00421A10" w:rsidRPr="006549FF" w:rsidRDefault="0029791D" w:rsidP="0029791D">
      <w:pPr>
        <w:pStyle w:val="HChG"/>
      </w:pPr>
      <w:r>
        <w:tab/>
      </w:r>
      <w:r>
        <w:tab/>
      </w:r>
      <w:r w:rsidR="00421A10" w:rsidRPr="006549FF">
        <w:t xml:space="preserve">Additif </w:t>
      </w:r>
      <w:r w:rsidR="002A4141">
        <w:t>66 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2A4141">
        <w:t>67</w:t>
      </w:r>
    </w:p>
    <w:p w14:paraId="124A8BB7" w14:textId="77777777" w:rsidR="00421A10" w:rsidRPr="006549FF" w:rsidRDefault="0029791D" w:rsidP="0029791D">
      <w:pPr>
        <w:pStyle w:val="H1G"/>
      </w:pPr>
      <w:r>
        <w:tab/>
      </w:r>
      <w:r>
        <w:tab/>
      </w:r>
      <w:r w:rsidR="00421A10" w:rsidRPr="006549FF">
        <w:t xml:space="preserve">Révision </w:t>
      </w:r>
      <w:r w:rsidR="002A4141">
        <w:t>4</w:t>
      </w:r>
      <w:r w:rsidR="002A4141" w:rsidRPr="00A7126A">
        <w:t xml:space="preserve"> </w:t>
      </w:r>
      <w:r w:rsidR="002A4141">
        <w:t>−</w:t>
      </w:r>
      <w:r w:rsidR="002A4141" w:rsidRPr="00A7126A">
        <w:t xml:space="preserve"> </w:t>
      </w:r>
      <w:r w:rsidR="002A4141">
        <w:t>Amendement 2</w:t>
      </w:r>
    </w:p>
    <w:p w14:paraId="50DEA613" w14:textId="77777777" w:rsidR="00421A10" w:rsidRPr="004A7E44" w:rsidRDefault="002A4141" w:rsidP="0029791D">
      <w:pPr>
        <w:pStyle w:val="SingleTxtG"/>
        <w:spacing w:after="0"/>
      </w:pPr>
      <w:r>
        <w:t>S</w:t>
      </w:r>
      <w:r w:rsidRPr="00355122">
        <w:t>érie 0</w:t>
      </w:r>
      <w:r>
        <w:t>2</w:t>
      </w:r>
      <w:r w:rsidRPr="00355122">
        <w:t xml:space="preserve"> d</w:t>
      </w:r>
      <w:r w:rsidR="005C2605">
        <w:t>’</w:t>
      </w:r>
      <w:r w:rsidRPr="00355122">
        <w:t>amendements</w:t>
      </w:r>
      <w:r w:rsidRPr="00355122">
        <w:rPr>
          <w:spacing w:val="-2"/>
        </w:rPr>
        <w:t xml:space="preserve"> </w:t>
      </w:r>
      <w:r>
        <w:rPr>
          <w:spacing w:val="-2"/>
        </w:rPr>
        <w:t>−</w:t>
      </w:r>
      <w:r w:rsidRPr="00355122">
        <w:rPr>
          <w:spacing w:val="-2"/>
        </w:rPr>
        <w:t xml:space="preserve"> Date </w:t>
      </w:r>
      <w:r>
        <w:rPr>
          <w:spacing w:val="-2"/>
        </w:rPr>
        <w:t>d</w:t>
      </w:r>
      <w:r w:rsidR="005C2605">
        <w:rPr>
          <w:spacing w:val="-2"/>
        </w:rPr>
        <w:t>’</w:t>
      </w:r>
      <w:r>
        <w:rPr>
          <w:spacing w:val="-2"/>
        </w:rPr>
        <w:t>entrée en vigueur </w:t>
      </w:r>
      <w:r w:rsidRPr="00355122">
        <w:rPr>
          <w:spacing w:val="-2"/>
        </w:rPr>
        <w:t xml:space="preserve">: </w:t>
      </w:r>
      <w:r>
        <w:t>28 mai 2019</w:t>
      </w:r>
    </w:p>
    <w:p w14:paraId="08960265" w14:textId="77777777" w:rsidR="002A4141" w:rsidRDefault="0029791D" w:rsidP="002A4141">
      <w:pPr>
        <w:pStyle w:val="H1G"/>
        <w:spacing w:after="0"/>
        <w:rPr>
          <w:lang w:val="fr-FR"/>
        </w:rPr>
      </w:pPr>
      <w:r>
        <w:tab/>
      </w:r>
      <w:r>
        <w:tab/>
      </w:r>
      <w:r w:rsidR="00421A10" w:rsidRPr="007619D3">
        <w:t xml:space="preserve">Prescriptions uniformes relatives </w:t>
      </w:r>
      <w:r w:rsidR="002A4141" w:rsidRPr="00376859">
        <w:rPr>
          <w:lang w:val="fr-FR"/>
        </w:rPr>
        <w:t>à l</w:t>
      </w:r>
      <w:r w:rsidR="005C2605">
        <w:rPr>
          <w:lang w:val="fr-FR"/>
        </w:rPr>
        <w:t>’</w:t>
      </w:r>
      <w:r w:rsidR="002A4141" w:rsidRPr="00376859">
        <w:rPr>
          <w:lang w:val="fr-FR"/>
        </w:rPr>
        <w:t>homologation :</w:t>
      </w:r>
    </w:p>
    <w:p w14:paraId="7DE687D9" w14:textId="77777777" w:rsidR="002A4141" w:rsidRPr="00D24BEA" w:rsidRDefault="002A4141" w:rsidP="002A4141">
      <w:pPr>
        <w:pStyle w:val="H1G"/>
        <w:spacing w:before="0" w:after="0"/>
        <w:ind w:left="1701" w:hanging="567"/>
      </w:pPr>
      <w:r w:rsidRPr="00D24BEA">
        <w:t>I.</w:t>
      </w:r>
      <w:r w:rsidRPr="00D24BEA">
        <w:tab/>
      </w:r>
      <w:r w:rsidRPr="00376859">
        <w:rPr>
          <w:lang w:val="fr-FR"/>
        </w:rPr>
        <w:t>Des équipements spéciaux pour l</w:t>
      </w:r>
      <w:r w:rsidR="005C2605">
        <w:rPr>
          <w:lang w:val="fr-FR"/>
        </w:rPr>
        <w:t>’</w:t>
      </w:r>
      <w:r w:rsidRPr="00376859">
        <w:rPr>
          <w:lang w:val="fr-FR"/>
        </w:rPr>
        <w:t>alimentation du moteur aux gaz de pétrole liquéfiés sur les véhicules des catégories M et N</w:t>
      </w:r>
    </w:p>
    <w:p w14:paraId="0FF681A7" w14:textId="77777777" w:rsidR="00421A10" w:rsidRDefault="002A4141" w:rsidP="002A4141">
      <w:pPr>
        <w:pStyle w:val="H1G"/>
        <w:spacing w:before="0"/>
        <w:ind w:left="1701" w:hanging="567"/>
      </w:pPr>
      <w:r w:rsidRPr="00D24BEA">
        <w:t>II.</w:t>
      </w:r>
      <w:r w:rsidRPr="00D24BEA">
        <w:tab/>
      </w:r>
      <w:r w:rsidRPr="00376859">
        <w:rPr>
          <w:lang w:val="fr-FR"/>
        </w:rPr>
        <w:t>Des véhicules des catégories M et N munis d</w:t>
      </w:r>
      <w:r w:rsidR="005C2605">
        <w:rPr>
          <w:lang w:val="fr-FR"/>
        </w:rPr>
        <w:t>’</w:t>
      </w:r>
      <w:r w:rsidRPr="00376859">
        <w:rPr>
          <w:lang w:val="fr-FR"/>
        </w:rPr>
        <w:t>un équipement spécial pour l</w:t>
      </w:r>
      <w:r w:rsidR="005C2605">
        <w:rPr>
          <w:lang w:val="fr-FR"/>
        </w:rPr>
        <w:t>’</w:t>
      </w:r>
      <w:r w:rsidRPr="00376859">
        <w:rPr>
          <w:lang w:val="fr-FR"/>
        </w:rPr>
        <w:t xml:space="preserve">alimentation du moteur aux gaz de pétrole </w:t>
      </w:r>
      <w:r>
        <w:rPr>
          <w:lang w:val="fr-FR"/>
        </w:rPr>
        <w:br/>
      </w:r>
      <w:r w:rsidRPr="00376859">
        <w:rPr>
          <w:lang w:val="fr-FR"/>
        </w:rPr>
        <w:t>liquéfiés, en ce qui concerne l</w:t>
      </w:r>
      <w:r w:rsidR="005C2605">
        <w:rPr>
          <w:lang w:val="fr-FR"/>
        </w:rPr>
        <w:t>’</w:t>
      </w:r>
      <w:r w:rsidRPr="00376859">
        <w:rPr>
          <w:lang w:val="fr-FR"/>
        </w:rPr>
        <w:t>installation de cet équipement</w:t>
      </w:r>
    </w:p>
    <w:p w14:paraId="7ED893D8" w14:textId="77777777" w:rsidR="002A4141" w:rsidRDefault="002A4141" w:rsidP="002A4141">
      <w:pPr>
        <w:pStyle w:val="SingleTxtG"/>
        <w:rPr>
          <w:spacing w:val="-6"/>
          <w:lang w:eastAsia="en-GB"/>
        </w:rPr>
      </w:pPr>
      <w:r w:rsidRPr="002A4141">
        <w:rPr>
          <w:noProof/>
          <w:spacing w:val="-2"/>
          <w:lang w:eastAsia="fr-CH"/>
        </w:rPr>
        <mc:AlternateContent>
          <mc:Choice Requires="wps">
            <w:drawing>
              <wp:anchor distT="0" distB="0" distL="114300" distR="114300" simplePos="0" relativeHeight="251659264" behindDoc="0" locked="0" layoutInCell="1" allowOverlap="1" wp14:anchorId="78EF5CC9" wp14:editId="11C777AB">
                <wp:simplePos x="0" y="0"/>
                <wp:positionH relativeFrom="margin">
                  <wp:posOffset>0</wp:posOffset>
                </wp:positionH>
                <wp:positionV relativeFrom="margin">
                  <wp:posOffset>6482080</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57082149" w14:textId="77777777" w:rsidR="00442E31" w:rsidRPr="0029791D" w:rsidRDefault="00442E31" w:rsidP="00C9521D">
                            <w:pPr>
                              <w:ind w:left="1134" w:right="1134"/>
                              <w:jc w:val="center"/>
                            </w:pPr>
                            <w:r>
                              <w:t>_______________</w:t>
                            </w:r>
                          </w:p>
                          <w:p w14:paraId="6DF1D60B" w14:textId="77777777" w:rsidR="00442E31" w:rsidRDefault="00442E31" w:rsidP="00C9521D">
                            <w:pPr>
                              <w:jc w:val="center"/>
                              <w:rPr>
                                <w:b/>
                                <w:bCs/>
                                <w:sz w:val="22"/>
                              </w:rPr>
                            </w:pPr>
                            <w:r>
                              <w:rPr>
                                <w:noProof/>
                                <w:lang w:eastAsia="fr-CH"/>
                              </w:rPr>
                              <w:drawing>
                                <wp:inline distT="0" distB="0" distL="0" distR="0" wp14:anchorId="0CF5FE17" wp14:editId="54215D3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1AD4CBE"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F5CC9" id="_x0000_t202" coordsize="21600,21600" o:spt="202" path="m,l,21600r21600,l21600,xe">
                <v:stroke joinstyle="miter"/>
                <v:path gradientshapeok="t" o:connecttype="rect"/>
              </v:shapetype>
              <v:shape id="Zone de texte 4" o:spid="_x0000_s1026" type="#_x0000_t202" style="position:absolute;left:0;text-align:left;margin-left:0;margin-top:510.4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" stroked="f">
                <v:textbox inset="0,0,0,0">
                  <w:txbxContent>
                    <w:p w14:paraId="57082149" w14:textId="77777777" w:rsidR="00442E31" w:rsidRPr="0029791D" w:rsidRDefault="00442E31" w:rsidP="00C9521D">
                      <w:pPr>
                        <w:ind w:left="1134" w:right="1134"/>
                        <w:jc w:val="center"/>
                      </w:pPr>
                      <w:r>
                        <w:t>_______________</w:t>
                      </w:r>
                    </w:p>
                    <w:p w14:paraId="6DF1D60B" w14:textId="77777777" w:rsidR="00442E31" w:rsidRDefault="00442E31" w:rsidP="00C9521D">
                      <w:pPr>
                        <w:jc w:val="center"/>
                        <w:rPr>
                          <w:b/>
                          <w:bCs/>
                          <w:sz w:val="22"/>
                        </w:rPr>
                      </w:pPr>
                      <w:r>
                        <w:rPr>
                          <w:noProof/>
                          <w:lang w:eastAsia="fr-CH"/>
                        </w:rPr>
                        <w:drawing>
                          <wp:inline distT="0" distB="0" distL="0" distR="0" wp14:anchorId="0CF5FE17" wp14:editId="54215D3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1AD4CBE"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2A4141">
        <w:rPr>
          <w:spacing w:val="-2"/>
          <w:lang w:eastAsia="en-GB"/>
        </w:rPr>
        <w:t>Le présent document est communiqué uniquement à titre d</w:t>
      </w:r>
      <w:r w:rsidR="005C2605">
        <w:rPr>
          <w:spacing w:val="-2"/>
          <w:lang w:eastAsia="en-GB"/>
        </w:rPr>
        <w:t>’</w:t>
      </w:r>
      <w:r w:rsidRPr="002A4141">
        <w:rPr>
          <w:spacing w:val="-2"/>
          <w:lang w:eastAsia="en-GB"/>
        </w:rPr>
        <w:t>information. Le texte authentique, juridiquement contraignant, est celui du document ECE/TRANS/WP.29/2018/124</w:t>
      </w:r>
      <w:r w:rsidRPr="00355122">
        <w:rPr>
          <w:spacing w:val="-6"/>
          <w:lang w:eastAsia="en-GB"/>
        </w:rPr>
        <w:t>.</w:t>
      </w:r>
    </w:p>
    <w:p w14:paraId="55ACBDCD" w14:textId="77777777" w:rsidR="002A4141" w:rsidRPr="003520DA" w:rsidRDefault="002A4141" w:rsidP="005C2605">
      <w:pPr>
        <w:pStyle w:val="SingleTxtG"/>
      </w:pPr>
      <w:r>
        <w:rPr>
          <w:spacing w:val="-6"/>
          <w:lang w:eastAsia="en-GB"/>
        </w:rPr>
        <w:br w:type="page"/>
      </w:r>
      <w:r w:rsidRPr="003520DA">
        <w:rPr>
          <w:i/>
        </w:rPr>
        <w:lastRenderedPageBreak/>
        <w:t>Paragraphe 5.2</w:t>
      </w:r>
      <w:r w:rsidRPr="003520DA">
        <w:t>, remplacer le texte entre crochets par « (actuellement 02 pour la série 02 d</w:t>
      </w:r>
      <w:r w:rsidR="005C2605">
        <w:t>’</w:t>
      </w:r>
      <w:r w:rsidRPr="003520DA">
        <w:t>amendements) ».</w:t>
      </w:r>
    </w:p>
    <w:p w14:paraId="5EFA56E2" w14:textId="77777777" w:rsidR="002A4141" w:rsidRPr="003520DA" w:rsidRDefault="002A4141" w:rsidP="005C2605">
      <w:pPr>
        <w:pStyle w:val="SingleTxtG"/>
      </w:pPr>
      <w:r w:rsidRPr="003520DA">
        <w:rPr>
          <w:i/>
          <w:lang w:eastAsia="ar-SA"/>
        </w:rPr>
        <w:t>Ajouter le nouveau paragraphe 17.1.6.1</w:t>
      </w:r>
      <w:r w:rsidRPr="003520DA">
        <w:rPr>
          <w:lang w:eastAsia="ar-SA"/>
        </w:rPr>
        <w:t>, libellé comme suit :</w:t>
      </w:r>
    </w:p>
    <w:p w14:paraId="44E40E24" w14:textId="77777777" w:rsidR="002A4141" w:rsidRPr="003520DA" w:rsidRDefault="002A4141" w:rsidP="005C2605">
      <w:pPr>
        <w:pStyle w:val="SingleTxtG"/>
        <w:ind w:left="2268" w:hanging="1134"/>
      </w:pPr>
      <w:r w:rsidRPr="003520DA">
        <w:t>« 17.1.6.1</w:t>
      </w:r>
      <w:r w:rsidRPr="003520DA">
        <w:tab/>
        <w:t>Nonobstant les dispositions du paragraphe 17.1.6, il doit être possible d</w:t>
      </w:r>
      <w:r w:rsidR="005C2605">
        <w:t>’</w:t>
      </w:r>
      <w:r w:rsidRPr="003520DA">
        <w:t>exécuter un contrôle externe (par exemple aux fins du contrôle technique périodique) du réservoir à GPL et de ses accessoires, lorsqu</w:t>
      </w:r>
      <w:r w:rsidR="005C2605">
        <w:t>’</w:t>
      </w:r>
      <w:r w:rsidRPr="003520DA">
        <w:t>ils sont situés à l</w:t>
      </w:r>
      <w:r w:rsidR="005C2605">
        <w:t>’</w:t>
      </w:r>
      <w:r w:rsidRPr="003520DA">
        <w:t>extérieur du véhicule, conformément aux spécifications du fabricant, en utilisant non pas des outils pour démonter des éléments quelconques, mais des auxiliaires visuels tels que des lampes, des miroirs ou des endoscopes. ».</w:t>
      </w:r>
    </w:p>
    <w:p w14:paraId="7BFF6672" w14:textId="77777777" w:rsidR="002A4141" w:rsidRPr="003520DA" w:rsidRDefault="002A4141" w:rsidP="005C2605">
      <w:pPr>
        <w:pStyle w:val="SingleTxtG"/>
        <w:rPr>
          <w:szCs w:val="24"/>
        </w:rPr>
      </w:pPr>
      <w:r w:rsidRPr="003520DA">
        <w:rPr>
          <w:i/>
          <w:szCs w:val="24"/>
        </w:rPr>
        <w:t>Ajouter les nouveaux paragraphes 22.6 à 22.13,</w:t>
      </w:r>
      <w:r w:rsidRPr="003520DA">
        <w:rPr>
          <w:szCs w:val="24"/>
        </w:rPr>
        <w:t xml:space="preserve"> libellés comme suit :</w:t>
      </w:r>
    </w:p>
    <w:p w14:paraId="100A2EC9" w14:textId="77777777" w:rsidR="002A4141" w:rsidRPr="003520DA" w:rsidRDefault="002A4141" w:rsidP="005C2605">
      <w:pPr>
        <w:pStyle w:val="SingleTxtG"/>
        <w:ind w:left="2268" w:hanging="1134"/>
        <w:rPr>
          <w:szCs w:val="24"/>
        </w:rPr>
      </w:pPr>
      <w:r w:rsidRPr="003520DA">
        <w:rPr>
          <w:szCs w:val="24"/>
        </w:rPr>
        <w:t>« 22.6</w:t>
      </w:r>
      <w:r w:rsidRPr="003520DA">
        <w:rPr>
          <w:szCs w:val="24"/>
        </w:rPr>
        <w:tab/>
        <w:t xml:space="preserve">À </w:t>
      </w:r>
      <w:r w:rsidRPr="003520DA">
        <w:t>compter</w:t>
      </w:r>
      <w:r w:rsidRPr="003520DA">
        <w:rPr>
          <w:szCs w:val="24"/>
        </w:rPr>
        <w:t xml:space="preserve"> de la date officielle d</w:t>
      </w:r>
      <w:r w:rsidR="005C2605">
        <w:rPr>
          <w:szCs w:val="24"/>
        </w:rPr>
        <w:t>’</w:t>
      </w:r>
      <w:r w:rsidRPr="003520DA">
        <w:rPr>
          <w:szCs w:val="24"/>
        </w:rPr>
        <w:t>entrée en vigueur de la série 02 d</w:t>
      </w:r>
      <w:r w:rsidR="005C2605">
        <w:rPr>
          <w:szCs w:val="24"/>
        </w:rPr>
        <w:t>’</w:t>
      </w:r>
      <w:r w:rsidRPr="003520DA">
        <w:rPr>
          <w:szCs w:val="24"/>
        </w:rPr>
        <w:t>amendements, aucune Partie contractante appliquant le présent Règlement ne pourra refuser d</w:t>
      </w:r>
      <w:r w:rsidR="005C2605">
        <w:rPr>
          <w:szCs w:val="24"/>
        </w:rPr>
        <w:t>’</w:t>
      </w:r>
      <w:r w:rsidRPr="003520DA">
        <w:rPr>
          <w:szCs w:val="24"/>
        </w:rPr>
        <w:t>accorder ou d</w:t>
      </w:r>
      <w:r w:rsidR="005C2605">
        <w:rPr>
          <w:szCs w:val="24"/>
        </w:rPr>
        <w:t>’</w:t>
      </w:r>
      <w:r w:rsidRPr="003520DA">
        <w:rPr>
          <w:szCs w:val="24"/>
        </w:rPr>
        <w:t>accepter une homologation de type en vertu dudit Règlement tel que modifié par la série 02 d</w:t>
      </w:r>
      <w:r w:rsidR="005C2605">
        <w:rPr>
          <w:szCs w:val="24"/>
        </w:rPr>
        <w:t>’</w:t>
      </w:r>
      <w:r w:rsidRPr="003520DA">
        <w:rPr>
          <w:szCs w:val="24"/>
        </w:rPr>
        <w:t>amendements.</w:t>
      </w:r>
    </w:p>
    <w:p w14:paraId="71B182CC" w14:textId="77777777" w:rsidR="002A4141" w:rsidRPr="003520DA" w:rsidRDefault="002A4141" w:rsidP="005C2605">
      <w:pPr>
        <w:pStyle w:val="SingleTxtG"/>
        <w:ind w:left="2268" w:hanging="1134"/>
        <w:rPr>
          <w:szCs w:val="24"/>
        </w:rPr>
      </w:pPr>
      <w:r w:rsidRPr="003520DA">
        <w:rPr>
          <w:szCs w:val="24"/>
        </w:rPr>
        <w:t>22.7</w:t>
      </w:r>
      <w:r w:rsidRPr="003520DA">
        <w:rPr>
          <w:szCs w:val="24"/>
        </w:rPr>
        <w:tab/>
        <w:t xml:space="preserve">À compter du </w:t>
      </w:r>
      <w:r w:rsidRPr="003520DA">
        <w:t>1</w:t>
      </w:r>
      <w:r w:rsidRPr="003520DA">
        <w:rPr>
          <w:vertAlign w:val="superscript"/>
        </w:rPr>
        <w:t>er</w:t>
      </w:r>
      <w:r w:rsidRPr="003520DA">
        <w:t> </w:t>
      </w:r>
      <w:r w:rsidRPr="003520DA">
        <w:rPr>
          <w:szCs w:val="24"/>
        </w:rPr>
        <w:t>septembre 2020, les Parties contractantes appliquant le présent Règlement ne seront plus tenues d</w:t>
      </w:r>
      <w:r w:rsidR="005C2605">
        <w:rPr>
          <w:szCs w:val="24"/>
        </w:rPr>
        <w:t>’</w:t>
      </w:r>
      <w:r w:rsidRPr="003520DA">
        <w:rPr>
          <w:szCs w:val="24"/>
        </w:rPr>
        <w:t>accepter les homologations de type établies conformément aux précédentes séries d</w:t>
      </w:r>
      <w:r w:rsidR="005C2605">
        <w:rPr>
          <w:szCs w:val="24"/>
        </w:rPr>
        <w:t>’</w:t>
      </w:r>
      <w:r w:rsidRPr="003520DA">
        <w:rPr>
          <w:szCs w:val="24"/>
        </w:rPr>
        <w:t>amendements, délivrées pour la première fois après le 1</w:t>
      </w:r>
      <w:r w:rsidRPr="003520DA">
        <w:rPr>
          <w:szCs w:val="24"/>
          <w:vertAlign w:val="superscript"/>
        </w:rPr>
        <w:t>er</w:t>
      </w:r>
      <w:r w:rsidRPr="003520DA">
        <w:rPr>
          <w:szCs w:val="24"/>
        </w:rPr>
        <w:t> septembre 2020.</w:t>
      </w:r>
    </w:p>
    <w:p w14:paraId="41F3CBA3" w14:textId="77777777" w:rsidR="002A4141" w:rsidRPr="003520DA" w:rsidRDefault="002A4141" w:rsidP="005C2605">
      <w:pPr>
        <w:pStyle w:val="SingleTxtG"/>
        <w:ind w:left="2268" w:hanging="1134"/>
        <w:rPr>
          <w:szCs w:val="24"/>
        </w:rPr>
      </w:pPr>
      <w:r w:rsidRPr="003520DA">
        <w:rPr>
          <w:szCs w:val="24"/>
        </w:rPr>
        <w:t>22.8</w:t>
      </w:r>
      <w:r w:rsidRPr="003520DA">
        <w:rPr>
          <w:szCs w:val="24"/>
        </w:rPr>
        <w:tab/>
        <w:t>Jusqu</w:t>
      </w:r>
      <w:r w:rsidR="005C2605">
        <w:rPr>
          <w:szCs w:val="24"/>
        </w:rPr>
        <w:t>’</w:t>
      </w:r>
      <w:r w:rsidRPr="003520DA">
        <w:rPr>
          <w:szCs w:val="24"/>
        </w:rPr>
        <w:t>au 1</w:t>
      </w:r>
      <w:r w:rsidRPr="003520DA">
        <w:rPr>
          <w:szCs w:val="24"/>
          <w:vertAlign w:val="superscript"/>
        </w:rPr>
        <w:t>er</w:t>
      </w:r>
      <w:r w:rsidRPr="003520DA">
        <w:rPr>
          <w:szCs w:val="24"/>
        </w:rPr>
        <w:t xml:space="preserve"> septembre 2021, les Parties contractantes appliquant le présent Règlement seront tenues d</w:t>
      </w:r>
      <w:r w:rsidR="005C2605">
        <w:rPr>
          <w:szCs w:val="24"/>
        </w:rPr>
        <w:t>’</w:t>
      </w:r>
      <w:r w:rsidRPr="003520DA">
        <w:rPr>
          <w:szCs w:val="24"/>
        </w:rPr>
        <w:t>accepter les homologations de type établies conformément aux précédentes séries d</w:t>
      </w:r>
      <w:r w:rsidR="005C2605">
        <w:rPr>
          <w:szCs w:val="24"/>
        </w:rPr>
        <w:t>’</w:t>
      </w:r>
      <w:r w:rsidRPr="003520DA">
        <w:rPr>
          <w:szCs w:val="24"/>
        </w:rPr>
        <w:t>amendements, délivrées pour la première fois avant le 1</w:t>
      </w:r>
      <w:r w:rsidRPr="003520DA">
        <w:rPr>
          <w:szCs w:val="24"/>
          <w:vertAlign w:val="superscript"/>
        </w:rPr>
        <w:t>er</w:t>
      </w:r>
      <w:r w:rsidRPr="003520DA">
        <w:rPr>
          <w:szCs w:val="24"/>
        </w:rPr>
        <w:t xml:space="preserve"> septembre 2020.</w:t>
      </w:r>
    </w:p>
    <w:p w14:paraId="40D80C0C" w14:textId="77777777" w:rsidR="002A4141" w:rsidRPr="003520DA" w:rsidRDefault="002A4141" w:rsidP="005C2605">
      <w:pPr>
        <w:pStyle w:val="SingleTxtG"/>
        <w:ind w:left="2268" w:hanging="1134"/>
        <w:rPr>
          <w:szCs w:val="24"/>
        </w:rPr>
      </w:pPr>
      <w:r w:rsidRPr="003520DA">
        <w:rPr>
          <w:szCs w:val="24"/>
        </w:rPr>
        <w:t>22.9</w:t>
      </w:r>
      <w:r w:rsidRPr="003520DA">
        <w:rPr>
          <w:szCs w:val="24"/>
        </w:rPr>
        <w:tab/>
        <w:t>À compter du 1</w:t>
      </w:r>
      <w:r w:rsidRPr="003520DA">
        <w:rPr>
          <w:szCs w:val="24"/>
          <w:vertAlign w:val="superscript"/>
        </w:rPr>
        <w:t>er</w:t>
      </w:r>
      <w:r w:rsidRPr="003520DA">
        <w:rPr>
          <w:szCs w:val="24"/>
        </w:rPr>
        <w:t xml:space="preserve"> septembre 2021, les Parties contractantes appliquant le présent Règlement ne seront </w:t>
      </w:r>
      <w:r w:rsidRPr="003520DA">
        <w:t>plus</w:t>
      </w:r>
      <w:r w:rsidRPr="003520DA">
        <w:rPr>
          <w:szCs w:val="24"/>
        </w:rPr>
        <w:t xml:space="preserve"> tenues d</w:t>
      </w:r>
      <w:r w:rsidR="005C2605">
        <w:rPr>
          <w:szCs w:val="24"/>
        </w:rPr>
        <w:t>’</w:t>
      </w:r>
      <w:r w:rsidRPr="003520DA">
        <w:rPr>
          <w:szCs w:val="24"/>
        </w:rPr>
        <w:t>accepter les homologations de type délivrées en vertu des précédentes séries d</w:t>
      </w:r>
      <w:r w:rsidR="005C2605">
        <w:rPr>
          <w:szCs w:val="24"/>
        </w:rPr>
        <w:t>’</w:t>
      </w:r>
      <w:r w:rsidRPr="003520DA">
        <w:rPr>
          <w:szCs w:val="24"/>
        </w:rPr>
        <w:t>amendements audit Règlement.</w:t>
      </w:r>
    </w:p>
    <w:p w14:paraId="3B530E6A" w14:textId="77777777" w:rsidR="002A4141" w:rsidRPr="003520DA" w:rsidRDefault="002A4141" w:rsidP="005C2605">
      <w:pPr>
        <w:pStyle w:val="SingleTxtG"/>
        <w:ind w:left="2268" w:hanging="1134"/>
        <w:rPr>
          <w:szCs w:val="24"/>
        </w:rPr>
      </w:pPr>
      <w:r w:rsidRPr="003520DA">
        <w:rPr>
          <w:szCs w:val="24"/>
        </w:rPr>
        <w:t>22.10</w:t>
      </w:r>
      <w:r w:rsidRPr="003520DA">
        <w:rPr>
          <w:szCs w:val="24"/>
        </w:rPr>
        <w:tab/>
        <w:t xml:space="preserve">Nonobstant les dispositions du </w:t>
      </w:r>
      <w:r w:rsidRPr="003520DA">
        <w:t>paragraphe </w:t>
      </w:r>
      <w:r w:rsidRPr="003520DA">
        <w:rPr>
          <w:szCs w:val="24"/>
        </w:rPr>
        <w:t>22.9, les Parties contractantes appliquant le présent Règlement continueront de reconnaître les homologations de type délivrées pour des équipements ou des pièces au titre des précédentes séries d</w:t>
      </w:r>
      <w:r w:rsidR="005C2605">
        <w:rPr>
          <w:szCs w:val="24"/>
        </w:rPr>
        <w:t>’</w:t>
      </w:r>
      <w:r w:rsidRPr="003520DA">
        <w:rPr>
          <w:szCs w:val="24"/>
        </w:rPr>
        <w:t>amendements audit Règlement.</w:t>
      </w:r>
    </w:p>
    <w:p w14:paraId="7C5CBB1E" w14:textId="77777777" w:rsidR="002A4141" w:rsidRPr="003520DA" w:rsidRDefault="002A4141" w:rsidP="005C2605">
      <w:pPr>
        <w:pStyle w:val="SingleTxtG"/>
        <w:ind w:left="2268" w:hanging="1134"/>
        <w:rPr>
          <w:szCs w:val="24"/>
        </w:rPr>
      </w:pPr>
      <w:r w:rsidRPr="003520DA">
        <w:rPr>
          <w:szCs w:val="24"/>
        </w:rPr>
        <w:t>22.11</w:t>
      </w:r>
      <w:r w:rsidRPr="003520DA">
        <w:rPr>
          <w:szCs w:val="24"/>
        </w:rPr>
        <w:tab/>
        <w:t xml:space="preserve">Nonobstant les dispositions du </w:t>
      </w:r>
      <w:r w:rsidRPr="003520DA">
        <w:t>paragraphe</w:t>
      </w:r>
      <w:r w:rsidRPr="003520DA">
        <w:rPr>
          <w:szCs w:val="24"/>
        </w:rPr>
        <w:t> 22.9, les Parties contractantes appliquant le présent Règlement continueront de reconnaître les homologations de type délivrées au titre des précédentes séries d</w:t>
      </w:r>
      <w:r w:rsidR="005C2605">
        <w:rPr>
          <w:szCs w:val="24"/>
        </w:rPr>
        <w:t>’</w:t>
      </w:r>
      <w:r w:rsidRPr="003520DA">
        <w:rPr>
          <w:szCs w:val="24"/>
        </w:rPr>
        <w:t>amendements audit Règlement pour les véhicules ou les systèmes pour véhicules non concernés par les modifications apportées par la série 02 d</w:t>
      </w:r>
      <w:r w:rsidR="005C2605">
        <w:rPr>
          <w:szCs w:val="24"/>
        </w:rPr>
        <w:t>’</w:t>
      </w:r>
      <w:r w:rsidRPr="003520DA">
        <w:rPr>
          <w:szCs w:val="24"/>
        </w:rPr>
        <w:t>amendements.</w:t>
      </w:r>
    </w:p>
    <w:p w14:paraId="0C835A19" w14:textId="77777777" w:rsidR="002A4141" w:rsidRPr="003520DA" w:rsidRDefault="002A4141" w:rsidP="005C2605">
      <w:pPr>
        <w:pStyle w:val="SingleTxtG"/>
        <w:ind w:left="2268" w:hanging="1134"/>
        <w:rPr>
          <w:szCs w:val="24"/>
        </w:rPr>
      </w:pPr>
      <w:r w:rsidRPr="003520DA">
        <w:rPr>
          <w:szCs w:val="24"/>
        </w:rPr>
        <w:t>22.12</w:t>
      </w:r>
      <w:r w:rsidRPr="003520DA">
        <w:rPr>
          <w:szCs w:val="24"/>
        </w:rPr>
        <w:tab/>
        <w:t xml:space="preserve">Les Parties contractantes appliquant le </w:t>
      </w:r>
      <w:r w:rsidRPr="003520DA">
        <w:t>présent</w:t>
      </w:r>
      <w:r w:rsidRPr="003520DA">
        <w:rPr>
          <w:szCs w:val="24"/>
        </w:rPr>
        <w:t xml:space="preserve"> Règlement ne pourront refuser d</w:t>
      </w:r>
      <w:r w:rsidR="005C2605">
        <w:rPr>
          <w:szCs w:val="24"/>
        </w:rPr>
        <w:t>’</w:t>
      </w:r>
      <w:r w:rsidRPr="003520DA">
        <w:rPr>
          <w:szCs w:val="24"/>
        </w:rPr>
        <w:t>accorder des homologations de type en vertu de l</w:t>
      </w:r>
      <w:r w:rsidR="005C2605">
        <w:rPr>
          <w:szCs w:val="24"/>
        </w:rPr>
        <w:t>’</w:t>
      </w:r>
      <w:r w:rsidRPr="003520DA">
        <w:rPr>
          <w:szCs w:val="24"/>
        </w:rPr>
        <w:t>une quelconque des précédentes séries d</w:t>
      </w:r>
      <w:r w:rsidR="005C2605">
        <w:rPr>
          <w:szCs w:val="24"/>
        </w:rPr>
        <w:t>’</w:t>
      </w:r>
      <w:r w:rsidRPr="003520DA">
        <w:rPr>
          <w:szCs w:val="24"/>
        </w:rPr>
        <w:t>amendements audit Règlement, ou d</w:t>
      </w:r>
      <w:r w:rsidR="005C2605">
        <w:rPr>
          <w:szCs w:val="24"/>
        </w:rPr>
        <w:t>’</w:t>
      </w:r>
      <w:r w:rsidRPr="003520DA">
        <w:rPr>
          <w:szCs w:val="24"/>
        </w:rPr>
        <w:t>accorder des extensions pour les homologations en question.</w:t>
      </w:r>
    </w:p>
    <w:p w14:paraId="26242FA6" w14:textId="77777777" w:rsidR="002A4141" w:rsidRPr="003520DA" w:rsidRDefault="002A4141" w:rsidP="005C2605">
      <w:pPr>
        <w:pStyle w:val="SingleTxtG"/>
        <w:ind w:left="2268" w:hanging="1134"/>
        <w:rPr>
          <w:szCs w:val="24"/>
        </w:rPr>
      </w:pPr>
      <w:r w:rsidRPr="003520DA">
        <w:rPr>
          <w:szCs w:val="24"/>
        </w:rPr>
        <w:t>22.13</w:t>
      </w:r>
      <w:r w:rsidRPr="003520DA">
        <w:rPr>
          <w:szCs w:val="24"/>
        </w:rPr>
        <w:tab/>
        <w:t>À compter du 1</w:t>
      </w:r>
      <w:r w:rsidRPr="003520DA">
        <w:rPr>
          <w:szCs w:val="24"/>
          <w:vertAlign w:val="superscript"/>
        </w:rPr>
        <w:t>er</w:t>
      </w:r>
      <w:r w:rsidRPr="003520DA">
        <w:rPr>
          <w:szCs w:val="24"/>
        </w:rPr>
        <w:t xml:space="preserve"> septembre 2021, les </w:t>
      </w:r>
      <w:r w:rsidRPr="003520DA">
        <w:t>Parties</w:t>
      </w:r>
      <w:r w:rsidRPr="003520DA">
        <w:rPr>
          <w:szCs w:val="24"/>
        </w:rPr>
        <w:t xml:space="preserve"> contractantes appliquant le présent Règlement pourront refuser l</w:t>
      </w:r>
      <w:r w:rsidR="005C2605">
        <w:rPr>
          <w:szCs w:val="24"/>
        </w:rPr>
        <w:t>’</w:t>
      </w:r>
      <w:r w:rsidRPr="003520DA">
        <w:rPr>
          <w:szCs w:val="24"/>
        </w:rPr>
        <w:t>homologation de type nationale ou régionale et refuser la première immatriculation d</w:t>
      </w:r>
      <w:r w:rsidR="005C2605">
        <w:rPr>
          <w:szCs w:val="24"/>
        </w:rPr>
        <w:t>’</w:t>
      </w:r>
      <w:r w:rsidRPr="003520DA">
        <w:rPr>
          <w:szCs w:val="24"/>
        </w:rPr>
        <w:t>un type de véhicule si celui-ci est concerné par les modifications introduites par la série 02 d</w:t>
      </w:r>
      <w:r w:rsidR="005C2605">
        <w:rPr>
          <w:szCs w:val="24"/>
        </w:rPr>
        <w:t>’</w:t>
      </w:r>
      <w:r w:rsidRPr="003520DA">
        <w:rPr>
          <w:szCs w:val="24"/>
        </w:rPr>
        <w:t xml:space="preserve">amendements audit Règlement mais ne satisfait pas aux prescriptions </w:t>
      </w:r>
      <w:proofErr w:type="gramStart"/>
      <w:r w:rsidRPr="003520DA">
        <w:rPr>
          <w:szCs w:val="24"/>
        </w:rPr>
        <w:t>qu</w:t>
      </w:r>
      <w:r w:rsidR="005C2605">
        <w:rPr>
          <w:szCs w:val="24"/>
        </w:rPr>
        <w:t>’</w:t>
      </w:r>
      <w:r w:rsidRPr="003520DA">
        <w:rPr>
          <w:szCs w:val="24"/>
        </w:rPr>
        <w:t>elle</w:t>
      </w:r>
      <w:proofErr w:type="gramEnd"/>
      <w:r w:rsidRPr="003520DA">
        <w:rPr>
          <w:szCs w:val="24"/>
        </w:rPr>
        <w:t xml:space="preserve"> énonce. ».</w:t>
      </w:r>
    </w:p>
    <w:p w14:paraId="5544C07B" w14:textId="77777777" w:rsidR="002A4141" w:rsidRDefault="002A4141" w:rsidP="005C2605">
      <w:pPr>
        <w:pStyle w:val="SingleTxtG"/>
        <w:spacing w:after="0"/>
      </w:pPr>
      <w:r w:rsidRPr="003520DA">
        <w:rPr>
          <w:i/>
          <w:szCs w:val="24"/>
        </w:rPr>
        <w:t>Dans l</w:t>
      </w:r>
      <w:r w:rsidR="005C2605">
        <w:rPr>
          <w:i/>
          <w:szCs w:val="24"/>
        </w:rPr>
        <w:t>’</w:t>
      </w:r>
      <w:r w:rsidRPr="003520DA">
        <w:rPr>
          <w:i/>
          <w:szCs w:val="24"/>
        </w:rPr>
        <w:t>ensemble des annexes 2A et 2C (Modèle A et Modèle B),</w:t>
      </w:r>
      <w:r w:rsidRPr="003520DA">
        <w:rPr>
          <w:szCs w:val="24"/>
        </w:rPr>
        <w:t xml:space="preserve"> remplacer « 01 » par « 02 » (9 fois).</w:t>
      </w:r>
    </w:p>
    <w:p w14:paraId="49990BF8" w14:textId="77777777" w:rsidR="005F0207" w:rsidRPr="005C2605" w:rsidRDefault="005C2605" w:rsidP="005C2605">
      <w:pPr>
        <w:pStyle w:val="SingleTxtG"/>
        <w:spacing w:before="240" w:after="0"/>
        <w:jc w:val="center"/>
        <w:rPr>
          <w:u w:val="single"/>
        </w:rPr>
      </w:pPr>
      <w:r>
        <w:rPr>
          <w:u w:val="single"/>
        </w:rPr>
        <w:tab/>
      </w:r>
      <w:r>
        <w:rPr>
          <w:u w:val="single"/>
        </w:rPr>
        <w:tab/>
      </w:r>
      <w:r>
        <w:rPr>
          <w:u w:val="single"/>
        </w:rPr>
        <w:tab/>
      </w:r>
    </w:p>
    <w:sectPr w:rsidR="005F0207" w:rsidRPr="005C2605" w:rsidSect="002A4141">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6377" w14:textId="77777777" w:rsidR="003612FF" w:rsidRDefault="003612FF"/>
  </w:endnote>
  <w:endnote w:type="continuationSeparator" w:id="0">
    <w:p w14:paraId="100C7B06" w14:textId="77777777" w:rsidR="003612FF" w:rsidRDefault="003612FF">
      <w:pPr>
        <w:pStyle w:val="Footer"/>
      </w:pPr>
    </w:p>
  </w:endnote>
  <w:endnote w:type="continuationNotice" w:id="1">
    <w:p w14:paraId="0C1727CC" w14:textId="77777777" w:rsidR="003612FF" w:rsidRPr="00C451B9" w:rsidRDefault="003612F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BC02" w14:textId="77777777" w:rsidR="002A4141" w:rsidRPr="002A4141" w:rsidRDefault="002A4141" w:rsidP="002A4141">
    <w:pPr>
      <w:pStyle w:val="Footer"/>
      <w:tabs>
        <w:tab w:val="right" w:pos="9638"/>
      </w:tabs>
    </w:pPr>
    <w:r w:rsidRPr="002A4141">
      <w:rPr>
        <w:b/>
        <w:sz w:val="18"/>
      </w:rPr>
      <w:fldChar w:fldCharType="begin"/>
    </w:r>
    <w:r w:rsidRPr="002A4141">
      <w:rPr>
        <w:b/>
        <w:sz w:val="18"/>
      </w:rPr>
      <w:instrText xml:space="preserve"> PAGE  \* MERGEFORMAT </w:instrText>
    </w:r>
    <w:r w:rsidRPr="002A4141">
      <w:rPr>
        <w:b/>
        <w:sz w:val="18"/>
      </w:rPr>
      <w:fldChar w:fldCharType="separate"/>
    </w:r>
    <w:r w:rsidRPr="002A4141">
      <w:rPr>
        <w:b/>
        <w:noProof/>
        <w:sz w:val="18"/>
      </w:rPr>
      <w:t>2</w:t>
    </w:r>
    <w:r w:rsidRPr="002A4141">
      <w:rPr>
        <w:b/>
        <w:sz w:val="18"/>
      </w:rPr>
      <w:fldChar w:fldCharType="end"/>
    </w:r>
    <w:r>
      <w:rPr>
        <w:b/>
        <w:sz w:val="18"/>
      </w:rPr>
      <w:tab/>
    </w:r>
    <w:r>
      <w:t>GE.19-10441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B74F" w14:textId="77777777" w:rsidR="002A4141" w:rsidRPr="002A4141" w:rsidRDefault="002A4141" w:rsidP="002A4141">
    <w:pPr>
      <w:pStyle w:val="Footer"/>
      <w:tabs>
        <w:tab w:val="right" w:pos="9638"/>
      </w:tabs>
      <w:rPr>
        <w:b/>
        <w:sz w:val="18"/>
      </w:rPr>
    </w:pPr>
    <w:r>
      <w:t>GE.19-10441</w:t>
    </w:r>
    <w:r>
      <w:tab/>
    </w:r>
    <w:r w:rsidRPr="002A4141">
      <w:rPr>
        <w:b/>
        <w:sz w:val="18"/>
      </w:rPr>
      <w:fldChar w:fldCharType="begin"/>
    </w:r>
    <w:r w:rsidRPr="002A4141">
      <w:rPr>
        <w:b/>
        <w:sz w:val="18"/>
      </w:rPr>
      <w:instrText xml:space="preserve"> PAGE  \* MERGEFORMAT </w:instrText>
    </w:r>
    <w:r w:rsidRPr="002A4141">
      <w:rPr>
        <w:b/>
        <w:sz w:val="18"/>
      </w:rPr>
      <w:fldChar w:fldCharType="separate"/>
    </w:r>
    <w:r w:rsidRPr="002A4141">
      <w:rPr>
        <w:b/>
        <w:noProof/>
        <w:sz w:val="18"/>
      </w:rPr>
      <w:t>3</w:t>
    </w:r>
    <w:r w:rsidRPr="002A41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0D6D" w14:textId="77777777" w:rsidR="00467F2C" w:rsidRPr="002A4141" w:rsidRDefault="002A4141" w:rsidP="002A4141">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5F3B84C9" wp14:editId="579776D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10441  (</w:t>
    </w:r>
    <w:proofErr w:type="gramEnd"/>
    <w:r>
      <w:rPr>
        <w:sz w:val="20"/>
      </w:rPr>
      <w:t>F)</w:t>
    </w:r>
    <w:r w:rsidR="005C2605">
      <w:rPr>
        <w:sz w:val="20"/>
      </w:rPr>
      <w:t xml:space="preserve">    221119    261119</w:t>
    </w:r>
    <w:r>
      <w:rPr>
        <w:sz w:val="20"/>
      </w:rPr>
      <w:br/>
    </w:r>
    <w:r w:rsidRPr="002A4141">
      <w:rPr>
        <w:rFonts w:ascii="C39T30Lfz" w:hAnsi="C39T30Lfz"/>
        <w:sz w:val="56"/>
      </w:rPr>
      <w:t></w:t>
    </w:r>
    <w:r w:rsidRPr="002A4141">
      <w:rPr>
        <w:rFonts w:ascii="C39T30Lfz" w:hAnsi="C39T30Lfz"/>
        <w:sz w:val="56"/>
      </w:rPr>
      <w:t></w:t>
    </w:r>
    <w:r w:rsidRPr="002A4141">
      <w:rPr>
        <w:rFonts w:ascii="C39T30Lfz" w:hAnsi="C39T30Lfz"/>
        <w:sz w:val="56"/>
      </w:rPr>
      <w:t></w:t>
    </w:r>
    <w:r w:rsidRPr="002A4141">
      <w:rPr>
        <w:rFonts w:ascii="C39T30Lfz" w:hAnsi="C39T30Lfz"/>
        <w:sz w:val="56"/>
      </w:rPr>
      <w:t></w:t>
    </w:r>
    <w:r w:rsidRPr="002A4141">
      <w:rPr>
        <w:rFonts w:ascii="C39T30Lfz" w:hAnsi="C39T30Lfz"/>
        <w:sz w:val="56"/>
      </w:rPr>
      <w:t></w:t>
    </w:r>
    <w:r w:rsidRPr="002A4141">
      <w:rPr>
        <w:rFonts w:ascii="C39T30Lfz" w:hAnsi="C39T30Lfz"/>
        <w:sz w:val="56"/>
      </w:rPr>
      <w:t></w:t>
    </w:r>
    <w:r w:rsidRPr="002A4141">
      <w:rPr>
        <w:rFonts w:ascii="C39T30Lfz" w:hAnsi="C39T30Lfz"/>
        <w:sz w:val="56"/>
      </w:rPr>
      <w:t></w:t>
    </w:r>
    <w:r w:rsidRPr="002A4141">
      <w:rPr>
        <w:rFonts w:ascii="C39T30Lfz" w:hAnsi="C39T30Lfz"/>
        <w:sz w:val="56"/>
      </w:rPr>
      <w:t></w:t>
    </w:r>
    <w:r w:rsidRPr="002A4141">
      <w:rPr>
        <w:rFonts w:ascii="C39T30Lfz" w:hAnsi="C39T30Lfz"/>
        <w:sz w:val="56"/>
      </w:rPr>
      <w:t></w:t>
    </w:r>
    <w:r>
      <w:rPr>
        <w:noProof/>
        <w:sz w:val="20"/>
      </w:rPr>
      <w:drawing>
        <wp:anchor distT="0" distB="0" distL="114300" distR="114300" simplePos="0" relativeHeight="251658240" behindDoc="0" locked="0" layoutInCell="1" allowOverlap="1" wp14:anchorId="281969B2" wp14:editId="68B7EBB4">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66/Rev.4/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6/Rev.4/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69D49" w14:textId="77777777" w:rsidR="003612FF" w:rsidRPr="00D27D5E" w:rsidRDefault="003612FF" w:rsidP="00D27D5E">
      <w:pPr>
        <w:tabs>
          <w:tab w:val="right" w:pos="2155"/>
        </w:tabs>
        <w:spacing w:after="80"/>
        <w:ind w:left="680"/>
        <w:rPr>
          <w:u w:val="single"/>
        </w:rPr>
      </w:pPr>
      <w:r>
        <w:rPr>
          <w:u w:val="single"/>
        </w:rPr>
        <w:tab/>
      </w:r>
    </w:p>
  </w:footnote>
  <w:footnote w:type="continuationSeparator" w:id="0">
    <w:p w14:paraId="7F918A92" w14:textId="77777777" w:rsidR="003612FF" w:rsidRPr="00D171D4" w:rsidRDefault="003612FF" w:rsidP="00D171D4">
      <w:pPr>
        <w:tabs>
          <w:tab w:val="right" w:pos="2155"/>
        </w:tabs>
        <w:spacing w:after="80"/>
        <w:ind w:left="680"/>
        <w:rPr>
          <w:u w:val="single"/>
        </w:rPr>
      </w:pPr>
      <w:r w:rsidRPr="00D171D4">
        <w:rPr>
          <w:u w:val="single"/>
        </w:rPr>
        <w:tab/>
      </w:r>
    </w:p>
  </w:footnote>
  <w:footnote w:type="continuationNotice" w:id="1">
    <w:p w14:paraId="34132CEF" w14:textId="77777777" w:rsidR="003612FF" w:rsidRPr="00C451B9" w:rsidRDefault="003612FF" w:rsidP="00C451B9">
      <w:pPr>
        <w:spacing w:line="240" w:lineRule="auto"/>
        <w:rPr>
          <w:sz w:val="2"/>
          <w:szCs w:val="2"/>
        </w:rPr>
      </w:pPr>
    </w:p>
  </w:footnote>
  <w:footnote w:id="2">
    <w:p w14:paraId="670FBCA0" w14:textId="77777777" w:rsidR="002A4141" w:rsidRPr="001D1995" w:rsidRDefault="00442E31" w:rsidP="002A4141">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2A4141" w:rsidRPr="001D1995">
        <w:t>Anciens titres de l</w:t>
      </w:r>
      <w:r w:rsidR="005C2605">
        <w:t>’</w:t>
      </w:r>
      <w:r w:rsidR="002A4141" w:rsidRPr="001D1995">
        <w:t>Accord :</w:t>
      </w:r>
    </w:p>
    <w:p w14:paraId="61C43CBC" w14:textId="77777777" w:rsidR="002A4141" w:rsidRPr="001D1995" w:rsidRDefault="002A4141" w:rsidP="002A4141">
      <w:pPr>
        <w:pStyle w:val="FootnoteText"/>
        <w:rPr>
          <w:sz w:val="20"/>
        </w:rPr>
      </w:pPr>
      <w:r w:rsidRPr="001D1995">
        <w:tab/>
      </w:r>
      <w:r w:rsidRPr="001D1995">
        <w:tab/>
      </w:r>
      <w:r w:rsidRPr="001D1995">
        <w:rPr>
          <w:spacing w:val="-4"/>
        </w:rPr>
        <w:t>Accord concernant l</w:t>
      </w:r>
      <w:r w:rsidR="005C2605">
        <w:rPr>
          <w:spacing w:val="-4"/>
        </w:rPr>
        <w:t>’</w:t>
      </w:r>
      <w:r w:rsidRPr="001D1995">
        <w:rPr>
          <w:spacing w:val="-4"/>
        </w:rPr>
        <w:t>adoption de conditions uniformes d</w:t>
      </w:r>
      <w:r w:rsidR="005C2605">
        <w:rPr>
          <w:spacing w:val="-4"/>
        </w:rPr>
        <w:t>’</w:t>
      </w:r>
      <w:r w:rsidRPr="001D1995">
        <w:rPr>
          <w:spacing w:val="-4"/>
        </w:rPr>
        <w:t>homologation et la reconnaissance réciproque de l</w:t>
      </w:r>
      <w:r w:rsidR="005C2605">
        <w:rPr>
          <w:spacing w:val="-4"/>
        </w:rPr>
        <w:t>’</w:t>
      </w:r>
      <w:r w:rsidRPr="001D1995">
        <w:rPr>
          <w:spacing w:val="-4"/>
        </w:rPr>
        <w:t>homologation des équipements et pièces de véhicules à moteur, en date, à Genève, du 20 mars 1958 (version originale)</w:t>
      </w:r>
      <w:r>
        <w:rPr>
          <w:spacing w:val="-4"/>
        </w:rPr>
        <w:t> ;</w:t>
      </w:r>
    </w:p>
    <w:p w14:paraId="405AE6BE" w14:textId="77777777" w:rsidR="00442E31" w:rsidRPr="00442E31" w:rsidRDefault="002A4141" w:rsidP="002A4141">
      <w:pPr>
        <w:pStyle w:val="FootnoteText"/>
      </w:pPr>
      <w:r w:rsidRPr="001D1995">
        <w:tab/>
      </w:r>
      <w:r w:rsidRPr="001D1995">
        <w:tab/>
        <w:t>Accord concernant l</w:t>
      </w:r>
      <w:r w:rsidR="005C2605">
        <w:t>’</w:t>
      </w:r>
      <w:r w:rsidRPr="001D1995">
        <w:t>adoption de prescriptions techniques uniformes applicables aux véhicules à roues, aux équipements et aux pièces susceptibles d</w:t>
      </w:r>
      <w:r w:rsidR="005C2605">
        <w:t>’</w:t>
      </w:r>
      <w:r w:rsidRPr="001D1995">
        <w:t>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C758" w14:textId="04F18D1C" w:rsidR="002A4141" w:rsidRPr="002A4141" w:rsidRDefault="002A4141">
    <w:pPr>
      <w:pStyle w:val="Header"/>
      <w:rPr>
        <w:lang w:val="en-US"/>
      </w:rPr>
    </w:pPr>
    <w:r>
      <w:fldChar w:fldCharType="begin"/>
    </w:r>
    <w:r w:rsidRPr="002A4141">
      <w:rPr>
        <w:lang w:val="en-US"/>
      </w:rPr>
      <w:instrText xml:space="preserve"> TITLE  \* MERGEFORMAT </w:instrText>
    </w:r>
    <w:r>
      <w:fldChar w:fldCharType="separate"/>
    </w:r>
    <w:r w:rsidR="006D4937">
      <w:rPr>
        <w:lang w:val="en-US"/>
      </w:rPr>
      <w:t>E/ECE/324/Rev.1/Add.66/Rev.4/Amend.2</w:t>
    </w:r>
    <w:r>
      <w:fldChar w:fldCharType="end"/>
    </w:r>
    <w:r w:rsidRPr="002A4141">
      <w:rPr>
        <w:lang w:val="en-US"/>
      </w:rPr>
      <w:br/>
    </w:r>
    <w:r>
      <w:fldChar w:fldCharType="begin"/>
    </w:r>
    <w:r w:rsidRPr="002A4141">
      <w:rPr>
        <w:lang w:val="en-US"/>
      </w:rPr>
      <w:instrText xml:space="preserve"> KEYWORDS  \* MERGEFORMAT </w:instrText>
    </w:r>
    <w:r>
      <w:fldChar w:fldCharType="separate"/>
    </w:r>
    <w:r w:rsidR="006D4937">
      <w:rPr>
        <w:lang w:val="en-US"/>
      </w:rPr>
      <w:t>E/ECE/TRANS/505/Rev.1/Add.66/Rev.4/Amend.2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EF0C" w14:textId="61CAE2DA" w:rsidR="002A4141" w:rsidRPr="002A4141" w:rsidRDefault="002A4141" w:rsidP="002A4141">
    <w:pPr>
      <w:pStyle w:val="Header"/>
      <w:jc w:val="right"/>
      <w:rPr>
        <w:lang w:val="en-US"/>
      </w:rPr>
    </w:pPr>
    <w:r>
      <w:fldChar w:fldCharType="begin"/>
    </w:r>
    <w:r w:rsidRPr="002A4141">
      <w:rPr>
        <w:lang w:val="en-US"/>
      </w:rPr>
      <w:instrText xml:space="preserve"> TITLE  \* MERGEFORMAT </w:instrText>
    </w:r>
    <w:r>
      <w:fldChar w:fldCharType="separate"/>
    </w:r>
    <w:r w:rsidR="006D4937">
      <w:rPr>
        <w:lang w:val="en-US"/>
      </w:rPr>
      <w:t>E/ECE/324/Rev.1/Add.66/Rev.4/Amend.2</w:t>
    </w:r>
    <w:r>
      <w:fldChar w:fldCharType="end"/>
    </w:r>
    <w:r w:rsidRPr="002A4141">
      <w:rPr>
        <w:lang w:val="en-US"/>
      </w:rPr>
      <w:br/>
    </w:r>
    <w:r>
      <w:fldChar w:fldCharType="begin"/>
    </w:r>
    <w:r w:rsidRPr="002A4141">
      <w:rPr>
        <w:lang w:val="en-US"/>
      </w:rPr>
      <w:instrText xml:space="preserve"> KEYWORDS  \* MERGEFORMAT </w:instrText>
    </w:r>
    <w:r>
      <w:fldChar w:fldCharType="separate"/>
    </w:r>
    <w:r w:rsidR="006D4937">
      <w:rPr>
        <w:lang w:val="en-US"/>
      </w:rPr>
      <w:t>E/ECE/TRANS/505/Rev.1/Add.66/Rev.4/Amend.2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F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4141"/>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12FF"/>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2605"/>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D4937"/>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77AD3"/>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0213"/>
    <w:rsid w:val="00F424BD"/>
    <w:rsid w:val="00F4527A"/>
    <w:rsid w:val="00F45D41"/>
    <w:rsid w:val="00F515AD"/>
    <w:rsid w:val="00F57DD7"/>
    <w:rsid w:val="00F636AD"/>
    <w:rsid w:val="00F6707F"/>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F021546"/>
  <w15:docId w15:val="{64D3D45A-76C5-4B84-BCFA-6761946F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uiPriority w:val="99"/>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uiPriority w:val="99"/>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E/ECE/324/Rev.1/Add.66/Rev.4/Amend.2</vt:lpstr>
      <vt:lpstr>E/ECE/324/Rev.1/Add.66/Rev.4/Amend.2</vt:lpstr>
    </vt:vector>
  </TitlesOfParts>
  <Company>CSD</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E/ECE/324/Rev.1/Add.66/Rev.4/Amend.2</dc:title>
  <dc:creator>Julien OKRZESIK</dc:creator>
  <cp:keywords>E/ECE/TRANS/505/Rev.1/Add.66/Rev.4/Amend.2</cp:keywords>
  <cp:lastModifiedBy>Marie-Claude Collet</cp:lastModifiedBy>
  <cp:revision>3</cp:revision>
  <cp:lastPrinted>2019-12-05T12:51:00Z</cp:lastPrinted>
  <dcterms:created xsi:type="dcterms:W3CDTF">2019-12-05T12:51:00Z</dcterms:created>
  <dcterms:modified xsi:type="dcterms:W3CDTF">2019-12-05T12:51:00Z</dcterms:modified>
</cp:coreProperties>
</file>