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14:paraId="1CF01AC3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B6BFFD" w14:textId="77777777" w:rsidR="00D63D87" w:rsidRPr="00DB58B5" w:rsidRDefault="00D63D87" w:rsidP="00D63D87">
            <w:pPr>
              <w:jc w:val="right"/>
            </w:pPr>
            <w:bookmarkStart w:id="0" w:name="_GoBack"/>
            <w:bookmarkEnd w:id="0"/>
            <w:r w:rsidRPr="00D63D87">
              <w:rPr>
                <w:sz w:val="40"/>
              </w:rPr>
              <w:t>E</w:t>
            </w:r>
            <w:r>
              <w:t>/ECE/324/Rev.1/Add.66/Rev.5/Amend.1−</w:t>
            </w:r>
            <w:r w:rsidRPr="00D63D87">
              <w:rPr>
                <w:sz w:val="40"/>
              </w:rPr>
              <w:t>E</w:t>
            </w:r>
            <w:r>
              <w:t>/ECE/TRANS/505/Rev.1/Add.66/Rev.5/Amend.1</w:t>
            </w:r>
          </w:p>
        </w:tc>
      </w:tr>
      <w:tr w:rsidR="00421A10" w:rsidRPr="00DB58B5" w14:paraId="65B1DCE8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23F7A1D" w14:textId="77777777" w:rsidR="00421A10" w:rsidRPr="00A574B7" w:rsidRDefault="00421A10" w:rsidP="00A27C92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83C8B1F" w14:textId="77777777" w:rsidR="00421A10" w:rsidRPr="00DB58B5" w:rsidRDefault="00D63D87" w:rsidP="00A27C92">
            <w:pPr>
              <w:spacing w:before="480" w:line="240" w:lineRule="exact"/>
            </w:pPr>
            <w:r>
              <w:t>11 novembre 2019</w:t>
            </w:r>
          </w:p>
        </w:tc>
      </w:tr>
    </w:tbl>
    <w:p w14:paraId="73749668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5ABB03B9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DD1478" w:rsidRPr="0014151F">
        <w:rPr>
          <w:lang w:val="fr-FR"/>
        </w:rPr>
        <w:t>de Règlements techniques harmonisés de l</w:t>
      </w:r>
      <w:r w:rsidR="00DD1478">
        <w:rPr>
          <w:lang w:val="fr-FR"/>
        </w:rPr>
        <w:t>’</w:t>
      </w:r>
      <w:r w:rsidR="00DD1478" w:rsidRPr="0014151F">
        <w:rPr>
          <w:lang w:val="fr-FR"/>
        </w:rPr>
        <w:t>ONU applicables aux véhicules à roues et aux équipements et pièces susceptibles d</w:t>
      </w:r>
      <w:r w:rsidR="00DD1478">
        <w:rPr>
          <w:lang w:val="fr-FR"/>
        </w:rPr>
        <w:t>’</w:t>
      </w:r>
      <w:r w:rsidR="00DD1478" w:rsidRPr="0014151F">
        <w:rPr>
          <w:lang w:val="fr-FR"/>
        </w:rPr>
        <w:t>être montés ou utilisés sur les véhicules à roues et les conditions de reconnaissance réciproque des homologations délivrées conformément à ces Règlements</w:t>
      </w:r>
      <w:r w:rsidR="00442E31" w:rsidRPr="00DD1478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538AB86E" w14:textId="77777777" w:rsidR="00421A10" w:rsidRPr="00A12483" w:rsidRDefault="00421A10" w:rsidP="00DD1478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DD1478" w:rsidRPr="00DD1478">
        <w:rPr>
          <w:lang w:val="fr-FR"/>
        </w:rPr>
        <w:t>Révision 3, comprenant les amendements entrés en vigueur le 14 septembre 2017</w:t>
      </w:r>
      <w:r w:rsidRPr="006549FF">
        <w:t>)</w:t>
      </w:r>
    </w:p>
    <w:p w14:paraId="0BD24734" w14:textId="77777777" w:rsidR="00421A10" w:rsidRPr="006549FF" w:rsidRDefault="0029791D" w:rsidP="0029791D">
      <w:pPr>
        <w:jc w:val="center"/>
      </w:pPr>
      <w:r>
        <w:t>_______________</w:t>
      </w:r>
    </w:p>
    <w:p w14:paraId="1D02574E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DD1478">
        <w:t>66 :</w:t>
      </w:r>
      <w:r w:rsidR="00421A10" w:rsidRPr="006549FF">
        <w:t xml:space="preserve">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DD1478">
        <w:t>67</w:t>
      </w:r>
    </w:p>
    <w:p w14:paraId="7DDC14C3" w14:textId="4F2A762C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DD1478">
        <w:t>5 − Amendemen</w:t>
      </w:r>
      <w:r w:rsidR="0017200E">
        <w:t>t</w:t>
      </w:r>
      <w:r w:rsidR="00DD1478">
        <w:t xml:space="preserve"> 1</w:t>
      </w:r>
    </w:p>
    <w:p w14:paraId="7F157D57" w14:textId="77777777" w:rsidR="00421A10" w:rsidRPr="0029791D" w:rsidRDefault="00DD1478" w:rsidP="00DD1478">
      <w:pPr>
        <w:pStyle w:val="SingleTxtG"/>
        <w:spacing w:after="0"/>
      </w:pPr>
      <w:r w:rsidRPr="00C26CDB">
        <w:rPr>
          <w:spacing w:val="-2"/>
          <w:lang w:val="fr-FR"/>
        </w:rPr>
        <w:t>Complément 1 à la série 02 d</w:t>
      </w:r>
      <w:r>
        <w:rPr>
          <w:spacing w:val="-2"/>
          <w:lang w:val="fr-FR"/>
        </w:rPr>
        <w:t>’</w:t>
      </w:r>
      <w:r w:rsidRPr="00C26CDB">
        <w:rPr>
          <w:spacing w:val="-2"/>
          <w:lang w:val="fr-FR"/>
        </w:rPr>
        <w:t xml:space="preserve">amendements </w:t>
      </w:r>
      <w:r>
        <w:rPr>
          <w:spacing w:val="-2"/>
          <w:lang w:val="fr-FR"/>
        </w:rPr>
        <w:t>−</w:t>
      </w:r>
      <w:r w:rsidRPr="00C26CDB">
        <w:rPr>
          <w:spacing w:val="-2"/>
          <w:lang w:val="fr-FR"/>
        </w:rPr>
        <w:t xml:space="preserve"> Date </w:t>
      </w:r>
      <w:r>
        <w:rPr>
          <w:spacing w:val="-2"/>
          <w:lang w:val="fr-FR"/>
        </w:rPr>
        <w:t>d’entrée en vigueur </w:t>
      </w:r>
      <w:r w:rsidRPr="00C26CDB">
        <w:rPr>
          <w:spacing w:val="-2"/>
          <w:lang w:val="fr-FR"/>
        </w:rPr>
        <w:t xml:space="preserve">: </w:t>
      </w:r>
      <w:r w:rsidRPr="00C26CDB">
        <w:rPr>
          <w:lang w:val="fr-FR"/>
        </w:rPr>
        <w:t>15</w:t>
      </w:r>
      <w:r>
        <w:rPr>
          <w:lang w:val="fr-FR"/>
        </w:rPr>
        <w:t> octobre</w:t>
      </w:r>
      <w:r w:rsidRPr="00C26CDB">
        <w:rPr>
          <w:lang w:val="fr-FR"/>
        </w:rPr>
        <w:t xml:space="preserve"> 2019</w:t>
      </w:r>
    </w:p>
    <w:p w14:paraId="76766039" w14:textId="77777777" w:rsidR="00DD1478" w:rsidRPr="003D317E" w:rsidRDefault="00DD1478" w:rsidP="00DD1478">
      <w:pPr>
        <w:pStyle w:val="H1G"/>
        <w:spacing w:before="120" w:after="120" w:line="240" w:lineRule="exact"/>
        <w:rPr>
          <w:lang w:val="fr-FR"/>
        </w:rPr>
      </w:pPr>
      <w:r w:rsidRPr="00C26CDB">
        <w:rPr>
          <w:lang w:val="fr-FR"/>
        </w:rPr>
        <w:tab/>
      </w:r>
      <w:r w:rsidRPr="00C26CDB">
        <w:rPr>
          <w:lang w:val="fr-FR"/>
        </w:rPr>
        <w:tab/>
      </w:r>
      <w:r w:rsidRPr="003D317E">
        <w:rPr>
          <w:lang w:val="fr-FR"/>
        </w:rPr>
        <w:t>Véhicules alimentés au GPL</w:t>
      </w:r>
    </w:p>
    <w:p w14:paraId="36566105" w14:textId="77777777" w:rsidR="00DD1478" w:rsidRDefault="00DD1478" w:rsidP="00DD1478">
      <w:pPr>
        <w:pStyle w:val="SingleTxtG"/>
        <w:rPr>
          <w:spacing w:val="-6"/>
          <w:lang w:val="fr-FR" w:eastAsia="en-GB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14B65D" wp14:editId="2DA4F676">
                <wp:simplePos x="0" y="0"/>
                <wp:positionH relativeFrom="margin">
                  <wp:posOffset>12700</wp:posOffset>
                </wp:positionH>
                <wp:positionV relativeFrom="margin">
                  <wp:posOffset>6161405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D1EF7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5419C30B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5D4EF6E7" wp14:editId="3962E3D9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5C6A9D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4B65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pt;margin-top:485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" stroked="f">
                <v:textbox inset="0,0,0,0">
                  <w:txbxContent>
                    <w:p w14:paraId="4D7D1EF7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5419C30B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5D4EF6E7" wp14:editId="3962E3D9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5C6A9D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241E8">
        <w:rPr>
          <w:spacing w:val="-4"/>
          <w:lang w:val="fr-FR" w:eastAsia="en-GB"/>
        </w:rPr>
        <w:t>Le présent document est communiqué uniquement à titre d</w:t>
      </w:r>
      <w:r>
        <w:rPr>
          <w:spacing w:val="-4"/>
          <w:lang w:val="fr-FR" w:eastAsia="en-GB"/>
        </w:rPr>
        <w:t>’</w:t>
      </w:r>
      <w:r w:rsidRPr="00A241E8">
        <w:rPr>
          <w:spacing w:val="-4"/>
          <w:lang w:val="fr-FR" w:eastAsia="en-GB"/>
        </w:rPr>
        <w:t xml:space="preserve">information. </w:t>
      </w:r>
      <w:r>
        <w:t>Le texte authentique, juridiquement contraignant, est celui du document </w:t>
      </w:r>
      <w:r w:rsidRPr="00AD6421">
        <w:rPr>
          <w:spacing w:val="-4"/>
          <w:lang w:val="fr-FR" w:eastAsia="en-GB"/>
        </w:rPr>
        <w:t>:</w:t>
      </w:r>
      <w:r w:rsidRPr="00962827">
        <w:rPr>
          <w:lang w:val="fr-FR" w:eastAsia="en-GB"/>
        </w:rPr>
        <w:t xml:space="preserve"> </w:t>
      </w:r>
      <w:r w:rsidRPr="00962827">
        <w:rPr>
          <w:spacing w:val="-6"/>
          <w:lang w:val="fr-FR" w:eastAsia="en-GB"/>
        </w:rPr>
        <w:t>ECE/TRANS/WP.29/2019/10.</w:t>
      </w:r>
    </w:p>
    <w:p w14:paraId="2AD4CF77" w14:textId="77777777" w:rsidR="00DD1478" w:rsidRPr="001E5F00" w:rsidRDefault="00DD1478" w:rsidP="00DD1478">
      <w:pPr>
        <w:pStyle w:val="HChG"/>
        <w:rPr>
          <w:lang w:val="fr-FR" w:eastAsia="ar-SA"/>
        </w:rPr>
      </w:pPr>
      <w:r>
        <w:rPr>
          <w:spacing w:val="-6"/>
          <w:lang w:val="fr-FR" w:eastAsia="en-GB"/>
        </w:rPr>
        <w:br w:type="page"/>
      </w:r>
      <w:r w:rsidRPr="003D317E">
        <w:rPr>
          <w:lang w:val="fr-FR" w:eastAsia="ar-SA"/>
        </w:rPr>
        <w:lastRenderedPageBreak/>
        <w:tab/>
      </w:r>
      <w:r w:rsidRPr="003D317E">
        <w:rPr>
          <w:lang w:val="fr-FR" w:eastAsia="ar-SA"/>
        </w:rPr>
        <w:tab/>
      </w:r>
      <w:r w:rsidRPr="001E5F00">
        <w:rPr>
          <w:lang w:val="fr-FR"/>
        </w:rPr>
        <w:t>Complément 1 à la série 02 d</w:t>
      </w:r>
      <w:r>
        <w:rPr>
          <w:lang w:val="fr-FR"/>
        </w:rPr>
        <w:t>’</w:t>
      </w:r>
      <w:r w:rsidRPr="001E5F00">
        <w:rPr>
          <w:lang w:val="fr-FR"/>
        </w:rPr>
        <w:t>amend</w:t>
      </w:r>
      <w:r>
        <w:rPr>
          <w:lang w:val="fr-FR"/>
        </w:rPr>
        <w:t>e</w:t>
      </w:r>
      <w:r w:rsidRPr="001E5F00">
        <w:rPr>
          <w:lang w:val="fr-FR"/>
        </w:rPr>
        <w:t>ments</w:t>
      </w:r>
      <w:r>
        <w:rPr>
          <w:lang w:val="fr-FR"/>
        </w:rPr>
        <w:t xml:space="preserve"> au Règlement ONU</w:t>
      </w:r>
      <w:r w:rsidRPr="001E5F00">
        <w:rPr>
          <w:lang w:val="fr-FR"/>
        </w:rPr>
        <w:t xml:space="preserve"> </w:t>
      </w:r>
      <w:r>
        <w:rPr>
          <w:lang w:val="fr-FR"/>
        </w:rPr>
        <w:t>n</w:t>
      </w:r>
      <w:r w:rsidRPr="00492106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1E5F00">
        <w:rPr>
          <w:lang w:val="fr-FR"/>
        </w:rPr>
        <w:t>67 (</w:t>
      </w:r>
      <w:r>
        <w:rPr>
          <w:lang w:val="fr-FR"/>
        </w:rPr>
        <w:t>Véhicules alimentés au GPL</w:t>
      </w:r>
      <w:r w:rsidRPr="001E5F00">
        <w:rPr>
          <w:lang w:val="fr-FR"/>
        </w:rPr>
        <w:t>)</w:t>
      </w:r>
    </w:p>
    <w:p w14:paraId="4127C91E" w14:textId="77777777" w:rsidR="00DD1478" w:rsidRPr="0091776F" w:rsidRDefault="00DD1478" w:rsidP="00DD1478">
      <w:pPr>
        <w:spacing w:after="120"/>
        <w:ind w:left="1134" w:right="1134"/>
        <w:jc w:val="both"/>
        <w:rPr>
          <w:lang w:val="fr-FR"/>
        </w:rPr>
      </w:pPr>
      <w:r w:rsidRPr="0091776F">
        <w:rPr>
          <w:i/>
          <w:lang w:val="fr-FR"/>
        </w:rPr>
        <w:t>Annexe 2B (Communication)</w:t>
      </w:r>
      <w:r w:rsidRPr="00DD1478">
        <w:rPr>
          <w:iCs/>
          <w:lang w:val="fr-FR"/>
        </w:rPr>
        <w:t xml:space="preserve">, </w:t>
      </w:r>
      <w:r w:rsidRPr="0091776F">
        <w:rPr>
          <w:lang w:val="fr-FR"/>
        </w:rPr>
        <w:t>points 1 et 2, lire :</w:t>
      </w:r>
    </w:p>
    <w:p w14:paraId="2E5B6947" w14:textId="77777777" w:rsidR="00DD1478" w:rsidRPr="0018127A" w:rsidRDefault="00DD1478" w:rsidP="00DD1478">
      <w:pPr>
        <w:pStyle w:val="SingleTxtG"/>
      </w:pPr>
      <w:r>
        <w:rPr>
          <w:lang w:val="fr-FR"/>
        </w:rPr>
        <w:t>« 1.</w:t>
      </w:r>
      <w:r>
        <w:rPr>
          <w:lang w:val="fr-FR"/>
        </w:rPr>
        <w:tab/>
        <w:t>Équipement GPL considéré</w:t>
      </w:r>
      <w:r w:rsidRPr="00E27A05">
        <w:rPr>
          <w:sz w:val="18"/>
          <w:szCs w:val="18"/>
          <w:vertAlign w:val="superscript"/>
          <w:lang w:val="fr-FR"/>
        </w:rPr>
        <w:t>2</w:t>
      </w:r>
      <w:r>
        <w:rPr>
          <w:lang w:val="fr-FR"/>
        </w:rPr>
        <w:t> :</w:t>
      </w:r>
    </w:p>
    <w:p w14:paraId="03E2996B" w14:textId="77777777" w:rsidR="00DD1478" w:rsidRPr="001231B1" w:rsidRDefault="00DD1478" w:rsidP="00E27A05">
      <w:pPr>
        <w:pStyle w:val="SingleTxtG"/>
        <w:ind w:left="1701"/>
      </w:pPr>
      <w:r>
        <w:t>…</w:t>
      </w:r>
    </w:p>
    <w:p w14:paraId="2724626F" w14:textId="77777777" w:rsidR="00DD1478" w:rsidRPr="008F78C9" w:rsidRDefault="00DD1478" w:rsidP="00E27A05">
      <w:pPr>
        <w:pStyle w:val="SingleTxtG"/>
        <w:ind w:left="1701"/>
      </w:pPr>
      <w:r>
        <w:rPr>
          <w:lang w:val="fr-FR"/>
        </w:rPr>
        <w:t xml:space="preserve">Bloc </w:t>
      </w:r>
      <w:proofErr w:type="spellStart"/>
      <w:r>
        <w:rPr>
          <w:lang w:val="fr-FR"/>
        </w:rPr>
        <w:t>multiorganes</w:t>
      </w:r>
      <w:proofErr w:type="spellEnd"/>
    </w:p>
    <w:p w14:paraId="39E0F785" w14:textId="77777777" w:rsidR="00DD1478" w:rsidRPr="0018127A" w:rsidRDefault="00DD1478" w:rsidP="00E27A05">
      <w:pPr>
        <w:pStyle w:val="SingleTxtG"/>
        <w:tabs>
          <w:tab w:val="left" w:pos="1701"/>
          <w:tab w:val="right" w:leader="dot" w:pos="8505"/>
        </w:tabs>
        <w:rPr>
          <w:lang w:val="fr-FR"/>
        </w:rPr>
      </w:pPr>
      <w:r>
        <w:rPr>
          <w:lang w:val="fr-FR"/>
        </w:rPr>
        <w:t>1.1</w:t>
      </w:r>
      <w:r>
        <w:rPr>
          <w:lang w:val="fr-FR"/>
        </w:rPr>
        <w:tab/>
        <w:t>Type :</w:t>
      </w:r>
      <w:r w:rsidRPr="00C118A1">
        <w:rPr>
          <w:lang w:val="fr-FR"/>
        </w:rPr>
        <w:tab/>
      </w:r>
    </w:p>
    <w:p w14:paraId="06846FD4" w14:textId="77777777" w:rsidR="00DD1478" w:rsidRPr="008F78C9" w:rsidRDefault="00DD1478" w:rsidP="00E27A05">
      <w:pPr>
        <w:pStyle w:val="SingleTxtG"/>
        <w:tabs>
          <w:tab w:val="left" w:pos="1701"/>
          <w:tab w:val="right" w:leader="dot" w:pos="8505"/>
        </w:tabs>
      </w:pPr>
      <w:r>
        <w:rPr>
          <w:lang w:val="fr-FR"/>
        </w:rPr>
        <w:t>1.2</w:t>
      </w:r>
      <w:r>
        <w:rPr>
          <w:lang w:val="fr-FR"/>
        </w:rPr>
        <w:tab/>
        <w:t>Classe/WP (WP pour les éléments de la classe 0 uniquement) :</w:t>
      </w:r>
      <w:r>
        <w:rPr>
          <w:lang w:val="fr-FR"/>
        </w:rPr>
        <w:tab/>
      </w:r>
    </w:p>
    <w:p w14:paraId="21C2C892" w14:textId="77777777" w:rsidR="00DD1478" w:rsidRPr="0091776F" w:rsidRDefault="00DD1478" w:rsidP="00E27A05">
      <w:pPr>
        <w:pStyle w:val="SingleTxtG"/>
        <w:tabs>
          <w:tab w:val="left" w:pos="1701"/>
          <w:tab w:val="right" w:leader="dot" w:pos="8505"/>
        </w:tabs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 xml:space="preserve">Marque(s) de </w:t>
      </w:r>
      <w:r w:rsidRPr="0018127A">
        <w:t>fabrique</w:t>
      </w:r>
      <w:r>
        <w:rPr>
          <w:lang w:val="fr-FR"/>
        </w:rPr>
        <w:t xml:space="preserve"> ou de commerce :</w:t>
      </w:r>
      <w:r>
        <w:rPr>
          <w:lang w:val="fr-FR"/>
        </w:rPr>
        <w:tab/>
        <w:t> ».</w:t>
      </w:r>
    </w:p>
    <w:p w14:paraId="4895577D" w14:textId="77777777" w:rsidR="005F0207" w:rsidRPr="00E27A05" w:rsidRDefault="00E27A05" w:rsidP="00E27A0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E27A05" w:rsidSect="00D63D8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14C4D" w14:textId="77777777" w:rsidR="00EE759F" w:rsidRDefault="00EE759F"/>
  </w:endnote>
  <w:endnote w:type="continuationSeparator" w:id="0">
    <w:p w14:paraId="690A9401" w14:textId="77777777" w:rsidR="00EE759F" w:rsidRDefault="00EE759F">
      <w:pPr>
        <w:pStyle w:val="Footer"/>
      </w:pPr>
    </w:p>
  </w:endnote>
  <w:endnote w:type="continuationNotice" w:id="1">
    <w:p w14:paraId="15EBFC30" w14:textId="77777777" w:rsidR="00EE759F" w:rsidRPr="00C451B9" w:rsidRDefault="00EE759F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4E388" w14:textId="77777777" w:rsidR="00D63D87" w:rsidRPr="00D63D87" w:rsidRDefault="00D63D87" w:rsidP="00D63D87">
    <w:pPr>
      <w:pStyle w:val="Footer"/>
      <w:tabs>
        <w:tab w:val="right" w:pos="9638"/>
      </w:tabs>
    </w:pPr>
    <w:r w:rsidRPr="00D63D87">
      <w:rPr>
        <w:b/>
        <w:sz w:val="18"/>
      </w:rPr>
      <w:fldChar w:fldCharType="begin"/>
    </w:r>
    <w:r w:rsidRPr="00D63D87">
      <w:rPr>
        <w:b/>
        <w:sz w:val="18"/>
      </w:rPr>
      <w:instrText xml:space="preserve"> PAGE  \* MERGEFORMAT </w:instrText>
    </w:r>
    <w:r w:rsidRPr="00D63D87">
      <w:rPr>
        <w:b/>
        <w:sz w:val="18"/>
      </w:rPr>
      <w:fldChar w:fldCharType="separate"/>
    </w:r>
    <w:r w:rsidRPr="00D63D87">
      <w:rPr>
        <w:b/>
        <w:noProof/>
        <w:sz w:val="18"/>
      </w:rPr>
      <w:t>2</w:t>
    </w:r>
    <w:r w:rsidRPr="00D63D87">
      <w:rPr>
        <w:b/>
        <w:sz w:val="18"/>
      </w:rPr>
      <w:fldChar w:fldCharType="end"/>
    </w:r>
    <w:r>
      <w:rPr>
        <w:b/>
        <w:sz w:val="18"/>
      </w:rPr>
      <w:tab/>
    </w:r>
    <w:r>
      <w:t>GE.19-19434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F7E9C" w14:textId="77777777" w:rsidR="00D63D87" w:rsidRPr="00D63D87" w:rsidRDefault="00D63D87" w:rsidP="00D63D87">
    <w:pPr>
      <w:pStyle w:val="Footer"/>
      <w:tabs>
        <w:tab w:val="right" w:pos="9638"/>
      </w:tabs>
      <w:rPr>
        <w:b/>
        <w:sz w:val="18"/>
      </w:rPr>
    </w:pPr>
    <w:r>
      <w:t>GE.19-19434</w:t>
    </w:r>
    <w:r>
      <w:tab/>
    </w:r>
    <w:r w:rsidRPr="00D63D87">
      <w:rPr>
        <w:b/>
        <w:sz w:val="18"/>
      </w:rPr>
      <w:fldChar w:fldCharType="begin"/>
    </w:r>
    <w:r w:rsidRPr="00D63D87">
      <w:rPr>
        <w:b/>
        <w:sz w:val="18"/>
      </w:rPr>
      <w:instrText xml:space="preserve"> PAGE  \* MERGEFORMAT </w:instrText>
    </w:r>
    <w:r w:rsidRPr="00D63D87">
      <w:rPr>
        <w:b/>
        <w:sz w:val="18"/>
      </w:rPr>
      <w:fldChar w:fldCharType="separate"/>
    </w:r>
    <w:r w:rsidRPr="00D63D87">
      <w:rPr>
        <w:b/>
        <w:noProof/>
        <w:sz w:val="18"/>
      </w:rPr>
      <w:t>3</w:t>
    </w:r>
    <w:r w:rsidRPr="00D63D8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EB05D" w14:textId="77777777" w:rsidR="00467F2C" w:rsidRPr="00D63D87" w:rsidRDefault="00D63D87" w:rsidP="00D63D87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1A80382C" wp14:editId="65EA592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19434  (</w:t>
    </w:r>
    <w:proofErr w:type="gramEnd"/>
    <w:r>
      <w:rPr>
        <w:sz w:val="20"/>
      </w:rPr>
      <w:t>F)</w:t>
    </w:r>
    <w:r w:rsidR="00DD1478">
      <w:rPr>
        <w:sz w:val="20"/>
      </w:rPr>
      <w:t xml:space="preserve">    121219    121219</w:t>
    </w:r>
    <w:r>
      <w:rPr>
        <w:sz w:val="20"/>
      </w:rPr>
      <w:br/>
    </w:r>
    <w:r w:rsidRPr="00D63D87">
      <w:rPr>
        <w:rFonts w:ascii="C39T30Lfz" w:hAnsi="C39T30Lfz"/>
        <w:sz w:val="56"/>
      </w:rPr>
      <w:t></w:t>
    </w:r>
    <w:r w:rsidRPr="00D63D87">
      <w:rPr>
        <w:rFonts w:ascii="C39T30Lfz" w:hAnsi="C39T30Lfz"/>
        <w:sz w:val="56"/>
      </w:rPr>
      <w:t></w:t>
    </w:r>
    <w:r w:rsidRPr="00D63D87">
      <w:rPr>
        <w:rFonts w:ascii="C39T30Lfz" w:hAnsi="C39T30Lfz"/>
        <w:sz w:val="56"/>
      </w:rPr>
      <w:t></w:t>
    </w:r>
    <w:r w:rsidRPr="00D63D87">
      <w:rPr>
        <w:rFonts w:ascii="C39T30Lfz" w:hAnsi="C39T30Lfz"/>
        <w:sz w:val="56"/>
      </w:rPr>
      <w:t></w:t>
    </w:r>
    <w:r w:rsidRPr="00D63D87">
      <w:rPr>
        <w:rFonts w:ascii="C39T30Lfz" w:hAnsi="C39T30Lfz"/>
        <w:sz w:val="56"/>
      </w:rPr>
      <w:t></w:t>
    </w:r>
    <w:r w:rsidRPr="00D63D87">
      <w:rPr>
        <w:rFonts w:ascii="C39T30Lfz" w:hAnsi="C39T30Lfz"/>
        <w:sz w:val="56"/>
      </w:rPr>
      <w:t></w:t>
    </w:r>
    <w:r w:rsidRPr="00D63D87">
      <w:rPr>
        <w:rFonts w:ascii="C39T30Lfz" w:hAnsi="C39T30Lfz"/>
        <w:sz w:val="56"/>
      </w:rPr>
      <w:t></w:t>
    </w:r>
    <w:r w:rsidRPr="00D63D87">
      <w:rPr>
        <w:rFonts w:ascii="C39T30Lfz" w:hAnsi="C39T30Lfz"/>
        <w:sz w:val="56"/>
      </w:rPr>
      <w:t></w:t>
    </w:r>
    <w:r w:rsidRPr="00D63D87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D70A249" wp14:editId="6A6C135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66/Rev.5/Amen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66/Rev.5/Amen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FDD31" w14:textId="77777777" w:rsidR="00EE759F" w:rsidRPr="00D27D5E" w:rsidRDefault="00EE759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540C9E0" w14:textId="77777777" w:rsidR="00EE759F" w:rsidRPr="00D171D4" w:rsidRDefault="00EE759F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46F7A39B" w14:textId="77777777" w:rsidR="00EE759F" w:rsidRPr="00C451B9" w:rsidRDefault="00EE759F" w:rsidP="00C451B9">
      <w:pPr>
        <w:spacing w:line="240" w:lineRule="auto"/>
        <w:rPr>
          <w:sz w:val="2"/>
          <w:szCs w:val="2"/>
        </w:rPr>
      </w:pPr>
    </w:p>
  </w:footnote>
  <w:footnote w:id="2">
    <w:p w14:paraId="6E87A65F" w14:textId="77777777" w:rsidR="00591072" w:rsidRPr="00591072" w:rsidRDefault="00442E31" w:rsidP="0017200E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17200E">
        <w:rPr>
          <w:lang w:val="en-US"/>
        </w:rPr>
        <w:t>Anciens</w:t>
      </w:r>
      <w:r w:rsidR="00591072" w:rsidRPr="00591072">
        <w:t xml:space="preserve"> titres de </w:t>
      </w:r>
      <w:proofErr w:type="gramStart"/>
      <w:r w:rsidR="00591072" w:rsidRPr="00591072">
        <w:t>l’Accord :</w:t>
      </w:r>
      <w:proofErr w:type="gramEnd"/>
    </w:p>
    <w:p w14:paraId="6506858B" w14:textId="77777777" w:rsidR="00591072" w:rsidRPr="00591072" w:rsidRDefault="00591072" w:rsidP="00591072">
      <w:pPr>
        <w:pStyle w:val="FootnoteText"/>
      </w:pPr>
      <w:r>
        <w:rPr>
          <w:lang w:val="en-US"/>
        </w:rPr>
        <w:tab/>
      </w:r>
      <w:r>
        <w:rPr>
          <w:lang w:val="en-US"/>
        </w:rPr>
        <w:tab/>
      </w:r>
      <w:r w:rsidRPr="00591072">
        <w:rPr>
          <w:lang w:val="en-US"/>
        </w:rPr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</w:t>
      </w:r>
      <w:proofErr w:type="gramStart"/>
      <w:r w:rsidRPr="00591072">
        <w:t>) ;</w:t>
      </w:r>
      <w:proofErr w:type="gramEnd"/>
    </w:p>
    <w:p w14:paraId="463E093A" w14:textId="77777777" w:rsidR="00442E31" w:rsidRPr="00442E31" w:rsidRDefault="00591072" w:rsidP="00DD1478">
      <w:pPr>
        <w:pStyle w:val="FootnoteText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C92BC" w14:textId="66FB9C0D" w:rsidR="00D63D87" w:rsidRPr="00D63D87" w:rsidRDefault="009C115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E/ECE/324/Rev.1/Add.66/Rev.5/Amend.1</w:t>
    </w:r>
    <w:r>
      <w:fldChar w:fldCharType="end"/>
    </w:r>
    <w:r w:rsidR="00D63D87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E/ECE/TRANS/505/Rev.1/Add.66/Rev.5/Amend.1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3A242" w14:textId="3755C7DF" w:rsidR="00D63D87" w:rsidRPr="00D63D87" w:rsidRDefault="009C1150" w:rsidP="00D63D8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E/ECE/324/Rev.1/Add.66/Rev.5/Amend.1</w:t>
    </w:r>
    <w:r>
      <w:fldChar w:fldCharType="end"/>
    </w:r>
    <w:r w:rsidR="00D63D87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E/ECE/TRANS/505/Rev.1/Add.66/Rev.5/Amend.1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9F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200E"/>
    <w:rsid w:val="0017459A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1D7C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C1150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3D87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D1478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27A05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E759F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0BB0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1CBC3D7"/>
  <w15:docId w15:val="{3F26B2D9-2039-401F-9A3E-C96AF421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1GChar">
    <w:name w:val="_ H_1_G Char"/>
    <w:link w:val="H1G"/>
    <w:rsid w:val="00DD1478"/>
    <w:rPr>
      <w:rFonts w:eastAsiaTheme="minorHAnsi"/>
      <w:b/>
      <w:sz w:val="24"/>
      <w:lang w:val="fr-CH"/>
    </w:rPr>
  </w:style>
  <w:style w:type="character" w:customStyle="1" w:styleId="HChGChar">
    <w:name w:val="_ H _Ch_G Char"/>
    <w:link w:val="HChG"/>
    <w:rsid w:val="00DD1478"/>
    <w:rPr>
      <w:rFonts w:eastAsiaTheme="minorHAnsi"/>
      <w:b/>
      <w:sz w:val="2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E/ECE/324/Rev.1/Add.66/Rev.5/Amend.1</vt:lpstr>
      <vt:lpstr>E/ECE/324/Rev.1/Add.66/Rev.5/Amend.1</vt:lpstr>
    </vt:vector>
  </TitlesOfParts>
  <Company>CSD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E/ECE/324/Rev.1/Add.66/Rev.5/Amend.1</dc:title>
  <dc:creator>Nicolas MORIN</dc:creator>
  <cp:keywords>E/ECE/TRANS/505/Rev.1/Add.66/Rev.5/Amend.1</cp:keywords>
  <cp:lastModifiedBy>Marie-Claude Collet</cp:lastModifiedBy>
  <cp:revision>3</cp:revision>
  <cp:lastPrinted>2019-12-13T09:34:00Z</cp:lastPrinted>
  <dcterms:created xsi:type="dcterms:W3CDTF">2019-12-13T09:34:00Z</dcterms:created>
  <dcterms:modified xsi:type="dcterms:W3CDTF">2019-12-13T09:34:00Z</dcterms:modified>
</cp:coreProperties>
</file>