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AF75E0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D8E" w:rsidRPr="00806D8E" w:rsidRDefault="00806D8E" w:rsidP="00806D8E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06D8E">
              <w:rPr>
                <w:sz w:val="40"/>
                <w:lang w:val="en-US"/>
              </w:rPr>
              <w:t>E</w:t>
            </w:r>
            <w:r w:rsidRPr="00806D8E">
              <w:rPr>
                <w:lang w:val="en-US"/>
              </w:rPr>
              <w:t>/ECE/324/Rev.2/Add.142/Amend.1−</w:t>
            </w:r>
            <w:r w:rsidRPr="00806D8E">
              <w:rPr>
                <w:sz w:val="40"/>
                <w:lang w:val="en-US"/>
              </w:rPr>
              <w:t>E</w:t>
            </w:r>
            <w:r w:rsidRPr="00806D8E">
              <w:rPr>
                <w:lang w:val="en-US"/>
              </w:rPr>
              <w:t>/ECE/TRANS/505/Rev.2/Add.142/Amend.1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06D8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06D8E" w:rsidP="00A27C92">
            <w:pPr>
              <w:spacing w:before="480" w:line="240" w:lineRule="exact"/>
            </w:pPr>
            <w:r>
              <w:t>27 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806D8E" w:rsidRPr="00207D93">
        <w:t>de Règlements techniques harmonisés de l’ONU applicables aux véhicules à roues et aux équipements et pièces susceptibles d’être montés ou utilisés sur les véhicules à roues</w:t>
      </w:r>
      <w:r w:rsidR="00461321">
        <w:br/>
      </w:r>
      <w:r w:rsidR="00806D8E" w:rsidRPr="00207D93">
        <w:t>et les conditions de reconnaissance réciproque des homologations délivrées conformément à ces Règlements</w:t>
      </w:r>
      <w:r w:rsidR="00442E31" w:rsidRPr="00806D8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806D8E" w:rsidRDefault="00421A10" w:rsidP="0029791D">
      <w:pPr>
        <w:pStyle w:val="SingleTxtG"/>
        <w:jc w:val="left"/>
        <w:rPr>
          <w:sz w:val="24"/>
          <w:szCs w:val="24"/>
        </w:rPr>
      </w:pPr>
      <w:r w:rsidRPr="006549FF">
        <w:t xml:space="preserve">(Révision </w:t>
      </w:r>
      <w:r w:rsidR="00806D8E" w:rsidRPr="00207D93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06D8E">
        <w:t xml:space="preserve">142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06D8E">
        <w:t>143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806D8E">
        <w:t>Amendeme</w:t>
      </w:r>
      <w:r w:rsidR="00421A10" w:rsidRPr="006549FF">
        <w:t>n</w:t>
      </w:r>
      <w:r w:rsidR="00806D8E">
        <w:t>t</w:t>
      </w:r>
      <w:r w:rsidR="00421A10" w:rsidRPr="006549FF">
        <w:t xml:space="preserve"> </w:t>
      </w:r>
      <w:r w:rsidR="00806D8E">
        <w:t>1</w:t>
      </w:r>
    </w:p>
    <w:p w:rsidR="00421A10" w:rsidRPr="0007084C" w:rsidRDefault="00806D8E" w:rsidP="00806D8E">
      <w:pPr>
        <w:pStyle w:val="SingleTxtG"/>
        <w:spacing w:after="0"/>
        <w:rPr>
          <w:spacing w:val="-4"/>
        </w:rPr>
      </w:pPr>
      <w:r w:rsidRPr="0007084C">
        <w:rPr>
          <w:spacing w:val="-4"/>
        </w:rPr>
        <w:t>Complément 1 à la version originale du Règlement − Date d’entrée en vigueur : 10 février 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806D8E" w:rsidRPr="00207D93">
        <w:t xml:space="preserve">uniformes </w:t>
      </w:r>
      <w:r w:rsidR="00806D8E">
        <w:t>relatives à</w:t>
      </w:r>
      <w:r w:rsidR="00806D8E" w:rsidRPr="00207D93">
        <w:t xml:space="preserve"> l’homologation des systèmes</w:t>
      </w:r>
      <w:r w:rsidR="00806D8E">
        <w:t xml:space="preserve"> d’adaptation</w:t>
      </w:r>
      <w:r w:rsidR="00806D8E" w:rsidRPr="00207D93">
        <w:t xml:space="preserve"> des moteurs de véhicules utilitaires lourds</w:t>
      </w:r>
      <w:r w:rsidR="0007084C">
        <w:br/>
      </w:r>
      <w:r w:rsidR="00806D8E" w:rsidRPr="00207D93">
        <w:t>à la bicarburation, conçus pour les moteurs diesel des véhicules utilitaires lourds et les véhicules utilitaires lourds à moteur diesel</w:t>
      </w:r>
    </w:p>
    <w:p w:rsidR="00806D8E" w:rsidRDefault="00806D8E" w:rsidP="00806D8E">
      <w:pPr>
        <w:pStyle w:val="SingleTxtG"/>
      </w:pPr>
      <w:r w:rsidRPr="00207D93">
        <w:rPr>
          <w:spacing w:val="-4"/>
          <w:lang w:eastAsia="en-GB"/>
        </w:rPr>
        <w:t>Le présent document est communiqué uniquement à titre d’information.</w:t>
      </w:r>
      <w:r w:rsidRPr="00207D93">
        <w:rPr>
          <w:lang w:eastAsia="en-GB"/>
        </w:rPr>
        <w:t xml:space="preserve"> L</w:t>
      </w:r>
      <w:r w:rsidRPr="00207D93">
        <w:t>e texte authentique, juridiquement contraignant, est celui du document</w:t>
      </w:r>
      <w:r w:rsidRPr="00207D93">
        <w:rPr>
          <w:lang w:eastAsia="en-GB"/>
        </w:rPr>
        <w:t xml:space="preserve"> </w:t>
      </w:r>
      <w:r w:rsidRPr="00207D93">
        <w:rPr>
          <w:spacing w:val="-6"/>
          <w:lang w:eastAsia="en-GB"/>
        </w:rPr>
        <w:t>ECE/TRANS/WP.29/2017/66.</w:t>
      </w:r>
      <w:r w:rsidR="00442E31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2E2E3" wp14:editId="548701D2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zh-CN"/>
                              </w:rPr>
                              <w:drawing>
                                <wp:inline distT="0" distB="0" distL="0" distR="0" wp14:anchorId="4C765009" wp14:editId="71E93FA9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  <w:p w:rsidR="006C0C7D" w:rsidRDefault="006C0C7D" w:rsidP="00C65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2E2E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zh-CN"/>
                        </w:rPr>
                        <w:drawing>
                          <wp:inline distT="0" distB="0" distL="0" distR="0" wp14:anchorId="4C765009" wp14:editId="71E93FA9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  <w:p w:rsidR="006C0C7D" w:rsidRDefault="006C0C7D" w:rsidP="00C6525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C0C7D" w:rsidRPr="00207D93" w:rsidRDefault="006C0C7D" w:rsidP="006C0C7D">
      <w:pPr>
        <w:pStyle w:val="SingleTxtG"/>
      </w:pPr>
      <w:r>
        <w:br w:type="page"/>
      </w:r>
      <w:r w:rsidRPr="006C0C7D">
        <w:rPr>
          <w:i/>
        </w:rPr>
        <w:lastRenderedPageBreak/>
        <w:t>Annexe 6</w:t>
      </w:r>
      <w:r w:rsidRPr="00207D93">
        <w:t xml:space="preserve">, </w:t>
      </w:r>
    </w:p>
    <w:p w:rsidR="006C0C7D" w:rsidRPr="00207D93" w:rsidRDefault="006C0C7D" w:rsidP="006C0C7D">
      <w:pPr>
        <w:pStyle w:val="SingleTxtG"/>
      </w:pPr>
      <w:r w:rsidRPr="006C0C7D">
        <w:rPr>
          <w:i/>
        </w:rPr>
        <w:t>Paragraphe 10.1</w:t>
      </w:r>
      <w:r w:rsidRPr="00207D93">
        <w:t>, lire :</w:t>
      </w:r>
    </w:p>
    <w:p w:rsidR="006C0C7D" w:rsidRPr="00207D93" w:rsidRDefault="006C0C7D" w:rsidP="0039584B">
      <w:pPr>
        <w:pStyle w:val="SingleTxtG"/>
        <w:ind w:left="2268" w:hanging="1134"/>
      </w:pPr>
      <w:r w:rsidRPr="00207D93">
        <w:t>«10.1</w:t>
      </w:r>
      <w:r w:rsidRPr="00207D93">
        <w:tab/>
        <w:t>Prescriptions et essais</w:t>
      </w:r>
    </w:p>
    <w:p w:rsidR="006C0C7D" w:rsidRPr="00207D93" w:rsidRDefault="006C0C7D" w:rsidP="0039584B">
      <w:pPr>
        <w:pStyle w:val="SingleTxtG"/>
        <w:ind w:left="2268"/>
      </w:pPr>
      <w:r w:rsidRPr="00207D93">
        <w:t>Un moteur représentatif de l’extension souhaitée de la gamme d’applications doit être soumis à des essais conformément aux dispositions soit du paragraphe 5.2.2, soit du paragraphe 10.1.1, au choix du fabricant du système de conversion du moteur à la bicarburation. Les essais moteurs visés au paragraphe 5.2.2 sont toujours requis si l’extension de la gamme d’applications concerne une famille de moteurs équipés d’un système RGE.</w:t>
      </w:r>
    </w:p>
    <w:p w:rsidR="006C0C7D" w:rsidRPr="00207D93" w:rsidRDefault="006C0C7D" w:rsidP="0039584B">
      <w:pPr>
        <w:pStyle w:val="SingleTxtG"/>
        <w:ind w:left="2268"/>
      </w:pPr>
      <w:r w:rsidRPr="00207D93">
        <w:t>Les essais prescrits au paragraphe 10.1.1 doivent être effectués sur un moteur représentatif équipé d’un membre de la famille de systèmes de conversion du moteur à la bicarburation.</w:t>
      </w:r>
    </w:p>
    <w:p w:rsidR="006C0C7D" w:rsidRPr="00207D93" w:rsidRDefault="006C0C7D" w:rsidP="0039584B">
      <w:pPr>
        <w:pStyle w:val="SingleTxtG"/>
        <w:ind w:left="2268"/>
      </w:pPr>
      <w:r w:rsidRPr="00207D93">
        <w:t xml:space="preserve">Les mêmes essais doivent être réalisés en mode diesel et en mode </w:t>
      </w:r>
      <w:proofErr w:type="spellStart"/>
      <w:r w:rsidRPr="00207D93">
        <w:t>bicarburant</w:t>
      </w:r>
      <w:proofErr w:type="spellEnd"/>
      <w:r w:rsidRPr="00207D93">
        <w:t xml:space="preserve"> de sorte que les points et les conditions de fonctionnement soient aussi similaires que possible.</w:t>
      </w:r>
    </w:p>
    <w:p w:rsidR="006C0C7D" w:rsidRPr="00207D93" w:rsidRDefault="006C0C7D" w:rsidP="0039584B">
      <w:pPr>
        <w:pStyle w:val="SingleTxtG"/>
        <w:ind w:left="2268"/>
      </w:pPr>
      <w:r w:rsidRPr="00207D93">
        <w:t xml:space="preserve">Les résultats des essais d’émissions de </w:t>
      </w:r>
      <w:proofErr w:type="spellStart"/>
      <w:r w:rsidRPr="00207D93">
        <w:t>NO</w:t>
      </w:r>
      <w:r w:rsidRPr="00207D93">
        <w:rPr>
          <w:vertAlign w:val="subscript"/>
        </w:rPr>
        <w:t>x</w:t>
      </w:r>
      <w:proofErr w:type="spellEnd"/>
      <w:r w:rsidRPr="00207D93">
        <w:t xml:space="preserve">, de HCNM, de CO et de MP en mode </w:t>
      </w:r>
      <w:proofErr w:type="spellStart"/>
      <w:r w:rsidRPr="00207D93">
        <w:t>bicarburant</w:t>
      </w:r>
      <w:proofErr w:type="spellEnd"/>
      <w:r w:rsidRPr="00207D93">
        <w:t xml:space="preserve"> doivent être inférieurs ou égaux aux résultats en mode diesel.</w:t>
      </w:r>
    </w:p>
    <w:p w:rsidR="006C0C7D" w:rsidRPr="00207D93" w:rsidRDefault="006C0C7D" w:rsidP="0039584B">
      <w:pPr>
        <w:pStyle w:val="SingleTxtG"/>
        <w:ind w:left="2268"/>
      </w:pPr>
      <w:r w:rsidRPr="00207D93">
        <w:t>À titre de variante, à la demande du fabricant du système de conversion du moteur, les dispositions suivantes s’appliquent :</w:t>
      </w:r>
    </w:p>
    <w:p w:rsidR="006C0C7D" w:rsidRPr="00207D93" w:rsidRDefault="006C0C7D" w:rsidP="0039584B">
      <w:pPr>
        <w:pStyle w:val="SingleTxtG"/>
        <w:ind w:left="2835" w:hanging="567"/>
      </w:pPr>
      <w:r w:rsidRPr="00207D93">
        <w:t>a)</w:t>
      </w:r>
      <w:r w:rsidRPr="00207D93">
        <w:tab/>
        <w:t>Pour les émissions de HCNM et de CO uniquement, les résultats d’émissions spécifiques de CO</w:t>
      </w:r>
      <w:r w:rsidRPr="00207D93">
        <w:rPr>
          <w:vertAlign w:val="subscript"/>
        </w:rPr>
        <w:t>2</w:t>
      </w:r>
      <w:r w:rsidRPr="00207D93">
        <w:t xml:space="preserve"> de l’essai exécuté conformément au paragraphe 10.1.1.1 en mode </w:t>
      </w:r>
      <w:proofErr w:type="spellStart"/>
      <w:r w:rsidRPr="00207D93">
        <w:t>bicarburant</w:t>
      </w:r>
      <w:proofErr w:type="spellEnd"/>
      <w:r w:rsidRPr="00207D93">
        <w:t xml:space="preserve"> ne doivent pas dépasser les limites d’émission d’origine applicables telles que spécifiées dans le Règlement </w:t>
      </w:r>
      <w:r>
        <w:t xml:space="preserve">ONU </w:t>
      </w:r>
      <w:r w:rsidRPr="00207D93">
        <w:rPr>
          <w:rFonts w:eastAsia="MS Mincho"/>
          <w:szCs w:val="22"/>
        </w:rPr>
        <w:t>n</w:t>
      </w:r>
      <w:r w:rsidRPr="00207D93">
        <w:rPr>
          <w:rFonts w:eastAsia="MS Mincho"/>
          <w:szCs w:val="22"/>
          <w:vertAlign w:val="superscript"/>
        </w:rPr>
        <w:t>o</w:t>
      </w:r>
      <w:r w:rsidRPr="00207D93">
        <w:t> 49 et transposées en limites d’émission spécifiques de CO</w:t>
      </w:r>
      <w:r w:rsidRPr="00207D93">
        <w:rPr>
          <w:vertAlign w:val="subscript"/>
        </w:rPr>
        <w:t>2</w:t>
      </w:r>
      <w:r w:rsidRPr="00207D93">
        <w:t xml:space="preserve"> au moyen de l’équation suivante :</w:t>
      </w:r>
    </w:p>
    <w:p w:rsidR="006C0C7D" w:rsidRPr="00207D93" w:rsidRDefault="006C0C7D" w:rsidP="0039584B">
      <w:pPr>
        <w:pStyle w:val="SingleTxtG"/>
        <w:ind w:left="2268"/>
      </w:pPr>
      <w:proofErr w:type="gramStart"/>
      <w:r w:rsidRPr="00207D93">
        <w:t>limite</w:t>
      </w:r>
      <w:proofErr w:type="gramEnd"/>
      <w:r w:rsidRPr="00207D93">
        <w:t xml:space="preserve"> d’émissions spécifiques de CO</w:t>
      </w:r>
      <w:r w:rsidRPr="00207D93">
        <w:rPr>
          <w:vertAlign w:val="subscript"/>
        </w:rPr>
        <w:t>2</w:t>
      </w:r>
      <w:r w:rsidRPr="00207D93">
        <w:t xml:space="preserve"> = 1,6 </w:t>
      </w:r>
      <w:r w:rsidR="00D11EB6">
        <w:t>×</w:t>
      </w:r>
      <w:r w:rsidRPr="00207D93">
        <w:t xml:space="preserve"> 1,5 </w:t>
      </w:r>
      <w:r>
        <w:t>×</w:t>
      </w:r>
      <w:r w:rsidRPr="00207D93">
        <w:t xml:space="preserve"> limite d’émissions spécifiques au frein</w:t>
      </w:r>
    </w:p>
    <w:p w:rsidR="006C0C7D" w:rsidRPr="00207D93" w:rsidRDefault="006C0C7D" w:rsidP="0039584B">
      <w:pPr>
        <w:pStyle w:val="SingleTxtG"/>
        <w:ind w:left="2268"/>
      </w:pPr>
      <w:r w:rsidRPr="00207D93">
        <w:t>Où :</w:t>
      </w:r>
    </w:p>
    <w:p w:rsidR="0039584B" w:rsidRDefault="006C0C7D" w:rsidP="0039584B">
      <w:pPr>
        <w:pStyle w:val="SingleTxtG"/>
        <w:ind w:left="5670" w:hanging="3402"/>
      </w:pPr>
      <w:proofErr w:type="gramStart"/>
      <w:r w:rsidRPr="00207D93">
        <w:t>la</w:t>
      </w:r>
      <w:proofErr w:type="gramEnd"/>
      <w:r w:rsidRPr="00207D93">
        <w:t xml:space="preserve"> limite d’émissions spécifiques de CO</w:t>
      </w:r>
      <w:r w:rsidRPr="00207D93">
        <w:rPr>
          <w:vertAlign w:val="subscript"/>
        </w:rPr>
        <w:t xml:space="preserve">2 </w:t>
      </w:r>
      <w:r>
        <w:rPr>
          <w:vertAlign w:val="subscript"/>
        </w:rPr>
        <w:tab/>
      </w:r>
      <w:r w:rsidRPr="00207D93">
        <w:t>est la limite équivalente exprimée en [g/kgCO</w:t>
      </w:r>
      <w:r w:rsidRPr="00207D93">
        <w:rPr>
          <w:vertAlign w:val="subscript"/>
        </w:rPr>
        <w:t>2</w:t>
      </w:r>
      <w:r w:rsidRPr="00207D93">
        <w:t>]</w:t>
      </w:r>
    </w:p>
    <w:p w:rsidR="0039584B" w:rsidRDefault="006C0C7D" w:rsidP="0039584B">
      <w:pPr>
        <w:pStyle w:val="SingleTxtG"/>
        <w:ind w:left="5670" w:hanging="3402"/>
        <w:rPr>
          <w:vertAlign w:val="subscript"/>
        </w:rPr>
      </w:pPr>
      <w:r w:rsidRPr="00207D93">
        <w:t>1,6</w:t>
      </w:r>
      <w:r w:rsidRPr="00207D93">
        <w:tab/>
        <w:t>est le facteur de conversion des émissions spécifiques au frein en émissions spécifiques de CO</w:t>
      </w:r>
      <w:r w:rsidRPr="00207D93">
        <w:rPr>
          <w:vertAlign w:val="subscript"/>
        </w:rPr>
        <w:t>2</w:t>
      </w:r>
    </w:p>
    <w:p w:rsidR="0039584B" w:rsidRDefault="006C0C7D" w:rsidP="0039584B">
      <w:pPr>
        <w:pStyle w:val="SingleTxtG"/>
        <w:ind w:left="5670" w:hanging="3402"/>
      </w:pPr>
      <w:r w:rsidRPr="00207D93">
        <w:t>1,5</w:t>
      </w:r>
      <w:r w:rsidRPr="00207D93">
        <w:tab/>
        <w:t>est le facteur de conformité</w:t>
      </w:r>
    </w:p>
    <w:p w:rsidR="006C0C7D" w:rsidRPr="00207D93" w:rsidRDefault="006C0C7D" w:rsidP="0039584B">
      <w:pPr>
        <w:pStyle w:val="SingleTxtG"/>
        <w:ind w:left="5670" w:hanging="3402"/>
      </w:pPr>
      <w:proofErr w:type="gramStart"/>
      <w:r w:rsidRPr="00207D93">
        <w:t>la</w:t>
      </w:r>
      <w:proofErr w:type="gramEnd"/>
      <w:r w:rsidRPr="00207D93">
        <w:t xml:space="preserve"> limite d</w:t>
      </w:r>
      <w:r>
        <w:t>’émissions spécifiques au frein</w:t>
      </w:r>
      <w:r>
        <w:tab/>
      </w:r>
      <w:r w:rsidRPr="00207D93">
        <w:t xml:space="preserve">est la limite d’émissions d’origine applicable telle que spécifiée dans le Règlement </w:t>
      </w:r>
      <w:r w:rsidRPr="00207D93">
        <w:rPr>
          <w:rFonts w:eastAsia="MS Mincho"/>
          <w:szCs w:val="22"/>
        </w:rPr>
        <w:t>n</w:t>
      </w:r>
      <w:r w:rsidRPr="00207D93">
        <w:rPr>
          <w:rFonts w:eastAsia="MS Mincho"/>
          <w:szCs w:val="22"/>
          <w:vertAlign w:val="superscript"/>
        </w:rPr>
        <w:t>o</w:t>
      </w:r>
      <w:r w:rsidR="00335158">
        <w:t> 49 et exprimée en [g/kWh]</w:t>
      </w:r>
    </w:p>
    <w:p w:rsidR="005F0207" w:rsidRDefault="006C0C7D" w:rsidP="0039584B">
      <w:pPr>
        <w:pStyle w:val="SingleTxtG"/>
        <w:ind w:left="2835" w:hanging="567"/>
      </w:pPr>
      <w:r w:rsidRPr="00207D93">
        <w:t>b)</w:t>
      </w:r>
      <w:r w:rsidRPr="00207D93">
        <w:tab/>
        <w:t xml:space="preserve">Les résultats des essais d’émissions de </w:t>
      </w:r>
      <w:proofErr w:type="spellStart"/>
      <w:r w:rsidRPr="00207D93">
        <w:t>NO</w:t>
      </w:r>
      <w:r w:rsidRPr="00207D93">
        <w:rPr>
          <w:vertAlign w:val="subscript"/>
        </w:rPr>
        <w:t>x</w:t>
      </w:r>
      <w:proofErr w:type="spellEnd"/>
      <w:r w:rsidRPr="00207D93">
        <w:t xml:space="preserve"> et de MP en mode </w:t>
      </w:r>
      <w:proofErr w:type="spellStart"/>
      <w:r w:rsidRPr="00207D93">
        <w:t>bicarburant</w:t>
      </w:r>
      <w:proofErr w:type="spellEnd"/>
      <w:r w:rsidRPr="00207D93">
        <w:t xml:space="preserve"> doivent être inférieurs ou égaux aux résultats en mode diesel</w:t>
      </w:r>
      <w:r>
        <w:t>.</w:t>
      </w:r>
      <w:r w:rsidRPr="00207D93">
        <w:t> ».</w:t>
      </w:r>
    </w:p>
    <w:p w:rsidR="006C0C7D" w:rsidRPr="006C0C7D" w:rsidRDefault="006C0C7D" w:rsidP="006C0C7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0C7D" w:rsidRPr="006C0C7D" w:rsidSect="00806D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EC" w:rsidRDefault="00BC75EC"/>
  </w:endnote>
  <w:endnote w:type="continuationSeparator" w:id="0">
    <w:p w:rsidR="00BC75EC" w:rsidRDefault="00BC75EC">
      <w:pPr>
        <w:pStyle w:val="Footer"/>
      </w:pPr>
    </w:p>
  </w:endnote>
  <w:endnote w:type="continuationNotice" w:id="1">
    <w:p w:rsidR="00BC75EC" w:rsidRPr="00C451B9" w:rsidRDefault="00BC75E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8E" w:rsidRPr="00806D8E" w:rsidRDefault="00806D8E" w:rsidP="00806D8E">
    <w:pPr>
      <w:pStyle w:val="Footer"/>
      <w:tabs>
        <w:tab w:val="right" w:pos="9638"/>
      </w:tabs>
    </w:pPr>
    <w:r w:rsidRPr="00806D8E">
      <w:rPr>
        <w:b/>
        <w:sz w:val="18"/>
      </w:rPr>
      <w:fldChar w:fldCharType="begin"/>
    </w:r>
    <w:r w:rsidRPr="00806D8E">
      <w:rPr>
        <w:b/>
        <w:sz w:val="18"/>
      </w:rPr>
      <w:instrText xml:space="preserve"> PAGE  \* MERGEFORMAT </w:instrText>
    </w:r>
    <w:r w:rsidRPr="00806D8E">
      <w:rPr>
        <w:b/>
        <w:sz w:val="18"/>
      </w:rPr>
      <w:fldChar w:fldCharType="separate"/>
    </w:r>
    <w:r w:rsidR="00B80117">
      <w:rPr>
        <w:b/>
        <w:noProof/>
        <w:sz w:val="18"/>
      </w:rPr>
      <w:t>2</w:t>
    </w:r>
    <w:r w:rsidRPr="00806D8E">
      <w:rPr>
        <w:b/>
        <w:sz w:val="18"/>
      </w:rPr>
      <w:fldChar w:fldCharType="end"/>
    </w:r>
    <w:r>
      <w:rPr>
        <w:b/>
        <w:sz w:val="18"/>
      </w:rPr>
      <w:tab/>
    </w:r>
    <w:r>
      <w:t>GE.18-06708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8E" w:rsidRPr="00806D8E" w:rsidRDefault="00806D8E" w:rsidP="00806D8E">
    <w:pPr>
      <w:pStyle w:val="Footer"/>
      <w:tabs>
        <w:tab w:val="right" w:pos="9638"/>
      </w:tabs>
      <w:rPr>
        <w:b/>
        <w:sz w:val="18"/>
      </w:rPr>
    </w:pPr>
    <w:r>
      <w:t>GE.18-06708</w:t>
    </w:r>
    <w:r>
      <w:tab/>
    </w:r>
    <w:r w:rsidRPr="00806D8E">
      <w:rPr>
        <w:b/>
        <w:sz w:val="18"/>
      </w:rPr>
      <w:fldChar w:fldCharType="begin"/>
    </w:r>
    <w:r w:rsidRPr="00806D8E">
      <w:rPr>
        <w:b/>
        <w:sz w:val="18"/>
      </w:rPr>
      <w:instrText xml:space="preserve"> PAGE  \* MERGEFORMAT </w:instrText>
    </w:r>
    <w:r w:rsidRPr="00806D8E">
      <w:rPr>
        <w:b/>
        <w:sz w:val="18"/>
      </w:rPr>
      <w:fldChar w:fldCharType="separate"/>
    </w:r>
    <w:r w:rsidR="0039584B">
      <w:rPr>
        <w:b/>
        <w:noProof/>
        <w:sz w:val="18"/>
      </w:rPr>
      <w:t>3</w:t>
    </w:r>
    <w:r w:rsidRPr="00806D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806D8E" w:rsidRDefault="00806D8E" w:rsidP="00806D8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06708  (</w:t>
    </w:r>
    <w:proofErr w:type="gramEnd"/>
    <w:r>
      <w:rPr>
        <w:sz w:val="20"/>
      </w:rPr>
      <w:t>F)    130319    130319</w:t>
    </w:r>
    <w:r>
      <w:rPr>
        <w:sz w:val="20"/>
      </w:rPr>
      <w:br/>
    </w:r>
    <w:r w:rsidRPr="00806D8E">
      <w:rPr>
        <w:rFonts w:ascii="C39T30Lfz" w:hAnsi="C39T30Lfz"/>
        <w:sz w:val="56"/>
      </w:rPr>
      <w:t></w:t>
    </w:r>
    <w:r w:rsidRPr="00806D8E">
      <w:rPr>
        <w:rFonts w:ascii="C39T30Lfz" w:hAnsi="C39T30Lfz"/>
        <w:sz w:val="56"/>
      </w:rPr>
      <w:t></w:t>
    </w:r>
    <w:r w:rsidRPr="00806D8E">
      <w:rPr>
        <w:rFonts w:ascii="C39T30Lfz" w:hAnsi="C39T30Lfz"/>
        <w:sz w:val="56"/>
      </w:rPr>
      <w:t></w:t>
    </w:r>
    <w:r w:rsidRPr="00806D8E">
      <w:rPr>
        <w:rFonts w:ascii="C39T30Lfz" w:hAnsi="C39T30Lfz"/>
        <w:sz w:val="56"/>
      </w:rPr>
      <w:t></w:t>
    </w:r>
    <w:r w:rsidRPr="00806D8E">
      <w:rPr>
        <w:rFonts w:ascii="C39T30Lfz" w:hAnsi="C39T30Lfz"/>
        <w:sz w:val="56"/>
      </w:rPr>
      <w:t></w:t>
    </w:r>
    <w:r w:rsidRPr="00806D8E">
      <w:rPr>
        <w:rFonts w:ascii="C39T30Lfz" w:hAnsi="C39T30Lfz"/>
        <w:sz w:val="56"/>
      </w:rPr>
      <w:t></w:t>
    </w:r>
    <w:r w:rsidRPr="00806D8E">
      <w:rPr>
        <w:rFonts w:ascii="C39T30Lfz" w:hAnsi="C39T30Lfz"/>
        <w:sz w:val="56"/>
      </w:rPr>
      <w:t></w:t>
    </w:r>
    <w:r w:rsidRPr="00806D8E">
      <w:rPr>
        <w:rFonts w:ascii="C39T30Lfz" w:hAnsi="C39T30Lfz"/>
        <w:sz w:val="56"/>
      </w:rPr>
      <w:t></w:t>
    </w:r>
    <w:r w:rsidRPr="00806D8E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42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42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EC" w:rsidRPr="00D27D5E" w:rsidRDefault="00BC75E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C75EC" w:rsidRPr="00D171D4" w:rsidRDefault="00BC75E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C75EC" w:rsidRPr="00C451B9" w:rsidRDefault="00BC75EC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FootnoteText"/>
      </w:pPr>
      <w:r w:rsidRPr="00806D8E">
        <w:tab/>
      </w:r>
      <w:r w:rsidRPr="00806D8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8E" w:rsidRPr="00806D8E" w:rsidRDefault="00806D8E">
    <w:pPr>
      <w:pStyle w:val="Header"/>
      <w:rPr>
        <w:lang w:val="en-US"/>
      </w:rPr>
    </w:pPr>
    <w:r>
      <w:fldChar w:fldCharType="begin"/>
    </w:r>
    <w:r w:rsidRPr="00806D8E">
      <w:rPr>
        <w:lang w:val="en-US"/>
      </w:rPr>
      <w:instrText xml:space="preserve"> TITLE  \* MERGEFORMAT </w:instrText>
    </w:r>
    <w:r>
      <w:fldChar w:fldCharType="separate"/>
    </w:r>
    <w:r w:rsidR="00B80117">
      <w:rPr>
        <w:lang w:val="en-US"/>
      </w:rPr>
      <w:t>E/ECE/324/Rev.2/Add.142/Amend.1</w:t>
    </w:r>
    <w:r>
      <w:fldChar w:fldCharType="end"/>
    </w:r>
    <w:r w:rsidRPr="00806D8E">
      <w:rPr>
        <w:lang w:val="en-US"/>
      </w:rPr>
      <w:br/>
    </w:r>
    <w:r>
      <w:fldChar w:fldCharType="begin"/>
    </w:r>
    <w:r w:rsidRPr="00806D8E">
      <w:rPr>
        <w:lang w:val="en-US"/>
      </w:rPr>
      <w:instrText xml:space="preserve"> KEYWORDS  \* MERGEFORMAT </w:instrText>
    </w:r>
    <w:r>
      <w:fldChar w:fldCharType="separate"/>
    </w:r>
    <w:r w:rsidR="00B80117">
      <w:rPr>
        <w:lang w:val="en-US"/>
      </w:rPr>
      <w:t>E/ECE/TRANS/505/Rev.2/Add.142/Amend.1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8E" w:rsidRPr="00806D8E" w:rsidRDefault="00806D8E" w:rsidP="00806D8E">
    <w:pPr>
      <w:pStyle w:val="Header"/>
      <w:jc w:val="right"/>
      <w:rPr>
        <w:lang w:val="en-US"/>
      </w:rPr>
    </w:pPr>
    <w:r>
      <w:fldChar w:fldCharType="begin"/>
    </w:r>
    <w:r w:rsidRPr="00806D8E">
      <w:rPr>
        <w:lang w:val="en-US"/>
      </w:rPr>
      <w:instrText xml:space="preserve"> TITLE  \* MERGEFORMAT </w:instrText>
    </w:r>
    <w:r>
      <w:fldChar w:fldCharType="separate"/>
    </w:r>
    <w:r w:rsidR="00B80117">
      <w:rPr>
        <w:lang w:val="en-US"/>
      </w:rPr>
      <w:t>E/ECE/324/Rev.2/Add.142/Amend.1</w:t>
    </w:r>
    <w:r>
      <w:fldChar w:fldCharType="end"/>
    </w:r>
    <w:r w:rsidRPr="00806D8E">
      <w:rPr>
        <w:lang w:val="en-US"/>
      </w:rPr>
      <w:br/>
    </w:r>
    <w:r>
      <w:fldChar w:fldCharType="begin"/>
    </w:r>
    <w:r w:rsidRPr="00806D8E">
      <w:rPr>
        <w:lang w:val="en-US"/>
      </w:rPr>
      <w:instrText xml:space="preserve"> KEYWORDS  \* MERGEFORMAT </w:instrText>
    </w:r>
    <w:r>
      <w:fldChar w:fldCharType="separate"/>
    </w:r>
    <w:r w:rsidR="00B80117">
      <w:rPr>
        <w:lang w:val="en-US"/>
      </w:rPr>
      <w:t>E/ECE/TRANS/505/Rev.2/Add.142/Amend.1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084C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441F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5158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584B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1321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2380"/>
    <w:rsid w:val="006A6B31"/>
    <w:rsid w:val="006A6C95"/>
    <w:rsid w:val="006A7B29"/>
    <w:rsid w:val="006B0EB2"/>
    <w:rsid w:val="006B0FF8"/>
    <w:rsid w:val="006B4590"/>
    <w:rsid w:val="006C0C7D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06D8E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38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75E0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117"/>
    <w:rsid w:val="00BC3F20"/>
    <w:rsid w:val="00BC75EC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1EB6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69E473B-C07B-485E-B879-47E9FAB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uiPriority w:val="99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E/ECE/324/Rev.2/Add.142/Amend.1</vt:lpstr>
      <vt:lpstr>E/ECE/324/Rev.2/Add.142/Amend.1</vt:lpstr>
    </vt:vector>
  </TitlesOfParts>
  <Company>CSD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E/ECE/324/Rev.2/Add.142/Amend.1</dc:title>
  <dc:creator>Christine DEVOUASSOUX</dc:creator>
  <cp:keywords>E/ECE/TRANS/505/Rev.2/Add.142/Amend.1</cp:keywords>
  <cp:lastModifiedBy>Marie-Claude Collet</cp:lastModifiedBy>
  <cp:revision>3</cp:revision>
  <cp:lastPrinted>2019-03-25T10:52:00Z</cp:lastPrinted>
  <dcterms:created xsi:type="dcterms:W3CDTF">2019-03-25T10:52:00Z</dcterms:created>
  <dcterms:modified xsi:type="dcterms:W3CDTF">2019-03-25T10:52:00Z</dcterms:modified>
</cp:coreProperties>
</file>