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9521B" w:rsidTr="00A27C92">
        <w:trPr>
          <w:trHeight w:hRule="exact" w:val="851"/>
        </w:trPr>
        <w:tc>
          <w:tcPr>
            <w:tcW w:w="9639" w:type="dxa"/>
            <w:gridSpan w:val="2"/>
            <w:tcBorders>
              <w:bottom w:val="single" w:sz="4" w:space="0" w:color="auto"/>
            </w:tcBorders>
            <w:shd w:val="clear" w:color="auto" w:fill="auto"/>
            <w:vAlign w:val="bottom"/>
          </w:tcPr>
          <w:p w:rsidR="006C6BAD" w:rsidRPr="006C6BAD" w:rsidRDefault="006C6BAD" w:rsidP="006C6BAD">
            <w:pPr>
              <w:jc w:val="right"/>
              <w:rPr>
                <w:lang w:val="en-US"/>
              </w:rPr>
            </w:pPr>
            <w:bookmarkStart w:id="0" w:name="_GoBack"/>
            <w:bookmarkEnd w:id="0"/>
            <w:r w:rsidRPr="006C6BAD">
              <w:rPr>
                <w:sz w:val="40"/>
                <w:lang w:val="en-US"/>
              </w:rPr>
              <w:t>E</w:t>
            </w:r>
            <w:r w:rsidRPr="006C6BAD">
              <w:rPr>
                <w:lang w:val="en-US"/>
              </w:rPr>
              <w:t>/ECE/324/Rev.2/Add.141/Amend.1−</w:t>
            </w:r>
            <w:r w:rsidRPr="006C6BAD">
              <w:rPr>
                <w:sz w:val="40"/>
                <w:lang w:val="en-US"/>
              </w:rPr>
              <w:t>E</w:t>
            </w:r>
            <w:r w:rsidRPr="006C6BAD">
              <w:rPr>
                <w:lang w:val="en-US"/>
              </w:rPr>
              <w:t>/ECE/TRANS/505/Rev.2/Add.141/Amend.1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6C6BA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6C6BAD" w:rsidP="007E01BD">
            <w:pPr>
              <w:spacing w:before="600" w:line="240" w:lineRule="exact"/>
            </w:pPr>
            <w:r>
              <w:t>2 novembre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DC3AB6">
        <w:rPr>
          <w:spacing w:val="2"/>
        </w:rPr>
        <w:t xml:space="preserve">Concernant l’adoption </w:t>
      </w:r>
      <w:r w:rsidR="0096023F" w:rsidRPr="00DC3AB6">
        <w:rPr>
          <w:spacing w:val="2"/>
        </w:rPr>
        <w:t xml:space="preserve">de Règlements techniques harmonisés de </w:t>
      </w:r>
      <w:r w:rsidR="00DC3AB6" w:rsidRPr="00DC3AB6">
        <w:rPr>
          <w:spacing w:val="2"/>
        </w:rPr>
        <w:br/>
      </w:r>
      <w:r w:rsidR="0096023F">
        <w:t>l’ONU applicables aux véhicules à roues et aux équipements et pièces susceptibles d’être montés ou utilisés sur les véhicules à roues et les conditions de reconnaissance réciproque des homologations délivrées conformément à ces Règlements</w:t>
      </w:r>
      <w:r w:rsidR="00713027" w:rsidRPr="0041772A">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6000D4" w:rsidRPr="001876CB">
        <w:t xml:space="preserve">3, </w:t>
      </w:r>
      <w:r w:rsidR="006000D4" w:rsidRPr="00383AC6">
        <w:t>comprenant les amendements entrés en vigueur le 14</w:t>
      </w:r>
      <w:r w:rsidR="00DC3AB6">
        <w:t> </w:t>
      </w:r>
      <w:r w:rsidR="006000D4" w:rsidRPr="00383AC6">
        <w:t>septembre 2017</w:t>
      </w:r>
      <w:r w:rsidR="006000D4" w:rsidRPr="001876CB">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6000D4">
        <w:t>141 </w:t>
      </w:r>
      <w:r w:rsidR="006000D4" w:rsidRPr="001876CB">
        <w:t>: Règlement ONU n</w:t>
      </w:r>
      <w:r w:rsidR="006000D4" w:rsidRPr="001876CB">
        <w:rPr>
          <w:vertAlign w:val="superscript"/>
        </w:rPr>
        <w:t>o</w:t>
      </w:r>
      <w:r w:rsidR="006000D4">
        <w:t> </w:t>
      </w:r>
      <w:r w:rsidR="006000D4" w:rsidRPr="001876CB">
        <w:t>142</w:t>
      </w:r>
    </w:p>
    <w:p w:rsidR="00421A10" w:rsidRPr="006549FF" w:rsidRDefault="0029791D" w:rsidP="0029791D">
      <w:pPr>
        <w:pStyle w:val="H1G"/>
      </w:pPr>
      <w:r>
        <w:tab/>
      </w:r>
      <w:r>
        <w:tab/>
      </w:r>
      <w:r w:rsidR="00421A10" w:rsidRPr="006549FF">
        <w:t xml:space="preserve">Révision </w:t>
      </w:r>
      <w:r w:rsidR="006000D4">
        <w:t>1</w:t>
      </w:r>
    </w:p>
    <w:p w:rsidR="00421A10" w:rsidRPr="00CE1DB6" w:rsidRDefault="006000D4" w:rsidP="0029791D">
      <w:pPr>
        <w:pStyle w:val="SingleTxtG"/>
        <w:spacing w:after="0"/>
        <w:rPr>
          <w:spacing w:val="-2"/>
        </w:rPr>
      </w:pPr>
      <w:r w:rsidRPr="00CE1DB6">
        <w:rPr>
          <w:spacing w:val="-2"/>
        </w:rPr>
        <w:t>Com</w:t>
      </w:r>
      <w:r w:rsidR="0086208E">
        <w:rPr>
          <w:spacing w:val="-2"/>
        </w:rPr>
        <w:t xml:space="preserve">plément </w:t>
      </w:r>
      <w:r w:rsidRPr="00CE1DB6">
        <w:rPr>
          <w:spacing w:val="-2"/>
        </w:rPr>
        <w:t xml:space="preserve">1 à la version originale du Règlement </w:t>
      </w:r>
      <w:r w:rsidR="00CE1DB6" w:rsidRPr="00CE1DB6">
        <w:rPr>
          <w:spacing w:val="-2"/>
        </w:rPr>
        <w:t>−</w:t>
      </w:r>
      <w:r w:rsidRPr="00CE1DB6">
        <w:rPr>
          <w:spacing w:val="-2"/>
        </w:rPr>
        <w:t xml:space="preserve"> Date d’entrée en vigueur : 16</w:t>
      </w:r>
      <w:r w:rsidR="00CE1DB6" w:rsidRPr="00CE1DB6">
        <w:rPr>
          <w:spacing w:val="-2"/>
        </w:rPr>
        <w:t> </w:t>
      </w:r>
      <w:r w:rsidRPr="00CE1DB6">
        <w:rPr>
          <w:spacing w:val="-2"/>
        </w:rPr>
        <w:t>octobre 2018</w:t>
      </w:r>
    </w:p>
    <w:p w:rsidR="00421A10" w:rsidRDefault="0029791D" w:rsidP="0029791D">
      <w:pPr>
        <w:pStyle w:val="H1G"/>
      </w:pPr>
      <w:r>
        <w:tab/>
      </w:r>
      <w:r w:rsidRPr="00DC3AB6">
        <w:rPr>
          <w:spacing w:val="2"/>
        </w:rPr>
        <w:tab/>
      </w:r>
      <w:r w:rsidR="00CE1DB6" w:rsidRPr="00DC3AB6">
        <w:rPr>
          <w:spacing w:val="2"/>
        </w:rPr>
        <w:t xml:space="preserve">Règlement établissant des prescriptions uniformes relatives </w:t>
      </w:r>
      <w:r w:rsidR="00DC3AB6" w:rsidRPr="00DC3AB6">
        <w:rPr>
          <w:spacing w:val="2"/>
        </w:rPr>
        <w:br/>
      </w:r>
      <w:r w:rsidR="00CE1DB6" w:rsidRPr="00DC3AB6">
        <w:rPr>
          <w:spacing w:val="-2"/>
        </w:rPr>
        <w:t xml:space="preserve">à l’homologation des voitures particulières en ce qui concerne </w:t>
      </w:r>
      <w:r w:rsidR="00DC3AB6" w:rsidRPr="00DC3AB6">
        <w:rPr>
          <w:spacing w:val="-2"/>
        </w:rPr>
        <w:br/>
      </w:r>
      <w:r w:rsidR="00CE1DB6" w:rsidRPr="009865D0">
        <w:t>le montage des pneumatiques</w:t>
      </w:r>
    </w:p>
    <w:p w:rsidR="006C6BAD" w:rsidRDefault="00CE1DB6" w:rsidP="00E71F7D">
      <w:pPr>
        <w:pStyle w:val="SingleTxtG"/>
        <w:ind w:firstLine="567"/>
        <w:rPr>
          <w:lang w:eastAsia="en-GB"/>
        </w:rPr>
      </w:pPr>
      <w:r w:rsidRPr="00383AC6">
        <w:rPr>
          <w:spacing w:val="-4"/>
          <w:lang w:eastAsia="en-GB"/>
        </w:rPr>
        <w:t>Le présent document est communiqué uniquement à titre d’information.</w:t>
      </w:r>
      <w:r w:rsidRPr="00383AC6">
        <w:rPr>
          <w:lang w:eastAsia="en-GB"/>
        </w:rPr>
        <w:t xml:space="preserve"> </w:t>
      </w:r>
      <w:r>
        <w:rPr>
          <w:lang w:eastAsia="en-GB"/>
        </w:rPr>
        <w:t>L</w:t>
      </w:r>
      <w:r>
        <w:t>e texte authentique, juridiquement contraignant, est celui du document</w:t>
      </w:r>
      <w:r w:rsidRPr="00383AC6">
        <w:rPr>
          <w:lang w:eastAsia="en-GB"/>
        </w:rPr>
        <w:t xml:space="preserve"> </w:t>
      </w:r>
      <w:r w:rsidRPr="001876CB">
        <w:rPr>
          <w:lang w:eastAsia="en-GB"/>
        </w:rPr>
        <w:t>ECE/TRANS/</w:t>
      </w:r>
      <w:r w:rsidR="00E71F7D">
        <w:rPr>
          <w:lang w:eastAsia="en-GB"/>
        </w:rPr>
        <w:t xml:space="preserve"> </w:t>
      </w:r>
      <w:r w:rsidRPr="001876CB">
        <w:rPr>
          <w:lang w:eastAsia="en-GB"/>
        </w:rPr>
        <w:t>WP.29/2018/14.</w:t>
      </w:r>
      <w:r w:rsidR="00442E31">
        <w:rPr>
          <w:noProof/>
          <w:lang w:val="en-GB" w:eastAsia="zh-CN"/>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8B7EBA" w:rsidRPr="0050664C" w:rsidRDefault="008B7EBA" w:rsidP="008B7EBA">
      <w:pPr>
        <w:pStyle w:val="SingleTxtG"/>
        <w:keepNext/>
      </w:pPr>
      <w:r>
        <w:br w:type="page"/>
      </w:r>
      <w:r w:rsidRPr="0029734A">
        <w:rPr>
          <w:i/>
        </w:rPr>
        <w:lastRenderedPageBreak/>
        <w:t>Paragraphe 2.3</w:t>
      </w:r>
      <w:r>
        <w:t>, lire :</w:t>
      </w:r>
    </w:p>
    <w:p w:rsidR="008B7EBA" w:rsidRPr="0050664C" w:rsidRDefault="008B7EBA" w:rsidP="00EA1EC6">
      <w:pPr>
        <w:pStyle w:val="SingleTxtG"/>
        <w:ind w:left="2268" w:hanging="1134"/>
      </w:pPr>
      <w:r>
        <w:t>« 2.3</w:t>
      </w:r>
      <w:r>
        <w:tab/>
        <w:t>“</w:t>
      </w:r>
      <w:r w:rsidRPr="005C6C25">
        <w:rPr>
          <w:i/>
        </w:rPr>
        <w:t>Désignation de la dimension d’un pneu</w:t>
      </w:r>
      <w:r>
        <w:t xml:space="preserve">”, la désignation de la dimension d’un pneu telle que définie au paragraphe 2 du Règlement </w:t>
      </w:r>
      <w:r>
        <w:rPr>
          <w:rFonts w:eastAsia="MS Mincho"/>
        </w:rPr>
        <w:t>n</w:t>
      </w:r>
      <w:r>
        <w:rPr>
          <w:rFonts w:eastAsia="MS Mincho"/>
          <w:vertAlign w:val="superscript"/>
        </w:rPr>
        <w:t>o</w:t>
      </w:r>
      <w:r>
        <w:t xml:space="preserve"> 30 pour les pneus de la classe C1 et au paragraphe 2 du Règlement ONU </w:t>
      </w:r>
      <w:r>
        <w:rPr>
          <w:rFonts w:eastAsia="MS Mincho"/>
        </w:rPr>
        <w:t>n</w:t>
      </w:r>
      <w:r>
        <w:rPr>
          <w:rFonts w:eastAsia="MS Mincho"/>
          <w:vertAlign w:val="superscript"/>
        </w:rPr>
        <w:t>o</w:t>
      </w:r>
      <w:r>
        <w:t> 54 pour ceux des classes C2 et C3 ».</w:t>
      </w:r>
    </w:p>
    <w:p w:rsidR="008B7EBA" w:rsidRPr="0050664C" w:rsidRDefault="008B7EBA" w:rsidP="008B7EBA">
      <w:pPr>
        <w:pStyle w:val="SingleTxtG"/>
        <w:keepNext/>
      </w:pPr>
      <w:r>
        <w:rPr>
          <w:i/>
        </w:rPr>
        <w:t>Paragraphe 2.9</w:t>
      </w:r>
      <w:r>
        <w:t>, lire :</w:t>
      </w:r>
    </w:p>
    <w:p w:rsidR="008B7EBA" w:rsidRPr="0050664C" w:rsidRDefault="008B7EBA" w:rsidP="00EA1EC6">
      <w:pPr>
        <w:pStyle w:val="SingleTxtG"/>
        <w:ind w:left="2268" w:hanging="1134"/>
      </w:pPr>
      <w:r>
        <w:t>« 2.9</w:t>
      </w:r>
      <w:r>
        <w:tab/>
        <w:t>“</w:t>
      </w:r>
      <w:r w:rsidRPr="005C6C25">
        <w:rPr>
          <w:i/>
        </w:rPr>
        <w:t>Pneu pour roulage à plat</w:t>
      </w:r>
      <w:r>
        <w:t xml:space="preserve">”, un pneu tel que défini au paragraphe 2 du Règlement </w:t>
      </w:r>
      <w:r>
        <w:rPr>
          <w:rFonts w:eastAsia="MS Mincho"/>
        </w:rPr>
        <w:t>n</w:t>
      </w:r>
      <w:r>
        <w:rPr>
          <w:rFonts w:eastAsia="MS Mincho"/>
          <w:vertAlign w:val="superscript"/>
        </w:rPr>
        <w:t>o</w:t>
      </w:r>
      <w:r w:rsidR="00664C08">
        <w:t> 30 ».</w:t>
      </w:r>
    </w:p>
    <w:p w:rsidR="008B7EBA" w:rsidRPr="0050664C" w:rsidRDefault="008B7EBA" w:rsidP="008B7EBA">
      <w:pPr>
        <w:pStyle w:val="SingleTxtG"/>
        <w:keepNext/>
      </w:pPr>
      <w:r>
        <w:rPr>
          <w:i/>
        </w:rPr>
        <w:t>Paragraphe 2.18</w:t>
      </w:r>
      <w:r>
        <w:t>, lire :</w:t>
      </w:r>
    </w:p>
    <w:p w:rsidR="008B7EBA" w:rsidRPr="0050664C" w:rsidRDefault="008B7EBA" w:rsidP="00EA1EC6">
      <w:pPr>
        <w:pStyle w:val="SingleTxtG"/>
        <w:ind w:left="2268" w:hanging="1134"/>
      </w:pPr>
      <w:r>
        <w:t>« 2.18</w:t>
      </w:r>
      <w:r>
        <w:tab/>
        <w:t>“</w:t>
      </w:r>
      <w:r w:rsidRPr="005C6C25">
        <w:rPr>
          <w:i/>
        </w:rPr>
        <w:t>Symbole de catégorie de vitesse</w:t>
      </w:r>
      <w:r>
        <w:t xml:space="preserve">”, un symbole tel que défini au paragraphe 2 du Règlement ONU </w:t>
      </w:r>
      <w:r w:rsidR="00F237D4" w:rsidRPr="002D76F4">
        <w:rPr>
          <w:rFonts w:eastAsia="MS Mincho"/>
          <w:szCs w:val="22"/>
        </w:rPr>
        <w:t>n</w:t>
      </w:r>
      <w:r w:rsidR="00F237D4" w:rsidRPr="002D76F4">
        <w:rPr>
          <w:rFonts w:eastAsia="MS Mincho"/>
          <w:szCs w:val="22"/>
          <w:vertAlign w:val="superscript"/>
        </w:rPr>
        <w:t>o</w:t>
      </w:r>
      <w:r w:rsidR="00F237D4">
        <w:t> </w:t>
      </w:r>
      <w:r>
        <w:t xml:space="preserve">30 pour les pneus de la classe C1 et le paragraphe 2 du Règlement ONU </w:t>
      </w:r>
      <w:r>
        <w:rPr>
          <w:rFonts w:eastAsia="MS Mincho"/>
        </w:rPr>
        <w:t>n</w:t>
      </w:r>
      <w:r>
        <w:rPr>
          <w:rFonts w:eastAsia="MS Mincho"/>
          <w:vertAlign w:val="superscript"/>
        </w:rPr>
        <w:t>o</w:t>
      </w:r>
      <w:r w:rsidR="001C2BE8">
        <w:t> 5</w:t>
      </w:r>
      <w:r>
        <w:t>4 pour ceux de la classe C2</w:t>
      </w:r>
      <w:r w:rsidR="001C2BE8">
        <w:t> ».</w:t>
      </w:r>
    </w:p>
    <w:p w:rsidR="008B7EBA" w:rsidRPr="0050664C" w:rsidRDefault="008B7EBA" w:rsidP="008B7EBA">
      <w:pPr>
        <w:pStyle w:val="SingleTxtG"/>
        <w:keepNext/>
      </w:pPr>
      <w:r>
        <w:rPr>
          <w:i/>
        </w:rPr>
        <w:t>Paragraphe 2.19</w:t>
      </w:r>
      <w:r>
        <w:t>, lire :</w:t>
      </w:r>
    </w:p>
    <w:p w:rsidR="008B7EBA" w:rsidRPr="0050664C" w:rsidRDefault="008B7EBA" w:rsidP="00EA1EC6">
      <w:pPr>
        <w:pStyle w:val="SingleTxtG"/>
        <w:ind w:left="2268" w:hanging="1134"/>
      </w:pPr>
      <w:r>
        <w:t>«2.19</w:t>
      </w:r>
      <w:r>
        <w:tab/>
        <w:t>“</w:t>
      </w:r>
      <w:r w:rsidRPr="005C6C25">
        <w:rPr>
          <w:i/>
        </w:rPr>
        <w:t>Indice de capacité de charge</w:t>
      </w:r>
      <w:r>
        <w:t xml:space="preserve">”, un chiffre correspondant à la charge maximale du pneumatique selon la définition du paragraphe 2 du Règlement ONU </w:t>
      </w:r>
      <w:r>
        <w:rPr>
          <w:rFonts w:eastAsia="MS Mincho"/>
        </w:rPr>
        <w:t>n</w:t>
      </w:r>
      <w:r>
        <w:rPr>
          <w:rFonts w:eastAsia="MS Mincho"/>
          <w:vertAlign w:val="superscript"/>
        </w:rPr>
        <w:t>o </w:t>
      </w:r>
      <w:r>
        <w:t xml:space="preserve">30 pour les pneus de la classe C1 et du paragraphe 2 du Règlement ONU </w:t>
      </w:r>
      <w:r>
        <w:rPr>
          <w:rFonts w:eastAsia="MS Mincho"/>
        </w:rPr>
        <w:t>n</w:t>
      </w:r>
      <w:r>
        <w:rPr>
          <w:rFonts w:eastAsia="MS Mincho"/>
          <w:vertAlign w:val="superscript"/>
        </w:rPr>
        <w:t>o</w:t>
      </w:r>
      <w:r>
        <w:rPr>
          <w:rFonts w:eastAsia="MS Mincho"/>
        </w:rPr>
        <w:t> </w:t>
      </w:r>
      <w:r>
        <w:t>54 pour ceux de la classe C2</w:t>
      </w:r>
      <w:r w:rsidR="00BD0D69">
        <w:t> </w:t>
      </w:r>
      <w:r>
        <w:t>».</w:t>
      </w:r>
    </w:p>
    <w:p w:rsidR="008B7EBA" w:rsidRPr="0050664C" w:rsidRDefault="008B7EBA" w:rsidP="008B7EBA">
      <w:pPr>
        <w:pStyle w:val="SingleTxtG"/>
        <w:keepNext/>
      </w:pPr>
      <w:r>
        <w:rPr>
          <w:i/>
        </w:rPr>
        <w:t>Paragraphe 4.8</w:t>
      </w:r>
      <w:r>
        <w:t>, lire :</w:t>
      </w:r>
    </w:p>
    <w:p w:rsidR="008B7EBA" w:rsidRPr="0050664C" w:rsidRDefault="008B7EBA" w:rsidP="00EA1EC6">
      <w:pPr>
        <w:pStyle w:val="SingleTxtG"/>
        <w:ind w:left="2268" w:hanging="1134"/>
      </w:pPr>
      <w:r>
        <w:t>« 4.8</w:t>
      </w:r>
      <w:r>
        <w:tab/>
        <w:t>L’annexe 2 du présent Règlement donne un exemple de marques d’homologation. ».</w:t>
      </w:r>
    </w:p>
    <w:p w:rsidR="008B7EBA" w:rsidRPr="0050664C" w:rsidRDefault="008B7EBA" w:rsidP="008B7EBA">
      <w:pPr>
        <w:pStyle w:val="SingleTxtG"/>
        <w:keepNext/>
      </w:pPr>
      <w:r>
        <w:rPr>
          <w:i/>
        </w:rPr>
        <w:t>Paragraphe 5.2.2.2.1</w:t>
      </w:r>
      <w:r>
        <w:t>, lire :</w:t>
      </w:r>
    </w:p>
    <w:p w:rsidR="008B7EBA" w:rsidRPr="0050664C" w:rsidRDefault="008B7EBA" w:rsidP="00EA1EC6">
      <w:pPr>
        <w:pStyle w:val="SingleTxtG"/>
        <w:ind w:left="2268" w:hanging="1134"/>
      </w:pPr>
      <w:r>
        <w:t>« 5.2.2.2.1</w:t>
      </w:r>
      <w:r>
        <w:tab/>
        <w:t>Dans le cas de pneus de la classe C1, est prise en compte la “</w:t>
      </w:r>
      <w:r w:rsidRPr="000C5826">
        <w:rPr>
          <w:i/>
        </w:rPr>
        <w:t xml:space="preserve">limite de charge </w:t>
      </w:r>
      <w:r w:rsidRPr="00EA1EC6">
        <w:rPr>
          <w:i/>
        </w:rPr>
        <w:t>maximale</w:t>
      </w:r>
      <w:r>
        <w:t xml:space="preserve">” visée au paragraphe 2 du Règlement ONU </w:t>
      </w:r>
      <w:r>
        <w:rPr>
          <w:rFonts w:eastAsia="MS Mincho"/>
        </w:rPr>
        <w:t>n</w:t>
      </w:r>
      <w:r>
        <w:rPr>
          <w:rFonts w:eastAsia="MS Mincho"/>
          <w:vertAlign w:val="superscript"/>
        </w:rPr>
        <w:t>o</w:t>
      </w:r>
      <w:r w:rsidRPr="008D6BD1">
        <w:rPr>
          <w:rFonts w:eastAsia="MS Mincho"/>
        </w:rPr>
        <w:t> </w:t>
      </w:r>
      <w:r w:rsidR="00664C08">
        <w:t>30</w:t>
      </w:r>
      <w:r>
        <w:t> ».</w:t>
      </w:r>
    </w:p>
    <w:p w:rsidR="008B7EBA" w:rsidRPr="0050664C" w:rsidRDefault="008B7EBA" w:rsidP="008B7EBA">
      <w:pPr>
        <w:pStyle w:val="SingleTxtG"/>
        <w:keepNext/>
      </w:pPr>
      <w:r>
        <w:rPr>
          <w:i/>
        </w:rPr>
        <w:t>Paragraphe 5.2.2.2.2</w:t>
      </w:r>
      <w:r>
        <w:t>, lire :</w:t>
      </w:r>
    </w:p>
    <w:p w:rsidR="008B7EBA" w:rsidRPr="0050664C" w:rsidRDefault="008B7EBA" w:rsidP="00EA1EC6">
      <w:pPr>
        <w:pStyle w:val="SingleTxtG"/>
        <w:ind w:left="2268" w:hanging="1134"/>
      </w:pPr>
      <w:r>
        <w:t>« 5.2.2.2.2</w:t>
      </w:r>
      <w:r>
        <w:tab/>
        <w:t>Dans le cas de pneus de la classe C2, est pris en compte le “</w:t>
      </w:r>
      <w:r w:rsidRPr="000C5826">
        <w:rPr>
          <w:i/>
        </w:rPr>
        <w:t>tableau de variation des charges en fonction de la vitesse</w:t>
      </w:r>
      <w:r>
        <w:t xml:space="preserve">” visé au paragraphe 2 du Règlement ONU </w:t>
      </w:r>
      <w:r>
        <w:rPr>
          <w:rFonts w:eastAsia="MS Mincho"/>
        </w:rPr>
        <w:t>n</w:t>
      </w:r>
      <w:r>
        <w:rPr>
          <w:rFonts w:eastAsia="MS Mincho"/>
          <w:vertAlign w:val="superscript"/>
        </w:rPr>
        <w:t>o</w:t>
      </w:r>
      <w:r>
        <w:t> 54, qui définit, en fonction des indices de capacité de charge et des symboles de catégorie de vitesse, les variations de charge que doit pouvoir supporter un pneu en fonction de la vitesse ma</w:t>
      </w:r>
      <w:r w:rsidR="00664C08">
        <w:t>ximale nominale du véhicule. ».</w:t>
      </w:r>
    </w:p>
    <w:p w:rsidR="008B7EBA" w:rsidRPr="0050664C" w:rsidRDefault="008B7EBA" w:rsidP="008B7EBA">
      <w:pPr>
        <w:pStyle w:val="SingleTxtG"/>
        <w:keepNext/>
      </w:pPr>
      <w:r>
        <w:rPr>
          <w:i/>
        </w:rPr>
        <w:t>Paragraphe 5.2.3.1.2</w:t>
      </w:r>
      <w:r>
        <w:t>, lire :</w:t>
      </w:r>
    </w:p>
    <w:p w:rsidR="005F0207" w:rsidRDefault="008B7EBA" w:rsidP="00EA1EC6">
      <w:pPr>
        <w:pStyle w:val="SingleTxtG"/>
        <w:ind w:left="2268" w:hanging="1134"/>
      </w:pPr>
      <w:r>
        <w:t>« 5.2.3.1.2</w:t>
      </w:r>
      <w:r>
        <w:tab/>
        <w:t xml:space="preserve">En ce qui concerne les pneus de la classe C2, le symbole de catégorie de vitesse doit être compatible avec la vitesse maximale nominale du véhicule et le rapport charge/vitesse applicable déterminé dans le tableau de variation des charges en fonction de la vitesse visé au paragraphe 2 du Règlement ONU </w:t>
      </w:r>
      <w:r>
        <w:rPr>
          <w:rFonts w:eastAsia="MS Mincho"/>
        </w:rPr>
        <w:t>n</w:t>
      </w:r>
      <w:r>
        <w:rPr>
          <w:rFonts w:eastAsia="MS Mincho"/>
          <w:vertAlign w:val="superscript"/>
        </w:rPr>
        <w:t>o</w:t>
      </w:r>
      <w:r>
        <w:t> 54.</w:t>
      </w:r>
      <w:r w:rsidR="00664C08">
        <w:t> </w:t>
      </w:r>
      <w:r>
        <w:t>».</w:t>
      </w:r>
    </w:p>
    <w:p w:rsidR="00EA1EC6" w:rsidRPr="00EA1EC6" w:rsidRDefault="00EA1EC6" w:rsidP="00EA1EC6">
      <w:pPr>
        <w:pStyle w:val="SingleTxtG"/>
        <w:spacing w:before="240" w:after="0"/>
        <w:jc w:val="center"/>
        <w:rPr>
          <w:u w:val="single"/>
        </w:rPr>
      </w:pPr>
      <w:r>
        <w:rPr>
          <w:u w:val="single"/>
        </w:rPr>
        <w:tab/>
      </w:r>
      <w:r>
        <w:rPr>
          <w:u w:val="single"/>
        </w:rPr>
        <w:tab/>
      </w:r>
      <w:r>
        <w:rPr>
          <w:u w:val="single"/>
        </w:rPr>
        <w:tab/>
      </w:r>
    </w:p>
    <w:sectPr w:rsidR="00EA1EC6" w:rsidRPr="00EA1EC6" w:rsidSect="006C6BA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9B" w:rsidRDefault="00A50F9B"/>
  </w:endnote>
  <w:endnote w:type="continuationSeparator" w:id="0">
    <w:p w:rsidR="00A50F9B" w:rsidRDefault="00A50F9B">
      <w:pPr>
        <w:pStyle w:val="Footer"/>
      </w:pPr>
    </w:p>
  </w:endnote>
  <w:endnote w:type="continuationNotice" w:id="1">
    <w:p w:rsidR="00A50F9B" w:rsidRPr="00C451B9" w:rsidRDefault="00A50F9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D" w:rsidRPr="006C6BAD" w:rsidRDefault="006C6BAD" w:rsidP="006C6BAD">
    <w:pPr>
      <w:pStyle w:val="Footer"/>
      <w:tabs>
        <w:tab w:val="right" w:pos="9638"/>
      </w:tabs>
    </w:pPr>
    <w:r w:rsidRPr="006C6BAD">
      <w:rPr>
        <w:b/>
        <w:sz w:val="18"/>
      </w:rPr>
      <w:fldChar w:fldCharType="begin"/>
    </w:r>
    <w:r w:rsidRPr="006C6BAD">
      <w:rPr>
        <w:b/>
        <w:sz w:val="18"/>
      </w:rPr>
      <w:instrText xml:space="preserve"> PAGE  \* MERGEFORMAT </w:instrText>
    </w:r>
    <w:r w:rsidRPr="006C6BAD">
      <w:rPr>
        <w:b/>
        <w:sz w:val="18"/>
      </w:rPr>
      <w:fldChar w:fldCharType="separate"/>
    </w:r>
    <w:r w:rsidR="00D813ED">
      <w:rPr>
        <w:b/>
        <w:noProof/>
        <w:sz w:val="18"/>
      </w:rPr>
      <w:t>2</w:t>
    </w:r>
    <w:r w:rsidRPr="006C6BAD">
      <w:rPr>
        <w:b/>
        <w:sz w:val="18"/>
      </w:rPr>
      <w:fldChar w:fldCharType="end"/>
    </w:r>
    <w:r>
      <w:rPr>
        <w:b/>
        <w:sz w:val="18"/>
      </w:rPr>
      <w:tab/>
    </w:r>
    <w:r>
      <w:t>GE.18-18515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D" w:rsidRPr="006C6BAD" w:rsidRDefault="006C6BAD" w:rsidP="006C6BAD">
    <w:pPr>
      <w:pStyle w:val="Footer"/>
      <w:tabs>
        <w:tab w:val="right" w:pos="9638"/>
      </w:tabs>
      <w:rPr>
        <w:b/>
        <w:sz w:val="18"/>
      </w:rPr>
    </w:pPr>
    <w:r>
      <w:t>GE.18-18515</w:t>
    </w:r>
    <w:r>
      <w:tab/>
    </w:r>
    <w:r w:rsidRPr="006C6BAD">
      <w:rPr>
        <w:b/>
        <w:sz w:val="18"/>
      </w:rPr>
      <w:fldChar w:fldCharType="begin"/>
    </w:r>
    <w:r w:rsidRPr="006C6BAD">
      <w:rPr>
        <w:b/>
        <w:sz w:val="18"/>
      </w:rPr>
      <w:instrText xml:space="preserve"> PAGE  \* MERGEFORMAT </w:instrText>
    </w:r>
    <w:r w:rsidRPr="006C6BAD">
      <w:rPr>
        <w:b/>
        <w:sz w:val="18"/>
      </w:rPr>
      <w:fldChar w:fldCharType="separate"/>
    </w:r>
    <w:r w:rsidR="007E01BD">
      <w:rPr>
        <w:b/>
        <w:noProof/>
        <w:sz w:val="18"/>
      </w:rPr>
      <w:t>2</w:t>
    </w:r>
    <w:r w:rsidRPr="006C6B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6C6BAD" w:rsidRDefault="006C6BAD" w:rsidP="006C6BAD">
    <w:pPr>
      <w:pStyle w:val="Footer"/>
      <w:spacing w:before="120"/>
      <w:rPr>
        <w:sz w:val="20"/>
      </w:rPr>
    </w:pPr>
    <w:r>
      <w:rPr>
        <w:sz w:val="20"/>
      </w:rPr>
      <w:t>GE.</w:t>
    </w:r>
    <w:r w:rsidR="00467F2C">
      <w:rPr>
        <w:noProof/>
        <w:lang w:val="en-GB" w:eastAsia="zh-CN"/>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18515  (</w:t>
    </w:r>
    <w:proofErr w:type="gramEnd"/>
    <w:r>
      <w:rPr>
        <w:sz w:val="20"/>
      </w:rPr>
      <w:t>F)</w:t>
    </w:r>
    <w:r w:rsidR="00DC3AB6">
      <w:rPr>
        <w:sz w:val="20"/>
      </w:rPr>
      <w:t xml:space="preserve">    130319    150319</w:t>
    </w:r>
    <w:r>
      <w:rPr>
        <w:sz w:val="20"/>
      </w:rPr>
      <w:br/>
    </w:r>
    <w:r w:rsidRPr="006C6BAD">
      <w:rPr>
        <w:rFonts w:ascii="C39T30Lfz" w:hAnsi="C39T30Lfz"/>
        <w:sz w:val="56"/>
      </w:rPr>
      <w:t></w:t>
    </w:r>
    <w:r w:rsidRPr="006C6BAD">
      <w:rPr>
        <w:rFonts w:ascii="C39T30Lfz" w:hAnsi="C39T30Lfz"/>
        <w:sz w:val="56"/>
      </w:rPr>
      <w:t></w:t>
    </w:r>
    <w:r w:rsidRPr="006C6BAD">
      <w:rPr>
        <w:rFonts w:ascii="C39T30Lfz" w:hAnsi="C39T30Lfz"/>
        <w:sz w:val="56"/>
      </w:rPr>
      <w:t></w:t>
    </w:r>
    <w:r w:rsidRPr="006C6BAD">
      <w:rPr>
        <w:rFonts w:ascii="C39T30Lfz" w:hAnsi="C39T30Lfz"/>
        <w:sz w:val="56"/>
      </w:rPr>
      <w:t></w:t>
    </w:r>
    <w:r w:rsidRPr="006C6BAD">
      <w:rPr>
        <w:rFonts w:ascii="C39T30Lfz" w:hAnsi="C39T30Lfz"/>
        <w:sz w:val="56"/>
      </w:rPr>
      <w:t></w:t>
    </w:r>
    <w:r w:rsidRPr="006C6BAD">
      <w:rPr>
        <w:rFonts w:ascii="C39T30Lfz" w:hAnsi="C39T30Lfz"/>
        <w:sz w:val="56"/>
      </w:rPr>
      <w:t></w:t>
    </w:r>
    <w:r w:rsidRPr="006C6BAD">
      <w:rPr>
        <w:rFonts w:ascii="C39T30Lfz" w:hAnsi="C39T30Lfz"/>
        <w:sz w:val="56"/>
      </w:rPr>
      <w:t></w:t>
    </w:r>
    <w:r w:rsidRPr="006C6BAD">
      <w:rPr>
        <w:rFonts w:ascii="C39T30Lfz" w:hAnsi="C39T30Lfz"/>
        <w:sz w:val="56"/>
      </w:rPr>
      <w:t></w:t>
    </w:r>
    <w:r w:rsidRPr="006C6BAD">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41/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1/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9B" w:rsidRPr="00D27D5E" w:rsidRDefault="00A50F9B" w:rsidP="00D27D5E">
      <w:pPr>
        <w:tabs>
          <w:tab w:val="right" w:pos="2155"/>
        </w:tabs>
        <w:spacing w:after="80"/>
        <w:ind w:left="680"/>
        <w:rPr>
          <w:u w:val="single"/>
        </w:rPr>
      </w:pPr>
      <w:r>
        <w:rPr>
          <w:u w:val="single"/>
        </w:rPr>
        <w:tab/>
      </w:r>
    </w:p>
  </w:footnote>
  <w:footnote w:type="continuationSeparator" w:id="0">
    <w:p w:rsidR="00A50F9B" w:rsidRPr="00D171D4" w:rsidRDefault="00A50F9B" w:rsidP="00D171D4">
      <w:pPr>
        <w:tabs>
          <w:tab w:val="right" w:pos="2155"/>
        </w:tabs>
        <w:spacing w:after="80"/>
        <w:ind w:left="680"/>
        <w:rPr>
          <w:u w:val="single"/>
        </w:rPr>
      </w:pPr>
      <w:r w:rsidRPr="00D171D4">
        <w:rPr>
          <w:u w:val="single"/>
        </w:rPr>
        <w:tab/>
      </w:r>
    </w:p>
  </w:footnote>
  <w:footnote w:type="continuationNotice" w:id="1">
    <w:p w:rsidR="00A50F9B" w:rsidRPr="00C451B9" w:rsidRDefault="00A50F9B" w:rsidP="00C451B9">
      <w:pPr>
        <w:spacing w:line="240" w:lineRule="auto"/>
        <w:rPr>
          <w:sz w:val="2"/>
          <w:szCs w:val="2"/>
        </w:rPr>
      </w:pPr>
    </w:p>
  </w:footnote>
  <w:footnote w:id="2">
    <w:p w:rsidR="00713027" w:rsidRPr="00713027" w:rsidRDefault="00713027">
      <w:pPr>
        <w:pStyle w:val="FootnoteText"/>
      </w:pPr>
      <w:r>
        <w:rPr>
          <w:rStyle w:val="FootnoteReference"/>
        </w:rPr>
        <w:tab/>
      </w:r>
      <w:r w:rsidRPr="00713027">
        <w:rPr>
          <w:rStyle w:val="FootnoteReference"/>
          <w:sz w:val="20"/>
          <w:vertAlign w:val="baseline"/>
        </w:rPr>
        <w:t>*</w:t>
      </w:r>
      <w:r>
        <w:rPr>
          <w:rStyle w:val="FootnoteReference"/>
          <w:sz w:val="20"/>
          <w:vertAlign w:val="baseline"/>
        </w:rPr>
        <w:tab/>
      </w:r>
      <w:r w:rsidRPr="00C16DEA">
        <w:rPr>
          <w:szCs w:val="18"/>
        </w:rPr>
        <w:t>Anciens titres de l’Accord : Accord concernant l’adoption de conditions uniformes d’homologation et la reconnaissance réciproque de l’homologation des équipements et pièces de véhicules à moteur, en date, à Genève, du 2</w:t>
      </w:r>
      <w:r>
        <w:rPr>
          <w:szCs w:val="18"/>
        </w:rPr>
        <w:t xml:space="preserve">0 mars 1958 (version originale) ; </w:t>
      </w:r>
      <w:r w:rsidRPr="00C16DEA">
        <w:rPr>
          <w:szCs w:val="18"/>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Pr>
          <w:szCs w:val="18"/>
        </w:rPr>
        <w:t> </w:t>
      </w:r>
      <w:r w:rsidRPr="00C16DEA">
        <w:rPr>
          <w:szCs w:val="18"/>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D" w:rsidRPr="006C6BAD" w:rsidRDefault="006C6BAD">
    <w:pPr>
      <w:pStyle w:val="Header"/>
      <w:rPr>
        <w:lang w:val="en-US"/>
      </w:rPr>
    </w:pPr>
    <w:r>
      <w:fldChar w:fldCharType="begin"/>
    </w:r>
    <w:r w:rsidRPr="006C6BAD">
      <w:rPr>
        <w:lang w:val="en-US"/>
      </w:rPr>
      <w:instrText xml:space="preserve"> TITLE  \* MERGEFORMAT </w:instrText>
    </w:r>
    <w:r>
      <w:fldChar w:fldCharType="separate"/>
    </w:r>
    <w:r w:rsidR="00D813ED">
      <w:rPr>
        <w:lang w:val="en-US"/>
      </w:rPr>
      <w:t>E/ECE/324/Rev.2/Add.141/Amend.1</w:t>
    </w:r>
    <w:r>
      <w:fldChar w:fldCharType="end"/>
    </w:r>
    <w:r w:rsidRPr="006C6BAD">
      <w:rPr>
        <w:lang w:val="en-US"/>
      </w:rPr>
      <w:br/>
    </w:r>
    <w:r>
      <w:fldChar w:fldCharType="begin"/>
    </w:r>
    <w:r w:rsidRPr="006C6BAD">
      <w:rPr>
        <w:lang w:val="en-US"/>
      </w:rPr>
      <w:instrText xml:space="preserve"> KEYWORDS  \* MERGEFORMAT </w:instrText>
    </w:r>
    <w:r>
      <w:fldChar w:fldCharType="separate"/>
    </w:r>
    <w:r w:rsidR="00D813ED">
      <w:rPr>
        <w:lang w:val="en-US"/>
      </w:rPr>
      <w:t>E/ECE/TRANS/505/Rev.2/Add.141/Amend.1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D" w:rsidRPr="006C6BAD" w:rsidRDefault="006C6BAD" w:rsidP="006C6BAD">
    <w:pPr>
      <w:pStyle w:val="Header"/>
      <w:jc w:val="right"/>
      <w:rPr>
        <w:lang w:val="en-US"/>
      </w:rPr>
    </w:pPr>
    <w:r>
      <w:fldChar w:fldCharType="begin"/>
    </w:r>
    <w:r w:rsidRPr="006C6BAD">
      <w:rPr>
        <w:lang w:val="en-US"/>
      </w:rPr>
      <w:instrText xml:space="preserve"> TITLE  \* MERGEFORMAT </w:instrText>
    </w:r>
    <w:r>
      <w:fldChar w:fldCharType="separate"/>
    </w:r>
    <w:r w:rsidR="00D813ED">
      <w:rPr>
        <w:lang w:val="en-US"/>
      </w:rPr>
      <w:t>E/ECE/324/Rev.2/Add.141/Amend.1</w:t>
    </w:r>
    <w:r>
      <w:fldChar w:fldCharType="end"/>
    </w:r>
    <w:r w:rsidRPr="006C6BAD">
      <w:rPr>
        <w:lang w:val="en-US"/>
      </w:rPr>
      <w:br/>
    </w:r>
    <w:r>
      <w:fldChar w:fldCharType="begin"/>
    </w:r>
    <w:r w:rsidRPr="006C6BAD">
      <w:rPr>
        <w:lang w:val="en-US"/>
      </w:rPr>
      <w:instrText xml:space="preserve"> KEYWORDS  \* MERGEFORMAT </w:instrText>
    </w:r>
    <w:r>
      <w:fldChar w:fldCharType="separate"/>
    </w:r>
    <w:r w:rsidR="00D813ED">
      <w:rPr>
        <w:lang w:val="en-US"/>
      </w:rPr>
      <w:t>E/ECE/TRANS/505/Rev.2/Add.141/Amend.1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9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2BE8"/>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80B61"/>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1772A"/>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00D4"/>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4C08"/>
    <w:rsid w:val="00665786"/>
    <w:rsid w:val="00671C93"/>
    <w:rsid w:val="00671F00"/>
    <w:rsid w:val="006729C8"/>
    <w:rsid w:val="00675501"/>
    <w:rsid w:val="0068562A"/>
    <w:rsid w:val="006A6B31"/>
    <w:rsid w:val="006A6C95"/>
    <w:rsid w:val="006A7B29"/>
    <w:rsid w:val="006B0EB2"/>
    <w:rsid w:val="006B0FF8"/>
    <w:rsid w:val="006B4590"/>
    <w:rsid w:val="006C340C"/>
    <w:rsid w:val="006C6BAD"/>
    <w:rsid w:val="006E29E5"/>
    <w:rsid w:val="006F1D0B"/>
    <w:rsid w:val="006F27A8"/>
    <w:rsid w:val="006F3493"/>
    <w:rsid w:val="006F3544"/>
    <w:rsid w:val="00700A8B"/>
    <w:rsid w:val="0070347C"/>
    <w:rsid w:val="007102D2"/>
    <w:rsid w:val="00713027"/>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E01BD"/>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208E"/>
    <w:rsid w:val="0089521B"/>
    <w:rsid w:val="00895DE5"/>
    <w:rsid w:val="008A0FA8"/>
    <w:rsid w:val="008A1EC0"/>
    <w:rsid w:val="008A4A2E"/>
    <w:rsid w:val="008B44C4"/>
    <w:rsid w:val="008B7EBA"/>
    <w:rsid w:val="008C322B"/>
    <w:rsid w:val="008C4B74"/>
    <w:rsid w:val="008D1156"/>
    <w:rsid w:val="008D59DB"/>
    <w:rsid w:val="008E0319"/>
    <w:rsid w:val="008E4DE2"/>
    <w:rsid w:val="008E6252"/>
    <w:rsid w:val="008E7CE2"/>
    <w:rsid w:val="008E7FAE"/>
    <w:rsid w:val="008F1CCB"/>
    <w:rsid w:val="00911BF7"/>
    <w:rsid w:val="0091594A"/>
    <w:rsid w:val="009230F1"/>
    <w:rsid w:val="00926925"/>
    <w:rsid w:val="00935490"/>
    <w:rsid w:val="009418DE"/>
    <w:rsid w:val="009516B7"/>
    <w:rsid w:val="009545F1"/>
    <w:rsid w:val="00957CE5"/>
    <w:rsid w:val="0096023F"/>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0F9B"/>
    <w:rsid w:val="00A51050"/>
    <w:rsid w:val="00A56945"/>
    <w:rsid w:val="00A57027"/>
    <w:rsid w:val="00A5750C"/>
    <w:rsid w:val="00A72C35"/>
    <w:rsid w:val="00A752BB"/>
    <w:rsid w:val="00A81F93"/>
    <w:rsid w:val="00A9247E"/>
    <w:rsid w:val="00AA0DCA"/>
    <w:rsid w:val="00AA7796"/>
    <w:rsid w:val="00AC67A1"/>
    <w:rsid w:val="00AC7977"/>
    <w:rsid w:val="00AC7E56"/>
    <w:rsid w:val="00AD34AC"/>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12E6"/>
    <w:rsid w:val="00BC3F20"/>
    <w:rsid w:val="00BC76F0"/>
    <w:rsid w:val="00BD0D69"/>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2F02"/>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1DB6"/>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13ED"/>
    <w:rsid w:val="00D9039B"/>
    <w:rsid w:val="00D93582"/>
    <w:rsid w:val="00DA41A2"/>
    <w:rsid w:val="00DA43A1"/>
    <w:rsid w:val="00DA5E1D"/>
    <w:rsid w:val="00DB01CD"/>
    <w:rsid w:val="00DC161C"/>
    <w:rsid w:val="00DC3628"/>
    <w:rsid w:val="00DC3AB6"/>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1F7D"/>
    <w:rsid w:val="00E73B13"/>
    <w:rsid w:val="00E75C58"/>
    <w:rsid w:val="00E76819"/>
    <w:rsid w:val="00E81E94"/>
    <w:rsid w:val="00E82607"/>
    <w:rsid w:val="00E84A82"/>
    <w:rsid w:val="00E85025"/>
    <w:rsid w:val="00E8545D"/>
    <w:rsid w:val="00E9483E"/>
    <w:rsid w:val="00E96710"/>
    <w:rsid w:val="00E97E2C"/>
    <w:rsid w:val="00EA1EC6"/>
    <w:rsid w:val="00EA3B1D"/>
    <w:rsid w:val="00EB77B9"/>
    <w:rsid w:val="00EB7D07"/>
    <w:rsid w:val="00ED3A26"/>
    <w:rsid w:val="00EF70BB"/>
    <w:rsid w:val="00F02FA9"/>
    <w:rsid w:val="00F06660"/>
    <w:rsid w:val="00F07AE1"/>
    <w:rsid w:val="00F116EB"/>
    <w:rsid w:val="00F1794E"/>
    <w:rsid w:val="00F211AF"/>
    <w:rsid w:val="00F237D4"/>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D969B07-4EFD-408C-AA49-EB990F78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E/ECE/324/Rev.2/Add.141/Amend.1</vt:lpstr>
      <vt:lpstr>E/ECE/324/Rev.2/Add.141/Amend.1</vt:lpstr>
    </vt:vector>
  </TitlesOfParts>
  <Company>CSD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E/ECE/324/Rev.2/Add.141/Amend.1</dc:title>
  <dc:creator>Fabienne CRELIER</dc:creator>
  <cp:keywords>E/ECE/TRANS/505/Rev.2/Add.141/Amend.1</cp:keywords>
  <cp:lastModifiedBy>Marie-Claude Collet</cp:lastModifiedBy>
  <cp:revision>3</cp:revision>
  <cp:lastPrinted>2019-03-25T10:19:00Z</cp:lastPrinted>
  <dcterms:created xsi:type="dcterms:W3CDTF">2019-03-25T10:19:00Z</dcterms:created>
  <dcterms:modified xsi:type="dcterms:W3CDTF">2019-03-25T10:20:00Z</dcterms:modified>
</cp:coreProperties>
</file>