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B4D72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05E" w:rsidRPr="003B4D72" w:rsidRDefault="0092105E" w:rsidP="0092105E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3B4D72">
              <w:rPr>
                <w:sz w:val="40"/>
                <w:lang w:val="en-GB"/>
              </w:rPr>
              <w:t>E</w:t>
            </w:r>
            <w:r w:rsidRPr="003B4D72">
              <w:rPr>
                <w:lang w:val="en-GB"/>
              </w:rPr>
              <w:t>/ECE/324/Rev.1/Add.82/Rev.5/Amend.2−</w:t>
            </w:r>
            <w:r w:rsidRPr="003B4D72">
              <w:rPr>
                <w:sz w:val="40"/>
                <w:lang w:val="en-GB"/>
              </w:rPr>
              <w:t>E</w:t>
            </w:r>
            <w:r w:rsidRPr="003B4D72">
              <w:rPr>
                <w:lang w:val="en-GB"/>
              </w:rPr>
              <w:t>/ECE/TRANS/505/Rev.1/Add.82/Rev.5/Amend.2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B4D72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2105E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51436D">
        <w:t>’</w:t>
      </w:r>
      <w:r w:rsidR="00421A10" w:rsidRPr="00583D68">
        <w:t>adoption de prescriptions techniques uniformes applicables aux véhicules à roues, aux équipements et aux pièces susceptibles d</w:t>
      </w:r>
      <w:r w:rsidR="0051436D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2105E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9F0130">
      <w:pPr>
        <w:pStyle w:val="HChG"/>
        <w:spacing w:before="320" w:after="200"/>
      </w:pPr>
      <w:r>
        <w:tab/>
      </w:r>
      <w:r>
        <w:tab/>
      </w:r>
      <w:r w:rsidR="00421A10" w:rsidRPr="006549FF">
        <w:t xml:space="preserve">Additif </w:t>
      </w:r>
      <w:r w:rsidR="0092105E">
        <w:t>82 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2105E">
        <w:t>83</w:t>
      </w:r>
    </w:p>
    <w:p w:rsidR="00421A10" w:rsidRPr="006549FF" w:rsidRDefault="0029791D" w:rsidP="009F0130">
      <w:pPr>
        <w:pStyle w:val="H1G"/>
        <w:spacing w:before="320" w:after="200"/>
      </w:pPr>
      <w:r>
        <w:tab/>
      </w:r>
      <w:r>
        <w:tab/>
      </w:r>
      <w:r w:rsidR="00421A10" w:rsidRPr="006549FF">
        <w:t xml:space="preserve">Révision </w:t>
      </w:r>
      <w:r w:rsidR="0092105E">
        <w:t>5 − Amendement 2</w:t>
      </w:r>
    </w:p>
    <w:p w:rsidR="00421A10" w:rsidRPr="0029791D" w:rsidRDefault="0092105E" w:rsidP="0092105E">
      <w:pPr>
        <w:pStyle w:val="SingleTxtG"/>
        <w:spacing w:after="0"/>
      </w:pPr>
      <w:r w:rsidRPr="00F76100">
        <w:rPr>
          <w:spacing w:val="-2"/>
          <w:lang w:val="fr-FR"/>
        </w:rPr>
        <w:t>Complément 2 à la série 07 d</w:t>
      </w:r>
      <w:r w:rsidR="0051436D">
        <w:rPr>
          <w:spacing w:val="-2"/>
          <w:lang w:val="fr-FR"/>
        </w:rPr>
        <w:t>’</w:t>
      </w:r>
      <w:r w:rsidRPr="00F76100">
        <w:rPr>
          <w:spacing w:val="-2"/>
          <w:lang w:val="fr-FR"/>
        </w:rPr>
        <w:t xml:space="preserve">amendements au Règlement </w:t>
      </w:r>
      <w:r>
        <w:rPr>
          <w:spacing w:val="-2"/>
          <w:lang w:val="fr-FR"/>
        </w:rPr>
        <w:t>−</w:t>
      </w:r>
      <w:r w:rsidRPr="00F76100">
        <w:rPr>
          <w:spacing w:val="-2"/>
          <w:lang w:val="fr-FR"/>
        </w:rPr>
        <w:t xml:space="preserve"> Date d</w:t>
      </w:r>
      <w:r w:rsidR="0051436D">
        <w:rPr>
          <w:spacing w:val="-2"/>
          <w:lang w:val="fr-FR"/>
        </w:rPr>
        <w:t>’</w:t>
      </w:r>
      <w:r w:rsidRPr="00F76100">
        <w:rPr>
          <w:spacing w:val="-2"/>
          <w:lang w:val="fr-FR"/>
        </w:rPr>
        <w:t>entrée en vigueur :</w:t>
      </w:r>
      <w:r>
        <w:rPr>
          <w:spacing w:val="-2"/>
          <w:lang w:val="fr-FR"/>
        </w:rPr>
        <w:br/>
      </w:r>
      <w:r w:rsidRPr="00F76100">
        <w:rPr>
          <w:lang w:val="fr-FR"/>
        </w:rPr>
        <w:t>8 octobre 2016</w:t>
      </w:r>
    </w:p>
    <w:p w:rsidR="00421A10" w:rsidRDefault="0029791D" w:rsidP="009F0130">
      <w:pPr>
        <w:pStyle w:val="H1G"/>
        <w:spacing w:before="320" w:after="200"/>
      </w:pPr>
      <w:r>
        <w:tab/>
      </w:r>
      <w:r>
        <w:tab/>
      </w:r>
      <w:r w:rsidR="009F0130" w:rsidRPr="00F76100">
        <w:rPr>
          <w:lang w:val="fr-FR"/>
        </w:rPr>
        <w:t>Prescriptions uniformes relatives à l</w:t>
      </w:r>
      <w:r w:rsidR="0051436D">
        <w:rPr>
          <w:lang w:val="fr-FR"/>
        </w:rPr>
        <w:t>’</w:t>
      </w:r>
      <w:r w:rsidR="009F0130" w:rsidRPr="00F76100">
        <w:rPr>
          <w:lang w:val="fr-FR"/>
        </w:rPr>
        <w:t xml:space="preserve">homologation des véhicules </w:t>
      </w:r>
      <w:r w:rsidR="007E48B8">
        <w:rPr>
          <w:lang w:val="fr-FR"/>
        </w:rPr>
        <w:br/>
      </w:r>
      <w:r w:rsidR="009F0130" w:rsidRPr="00F76100">
        <w:rPr>
          <w:lang w:val="fr-FR"/>
        </w:rPr>
        <w:t xml:space="preserve">en ce qui concerne les émissions de polluants selon les exigences </w:t>
      </w:r>
      <w:r w:rsidR="007E48B8">
        <w:rPr>
          <w:lang w:val="fr-FR"/>
        </w:rPr>
        <w:br/>
      </w:r>
      <w:r w:rsidR="009F0130" w:rsidRPr="00F76100">
        <w:rPr>
          <w:lang w:val="fr-FR"/>
        </w:rPr>
        <w:t>du moteur en matière de carburant</w:t>
      </w:r>
    </w:p>
    <w:p w:rsidR="009F0130" w:rsidRDefault="009F0130" w:rsidP="009F0130">
      <w:pPr>
        <w:pStyle w:val="SingleTxtG"/>
        <w:rPr>
          <w:spacing w:val="2"/>
          <w:lang w:val="fr-FR"/>
        </w:rPr>
      </w:pPr>
      <w:r w:rsidRPr="009F0130">
        <w:rPr>
          <w:spacing w:val="-2"/>
        </w:rPr>
        <w:t>Le présent document est communiqué uniquement à titre d</w:t>
      </w:r>
      <w:r w:rsidR="0051436D">
        <w:rPr>
          <w:spacing w:val="-2"/>
        </w:rPr>
        <w:t>’</w:t>
      </w:r>
      <w:r w:rsidRPr="009F0130">
        <w:rPr>
          <w:spacing w:val="-2"/>
        </w:rPr>
        <w:t>information. Le texte authentique,</w:t>
      </w:r>
      <w:r w:rsidRPr="003B046B">
        <w:rPr>
          <w:spacing w:val="2"/>
        </w:rPr>
        <w:t xml:space="preserve"> juridiquement contraignant, est celui du document </w:t>
      </w:r>
      <w:r w:rsidRPr="003B046B">
        <w:rPr>
          <w:spacing w:val="2"/>
          <w:lang w:val="fr-FR"/>
        </w:rPr>
        <w:t>ECE/TRANS/WP.29/2016/</w:t>
      </w:r>
      <w:r w:rsidR="00D76D68">
        <w:rPr>
          <w:spacing w:val="2"/>
          <w:lang w:val="fr-FR"/>
        </w:rPr>
        <w:t>28</w:t>
      </w:r>
      <w:r>
        <w:rPr>
          <w:spacing w:val="2"/>
          <w:lang w:val="fr-FR"/>
        </w:rPr>
        <w:t>.</w:t>
      </w:r>
    </w:p>
    <w:p w:rsidR="009F0130" w:rsidRPr="009F0130" w:rsidRDefault="009F0130" w:rsidP="009F0130">
      <w:pPr>
        <w:pStyle w:val="SingleTxtG"/>
        <w:rPr>
          <w:i/>
          <w:spacing w:val="2"/>
          <w:lang w:val="fr-FR"/>
        </w:rPr>
      </w:pPr>
      <w:r>
        <w:rPr>
          <w:spacing w:val="2"/>
          <w:lang w:val="fr-FR"/>
        </w:rPr>
        <w:lastRenderedPageBreak/>
        <w:br w:type="page"/>
      </w:r>
      <w:r w:rsidRPr="009F0130">
        <w:rPr>
          <w:i/>
          <w:spacing w:val="2"/>
          <w:lang w:val="fr-FR"/>
        </w:rPr>
        <w:lastRenderedPageBreak/>
        <w:t>Annexe </w:t>
      </w:r>
      <w:r>
        <w:rPr>
          <w:i/>
          <w:spacing w:val="2"/>
          <w:lang w:val="fr-FR"/>
        </w:rPr>
        <w:t>11</w:t>
      </w:r>
      <w:r w:rsidRPr="009F0130">
        <w:rPr>
          <w:spacing w:val="2"/>
          <w:lang w:val="fr-FR"/>
        </w:rPr>
        <w:t>,</w:t>
      </w:r>
    </w:p>
    <w:p w:rsidR="009F0130" w:rsidRPr="009F0130" w:rsidRDefault="009F0130" w:rsidP="009F0130">
      <w:pPr>
        <w:pStyle w:val="SingleTxtG"/>
        <w:rPr>
          <w:i/>
          <w:spacing w:val="2"/>
          <w:lang w:val="fr-FR"/>
        </w:rPr>
      </w:pPr>
      <w:r w:rsidRPr="009F0130">
        <w:rPr>
          <w:i/>
          <w:spacing w:val="2"/>
          <w:lang w:val="fr-FR"/>
        </w:rPr>
        <w:t>Appendice 1, paragraphe 6.4.1.1</w:t>
      </w:r>
      <w:r w:rsidRPr="0051436D">
        <w:rPr>
          <w:spacing w:val="2"/>
          <w:lang w:val="fr-FR"/>
        </w:rPr>
        <w:t>,</w:t>
      </w:r>
      <w:r w:rsidRPr="009F0130">
        <w:rPr>
          <w:i/>
          <w:spacing w:val="2"/>
          <w:lang w:val="fr-FR"/>
        </w:rPr>
        <w:t xml:space="preserve"> </w:t>
      </w:r>
      <w:r w:rsidR="0051436D">
        <w:rPr>
          <w:spacing w:val="2"/>
          <w:lang w:val="fr-FR"/>
        </w:rPr>
        <w:t>lire</w:t>
      </w:r>
      <w:r w:rsidRPr="009F0130">
        <w:rPr>
          <w:spacing w:val="2"/>
          <w:lang w:val="fr-FR"/>
        </w:rPr>
        <w:t> :</w:t>
      </w:r>
    </w:p>
    <w:p w:rsidR="009F0130" w:rsidRPr="009F0130" w:rsidRDefault="009F0130" w:rsidP="0051436D">
      <w:pPr>
        <w:pStyle w:val="SingleTxtG"/>
        <w:ind w:left="2268" w:hanging="1134"/>
        <w:rPr>
          <w:spacing w:val="2"/>
          <w:lang w:val="fr-FR"/>
        </w:rPr>
      </w:pPr>
      <w:r w:rsidRPr="009F0130">
        <w:rPr>
          <w:spacing w:val="2"/>
          <w:lang w:val="fr-FR"/>
        </w:rPr>
        <w:t>« 6.4.1.1</w:t>
      </w:r>
      <w:r w:rsidRPr="009F0130">
        <w:rPr>
          <w:spacing w:val="2"/>
          <w:lang w:val="fr-FR"/>
        </w:rPr>
        <w:tab/>
        <w:t>Après avoir été préconditionné conformément aux dispositions du paragraphe 6.2 du présent appendice, le véhicule d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essai doit être soumis à un cycle de conduite à l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essai du type I</w:t>
      </w:r>
      <w:r w:rsidR="0051436D">
        <w:rPr>
          <w:spacing w:val="2"/>
          <w:lang w:val="fr-FR"/>
        </w:rPr>
        <w:t xml:space="preserve"> (première et seconde parties).</w:t>
      </w:r>
    </w:p>
    <w:p w:rsidR="009F0130" w:rsidRPr="009F0130" w:rsidRDefault="009F0130" w:rsidP="0051436D">
      <w:pPr>
        <w:pStyle w:val="SingleTxtG"/>
        <w:ind w:left="2268"/>
        <w:rPr>
          <w:spacing w:val="2"/>
          <w:lang w:val="fr-FR"/>
        </w:rPr>
      </w:pPr>
      <w:r w:rsidRPr="009F0130">
        <w:rPr>
          <w:spacing w:val="2"/>
          <w:lang w:val="fr-FR"/>
        </w:rPr>
        <w:tab/>
        <w:t>L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indicateur de dysfonctionnement doit se déclencher avant la fin de cet essai dans toutes les conditions mentionnées aux paragraphes</w:t>
      </w:r>
      <w:r w:rsidR="0051436D">
        <w:rPr>
          <w:spacing w:val="2"/>
          <w:lang w:val="fr-FR"/>
        </w:rPr>
        <w:t> </w:t>
      </w:r>
      <w:r w:rsidRPr="009F0130">
        <w:rPr>
          <w:spacing w:val="2"/>
          <w:lang w:val="fr-FR"/>
        </w:rPr>
        <w:t xml:space="preserve">6.4.1.2 à 6.4.1.5 du présent appendice. Il peut aussi être activé pendant la phase de </w:t>
      </w:r>
      <w:proofErr w:type="spellStart"/>
      <w:r w:rsidRPr="009F0130">
        <w:rPr>
          <w:spacing w:val="2"/>
          <w:lang w:val="fr-FR"/>
        </w:rPr>
        <w:t>préconditionnement</w:t>
      </w:r>
      <w:proofErr w:type="spellEnd"/>
      <w:r w:rsidRPr="009F0130">
        <w:rPr>
          <w:spacing w:val="2"/>
          <w:lang w:val="fr-FR"/>
        </w:rPr>
        <w:t>. Le service technique peut remplacer ces conditions par d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autres conformément au paragraphe 6.4.1.6. Cependant, le nombre de défaillances simulées ne doit pas dépasser quatre aux fins de la procédure d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homologation</w:t>
      </w:r>
      <w:r w:rsidR="0051436D">
        <w:rPr>
          <w:spacing w:val="2"/>
          <w:lang w:val="fr-FR"/>
        </w:rPr>
        <w:t>.</w:t>
      </w:r>
    </w:p>
    <w:p w:rsidR="005F0207" w:rsidRDefault="009F0130" w:rsidP="0051436D">
      <w:pPr>
        <w:pStyle w:val="SingleTxtG"/>
        <w:ind w:left="2268"/>
        <w:rPr>
          <w:spacing w:val="2"/>
          <w:lang w:val="fr-FR"/>
        </w:rPr>
      </w:pPr>
      <w:r w:rsidRPr="009F0130">
        <w:rPr>
          <w:spacing w:val="2"/>
          <w:lang w:val="fr-FR"/>
        </w:rPr>
        <w:tab/>
        <w:t>Dans le cas de l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essai d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un véhicule à bicarburation, les deux types de carburant peuvent être utilisés, à condition que le nombre de défaillances simulées ne dépasse pas quatre à la discrétion de l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autorité d</w:t>
      </w:r>
      <w:r w:rsidR="0051436D">
        <w:rPr>
          <w:spacing w:val="2"/>
          <w:lang w:val="fr-FR"/>
        </w:rPr>
        <w:t>’</w:t>
      </w:r>
      <w:r w:rsidRPr="009F0130">
        <w:rPr>
          <w:spacing w:val="2"/>
          <w:lang w:val="fr-FR"/>
        </w:rPr>
        <w:t>homologation de type. »</w:t>
      </w:r>
      <w:r w:rsidR="0051436D">
        <w:rPr>
          <w:spacing w:val="2"/>
          <w:lang w:val="fr-FR"/>
        </w:rPr>
        <w:t>.</w:t>
      </w:r>
    </w:p>
    <w:p w:rsidR="0051436D" w:rsidRPr="0051436D" w:rsidRDefault="0051436D" w:rsidP="005143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436D" w:rsidRPr="0051436D" w:rsidSect="009210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A8" w:rsidRDefault="006E62A8"/>
  </w:endnote>
  <w:endnote w:type="continuationSeparator" w:id="0">
    <w:p w:rsidR="006E62A8" w:rsidRDefault="006E62A8">
      <w:pPr>
        <w:pStyle w:val="Footer"/>
      </w:pPr>
    </w:p>
  </w:endnote>
  <w:endnote w:type="continuationNotice" w:id="1">
    <w:p w:rsidR="006E62A8" w:rsidRPr="00C451B9" w:rsidRDefault="006E62A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5E" w:rsidRPr="0092105E" w:rsidRDefault="0092105E" w:rsidP="0092105E">
    <w:pPr>
      <w:pStyle w:val="Footer"/>
      <w:tabs>
        <w:tab w:val="right" w:pos="9638"/>
      </w:tabs>
    </w:pPr>
    <w:r w:rsidRPr="0092105E">
      <w:rPr>
        <w:b/>
        <w:sz w:val="18"/>
      </w:rPr>
      <w:fldChar w:fldCharType="begin"/>
    </w:r>
    <w:r w:rsidRPr="0092105E">
      <w:rPr>
        <w:b/>
        <w:sz w:val="18"/>
      </w:rPr>
      <w:instrText xml:space="preserve"> PAGE  \* MERGEFORMAT </w:instrText>
    </w:r>
    <w:r w:rsidRPr="0092105E">
      <w:rPr>
        <w:b/>
        <w:sz w:val="18"/>
      </w:rPr>
      <w:fldChar w:fldCharType="separate"/>
    </w:r>
    <w:r w:rsidR="0021450B">
      <w:rPr>
        <w:b/>
        <w:noProof/>
        <w:sz w:val="18"/>
      </w:rPr>
      <w:t>2</w:t>
    </w:r>
    <w:r w:rsidRPr="0092105E">
      <w:rPr>
        <w:b/>
        <w:sz w:val="18"/>
      </w:rPr>
      <w:fldChar w:fldCharType="end"/>
    </w:r>
    <w:r>
      <w:rPr>
        <w:b/>
        <w:sz w:val="18"/>
      </w:rPr>
      <w:tab/>
    </w:r>
    <w:r>
      <w:t>GE.16-17882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5E" w:rsidRPr="0092105E" w:rsidRDefault="0092105E" w:rsidP="0092105E">
    <w:pPr>
      <w:pStyle w:val="Footer"/>
      <w:tabs>
        <w:tab w:val="right" w:pos="9638"/>
      </w:tabs>
      <w:rPr>
        <w:b/>
        <w:sz w:val="18"/>
      </w:rPr>
    </w:pPr>
    <w:r>
      <w:t>GE.16-17882</w:t>
    </w:r>
    <w:r>
      <w:tab/>
    </w:r>
    <w:r w:rsidRPr="0092105E">
      <w:rPr>
        <w:b/>
        <w:sz w:val="18"/>
      </w:rPr>
      <w:fldChar w:fldCharType="begin"/>
    </w:r>
    <w:r w:rsidRPr="0092105E">
      <w:rPr>
        <w:b/>
        <w:sz w:val="18"/>
      </w:rPr>
      <w:instrText xml:space="preserve"> PAGE  \* MERGEFORMAT </w:instrText>
    </w:r>
    <w:r w:rsidRPr="0092105E">
      <w:rPr>
        <w:b/>
        <w:sz w:val="18"/>
      </w:rPr>
      <w:fldChar w:fldCharType="separate"/>
    </w:r>
    <w:r w:rsidR="009F0130">
      <w:rPr>
        <w:b/>
        <w:noProof/>
        <w:sz w:val="18"/>
      </w:rPr>
      <w:t>3</w:t>
    </w:r>
    <w:r w:rsidRPr="009210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56" w:rsidRPr="0029791D" w:rsidRDefault="000456B8" w:rsidP="00E97E2C">
    <w:pPr>
      <w:ind w:left="1134" w:right="1134"/>
      <w:jc w:val="center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0456B8" w:rsidP="00E97E2C">
    <w:pPr>
      <w:jc w:val="center"/>
      <w:rPr>
        <w:b/>
        <w:bCs/>
        <w:sz w:val="22"/>
      </w:rPr>
    </w:pPr>
    <w:r>
      <w:rPr>
        <w:noProof/>
        <w:lang w:eastAsia="fr-CH"/>
      </w:rPr>
      <w:drawing>
        <wp:inline distT="0" distB="0" distL="0" distR="0">
          <wp:extent cx="914400" cy="7753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9F0130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92105E" w:rsidRDefault="0092105E" w:rsidP="0092105E">
    <w:pPr>
      <w:pStyle w:val="Footer"/>
      <w:spacing w:before="120"/>
      <w:rPr>
        <w:sz w:val="20"/>
      </w:rPr>
    </w:pPr>
    <w:r>
      <w:rPr>
        <w:sz w:val="20"/>
      </w:rPr>
      <w:t>GE.16-</w:t>
    </w:r>
    <w:proofErr w:type="gramStart"/>
    <w:r>
      <w:rPr>
        <w:sz w:val="20"/>
      </w:rPr>
      <w:t>17882  (</w:t>
    </w:r>
    <w:proofErr w:type="gramEnd"/>
    <w:r>
      <w:rPr>
        <w:sz w:val="20"/>
      </w:rPr>
      <w:t>F)</w:t>
    </w:r>
    <w:r w:rsidR="001A6915">
      <w:rPr>
        <w:sz w:val="20"/>
      </w:rPr>
      <w:t xml:space="preserve">    </w:t>
    </w:r>
    <w:r w:rsidR="007E48B8">
      <w:rPr>
        <w:sz w:val="20"/>
      </w:rPr>
      <w:t>131216    151216</w:t>
    </w:r>
    <w:r>
      <w:rPr>
        <w:sz w:val="20"/>
      </w:rPr>
      <w:br/>
    </w:r>
    <w:r w:rsidRPr="0092105E">
      <w:rPr>
        <w:rFonts w:ascii="C39T30Lfz" w:hAnsi="C39T30Lfz"/>
        <w:sz w:val="56"/>
      </w:rPr>
      <w:t></w:t>
    </w:r>
    <w:r w:rsidRPr="0092105E">
      <w:rPr>
        <w:rFonts w:ascii="C39T30Lfz" w:hAnsi="C39T30Lfz"/>
        <w:sz w:val="56"/>
      </w:rPr>
      <w:t></w:t>
    </w:r>
    <w:r w:rsidRPr="0092105E">
      <w:rPr>
        <w:rFonts w:ascii="C39T30Lfz" w:hAnsi="C39T30Lfz"/>
        <w:sz w:val="56"/>
      </w:rPr>
      <w:t></w:t>
    </w:r>
    <w:r w:rsidRPr="0092105E">
      <w:rPr>
        <w:rFonts w:ascii="C39T30Lfz" w:hAnsi="C39T30Lfz"/>
        <w:sz w:val="56"/>
      </w:rPr>
      <w:t></w:t>
    </w:r>
    <w:r w:rsidRPr="0092105E">
      <w:rPr>
        <w:rFonts w:ascii="C39T30Lfz" w:hAnsi="C39T30Lfz"/>
        <w:sz w:val="56"/>
      </w:rPr>
      <w:t></w:t>
    </w:r>
    <w:r w:rsidRPr="0092105E">
      <w:rPr>
        <w:rFonts w:ascii="C39T30Lfz" w:hAnsi="C39T30Lfz"/>
        <w:sz w:val="56"/>
      </w:rPr>
      <w:t></w:t>
    </w:r>
    <w:r w:rsidRPr="0092105E">
      <w:rPr>
        <w:rFonts w:ascii="C39T30Lfz" w:hAnsi="C39T30Lfz"/>
        <w:sz w:val="56"/>
      </w:rPr>
      <w:t></w:t>
    </w:r>
    <w:r w:rsidRPr="0092105E">
      <w:rPr>
        <w:rFonts w:ascii="C39T30Lfz" w:hAnsi="C39T30Lfz"/>
        <w:sz w:val="56"/>
      </w:rPr>
      <w:t></w:t>
    </w:r>
    <w:r w:rsidRPr="0092105E">
      <w:rPr>
        <w:rFonts w:ascii="C39T30Lfz" w:hAnsi="C39T30Lfz"/>
        <w:sz w:val="56"/>
      </w:rPr>
      <w:t></w:t>
    </w:r>
    <w:r w:rsidR="000456B8">
      <w:rPr>
        <w:noProof/>
        <w:sz w:val="20"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82/Rev.5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82/Rev.5/Amend.2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A8" w:rsidRPr="00D27D5E" w:rsidRDefault="006E62A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62A8" w:rsidRPr="00D171D4" w:rsidRDefault="006E62A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E62A8" w:rsidRPr="00C451B9" w:rsidRDefault="006E62A8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5E" w:rsidRPr="003B4D72" w:rsidRDefault="0092105E">
    <w:pPr>
      <w:pStyle w:val="Header"/>
      <w:rPr>
        <w:lang w:val="en-GB"/>
      </w:rPr>
    </w:pPr>
    <w:r w:rsidRPr="003B4D72">
      <w:rPr>
        <w:lang w:val="en-GB"/>
      </w:rPr>
      <w:t>E/ECE/324/Rev.1/Add.82/Rev.5/Amend.2</w:t>
    </w:r>
    <w:r w:rsidRPr="003B4D72">
      <w:rPr>
        <w:lang w:val="en-GB"/>
      </w:rPr>
      <w:br/>
      <w:t>E/ECE/TRANS/505/Rev.1/Add.82/Rev.5/Amend.2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5E" w:rsidRPr="003B4D72" w:rsidRDefault="0092105E" w:rsidP="0092105E">
    <w:pPr>
      <w:pStyle w:val="Header"/>
      <w:jc w:val="right"/>
      <w:rPr>
        <w:lang w:val="en-GB"/>
      </w:rPr>
    </w:pPr>
    <w:r w:rsidRPr="003B4D72">
      <w:rPr>
        <w:lang w:val="en-GB"/>
      </w:rPr>
      <w:t>E/ECE/324/Rev.1/Add.82/Rev.5/Amend.2</w:t>
    </w:r>
    <w:r w:rsidRPr="003B4D72">
      <w:rPr>
        <w:lang w:val="en-GB"/>
      </w:rPr>
      <w:br/>
      <w:t>E/ECE/TRANS/505/Rev.1/Add.82/Rev.5/Amend.2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A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56B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6915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1450B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4D72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36D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3CDF"/>
    <w:rsid w:val="006A6B31"/>
    <w:rsid w:val="006A6C95"/>
    <w:rsid w:val="006A7B29"/>
    <w:rsid w:val="006B0EB2"/>
    <w:rsid w:val="006B0FF8"/>
    <w:rsid w:val="006B4590"/>
    <w:rsid w:val="006C340C"/>
    <w:rsid w:val="006E29E5"/>
    <w:rsid w:val="006E62A8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48B8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105E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130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76D68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2EF5-DFAE-41CF-BF95-74FEAA1C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E/ECE/324/Rev.1/Add.82/Rev.5/Amend.2</vt:lpstr>
      <vt:lpstr>E/ECE/324/Rev.1/Add.82/Rev.5/Amend.2</vt:lpstr>
    </vt:vector>
  </TitlesOfParts>
  <Company>CSD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E/ECE/324/Rev.1/Add.82/Rev.5/Amend.2</dc:title>
  <dc:subject/>
  <dc:creator>Robert Corinne</dc:creator>
  <cp:keywords/>
  <dc:description/>
  <cp:lastModifiedBy>Olivia Braud</cp:lastModifiedBy>
  <cp:revision>2</cp:revision>
  <cp:lastPrinted>2016-12-15T11:28:00Z</cp:lastPrinted>
  <dcterms:created xsi:type="dcterms:W3CDTF">2018-08-22T13:52:00Z</dcterms:created>
  <dcterms:modified xsi:type="dcterms:W3CDTF">2018-08-22T13:52:00Z</dcterms:modified>
</cp:coreProperties>
</file>