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F7FAB" w14:paraId="70CBA26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D6E457" w14:textId="77777777" w:rsidR="002D5AAC" w:rsidRPr="008C1A9B" w:rsidRDefault="002D5AAC" w:rsidP="002F7F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5028AD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D960F09" w14:textId="77777777" w:rsidR="002F7FAB" w:rsidRPr="002F7FAB" w:rsidRDefault="002F7FAB" w:rsidP="002F7FAB">
            <w:pPr>
              <w:jc w:val="right"/>
              <w:rPr>
                <w:lang w:val="en-US"/>
              </w:rPr>
            </w:pPr>
            <w:r w:rsidRPr="002F7FAB">
              <w:rPr>
                <w:sz w:val="40"/>
                <w:lang w:val="en-US"/>
              </w:rPr>
              <w:t>E</w:t>
            </w:r>
            <w:r w:rsidRPr="002F7FAB">
              <w:rPr>
                <w:lang w:val="en-US"/>
              </w:rPr>
              <w:t>/ECE/324/Rev.1/Add.49/Rev.3/Amend.4</w:t>
            </w:r>
            <w:r w:rsidRPr="002F7FAB">
              <w:rPr>
                <w:rFonts w:cs="Times New Roman"/>
                <w:lang w:val="en-US"/>
              </w:rPr>
              <w:t>−</w:t>
            </w:r>
            <w:r w:rsidRPr="002F7FAB">
              <w:rPr>
                <w:sz w:val="40"/>
                <w:lang w:val="en-US"/>
              </w:rPr>
              <w:t>E</w:t>
            </w:r>
            <w:r w:rsidRPr="002F7FAB">
              <w:rPr>
                <w:lang w:val="en-US"/>
              </w:rPr>
              <w:t>/ECE/TRANS/505/Rev.1/Add.49/Rev.3/Amend.4</w:t>
            </w:r>
          </w:p>
        </w:tc>
      </w:tr>
      <w:tr w:rsidR="002D5AAC" w:rsidRPr="009D084C" w14:paraId="674D9B61" w14:textId="77777777" w:rsidTr="002F7FAB">
        <w:trPr>
          <w:trHeight w:hRule="exact" w:val="256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F23782E" w14:textId="77777777" w:rsidR="002D5AAC" w:rsidRPr="002F7FA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EC6604B" w14:textId="77777777" w:rsidR="002D5AAC" w:rsidRPr="002F7FA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B68E015" w14:textId="77777777" w:rsidR="002F7FAB" w:rsidRDefault="002F7FAB" w:rsidP="002A7B4A">
            <w:pPr>
              <w:spacing w:before="240"/>
              <w:rPr>
                <w:szCs w:val="20"/>
                <w:lang w:val="en-US"/>
              </w:rPr>
            </w:pPr>
          </w:p>
          <w:p w14:paraId="4169605E" w14:textId="77777777" w:rsidR="002F7FAB" w:rsidRDefault="002F7FAB" w:rsidP="002F7FAB">
            <w:pPr>
              <w:spacing w:line="240" w:lineRule="exact"/>
              <w:rPr>
                <w:szCs w:val="20"/>
                <w:lang w:val="en-US"/>
              </w:rPr>
            </w:pPr>
          </w:p>
          <w:p w14:paraId="02A2CEB8" w14:textId="77777777" w:rsidR="002F7FAB" w:rsidRDefault="002F7FAB" w:rsidP="002F7FA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April 2018</w:t>
            </w:r>
          </w:p>
          <w:p w14:paraId="3AE110C8" w14:textId="77777777" w:rsidR="002F7FAB" w:rsidRPr="009D084C" w:rsidRDefault="002F7FAB" w:rsidP="002F7FAB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274EB719" w14:textId="77777777" w:rsidR="002F7FAB" w:rsidRPr="002F7FAB" w:rsidRDefault="002F7FAB" w:rsidP="002F7FAB">
      <w:pPr>
        <w:pStyle w:val="HChGR"/>
        <w:spacing w:before="240" w:after="120"/>
      </w:pPr>
      <w:r w:rsidRPr="002F7FAB">
        <w:tab/>
      </w:r>
      <w:r>
        <w:tab/>
      </w:r>
      <w:r w:rsidRPr="002F7FAB">
        <w:t>Соглашение</w:t>
      </w:r>
      <w:bookmarkStart w:id="1" w:name="_Toc340666199"/>
      <w:bookmarkStart w:id="2" w:name="_Toc340745062"/>
      <w:bookmarkEnd w:id="1"/>
      <w:bookmarkEnd w:id="2"/>
    </w:p>
    <w:p w14:paraId="11D31247" w14:textId="77777777" w:rsidR="002F7FAB" w:rsidRPr="002F7FAB" w:rsidRDefault="002F7FAB" w:rsidP="002F7FAB">
      <w:pPr>
        <w:pStyle w:val="H1GR"/>
        <w:spacing w:before="120" w:after="120"/>
      </w:pPr>
      <w:r w:rsidRPr="002F7FAB">
        <w:tab/>
      </w:r>
      <w:r w:rsidRPr="002F7FAB">
        <w:tab/>
      </w:r>
      <w:r w:rsidRPr="002F7FAB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F7FA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6970D940" w14:textId="77777777" w:rsidR="002F7FAB" w:rsidRDefault="002F7FAB" w:rsidP="002F7FAB">
      <w:pPr>
        <w:pStyle w:val="SingleTxtGR"/>
        <w:spacing w:after="0"/>
      </w:pPr>
      <w:r w:rsidRPr="002F7FAB">
        <w:t>(Пересмотр 3, включающий поправки, вступившие в силу 14 сентября 2017 года)</w:t>
      </w:r>
    </w:p>
    <w:p w14:paraId="294B5394" w14:textId="77777777" w:rsidR="002F7FAB" w:rsidRPr="002F7FAB" w:rsidRDefault="002F7FAB" w:rsidP="002F7FAB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21AC0" w14:textId="77777777" w:rsidR="002F7FAB" w:rsidRPr="002F7FAB" w:rsidRDefault="002F7FAB" w:rsidP="002F7FAB">
      <w:pPr>
        <w:pStyle w:val="H1GR"/>
        <w:spacing w:before="240" w:after="120"/>
      </w:pPr>
      <w:r w:rsidRPr="002F7FAB">
        <w:tab/>
      </w:r>
      <w:r w:rsidRPr="002F7FAB">
        <w:tab/>
        <w:t>Добавление 49 – Правила № 50 ООН</w:t>
      </w:r>
    </w:p>
    <w:p w14:paraId="1C590441" w14:textId="77777777" w:rsidR="002F7FAB" w:rsidRPr="002F7FAB" w:rsidRDefault="002F7FAB" w:rsidP="002F7FAB">
      <w:pPr>
        <w:pStyle w:val="H1GR"/>
        <w:spacing w:before="120"/>
      </w:pPr>
      <w:r w:rsidRPr="002F7FAB">
        <w:tab/>
      </w:r>
      <w:r w:rsidRPr="002F7FAB">
        <w:tab/>
        <w:t>Пересмотр 3 – Поправка 4</w:t>
      </w:r>
    </w:p>
    <w:p w14:paraId="1E04F68D" w14:textId="77777777" w:rsidR="002F7FAB" w:rsidRPr="002F7FAB" w:rsidRDefault="002F7FAB" w:rsidP="002F7FAB">
      <w:pPr>
        <w:pStyle w:val="SingleTxtGR"/>
      </w:pPr>
      <w:r w:rsidRPr="002F7FAB">
        <w:t>Дополнение 20 к первоначальному варианту Правил</w:t>
      </w:r>
      <w:r>
        <w:t xml:space="preserve"> − Дата вступления в силу: 10 </w:t>
      </w:r>
      <w:r w:rsidRPr="002F7FAB">
        <w:t>февраля 2018 года</w:t>
      </w:r>
    </w:p>
    <w:p w14:paraId="3F7336E5" w14:textId="77777777" w:rsidR="002F7FAB" w:rsidRPr="002F7FAB" w:rsidRDefault="002F7FAB" w:rsidP="002F7FAB">
      <w:pPr>
        <w:pStyle w:val="H1GR"/>
        <w:spacing w:before="120" w:after="120"/>
      </w:pPr>
      <w:r w:rsidRPr="002F7FAB">
        <w:tab/>
      </w:r>
      <w:r w:rsidRPr="002F7FAB">
        <w:tab/>
        <w:t>Единообразные предписания, касающиеся официального утверждения передних габаритных огней, задних габаритных огней, сигналов торможения, указателей поворота и устройств освещения заднего регистрационного знака для транспортных средств категории L</w:t>
      </w:r>
    </w:p>
    <w:p w14:paraId="420DC775" w14:textId="77777777" w:rsidR="002F7FAB" w:rsidRPr="002F7FAB" w:rsidRDefault="002F7FAB" w:rsidP="002F7FAB">
      <w:pPr>
        <w:pStyle w:val="SingleTxtGR"/>
      </w:pPr>
      <w:r w:rsidRPr="002F7FAB">
        <w:t xml:space="preserve">Настоящий документ опубликован исключительно в информационных целях. Аутентичными и юридически обязательными текстами являются документы: </w:t>
      </w:r>
      <w:r w:rsidRPr="002F7FAB">
        <w:rPr>
          <w:lang w:val="en-GB"/>
        </w:rPr>
        <w:t>ECE</w:t>
      </w:r>
      <w:r w:rsidRPr="002F7FAB">
        <w:t>/</w:t>
      </w:r>
      <w:r w:rsidRPr="002F7FAB">
        <w:rPr>
          <w:lang w:val="en-GB"/>
        </w:rPr>
        <w:t>TRANS</w:t>
      </w:r>
      <w:r w:rsidRPr="002F7FAB">
        <w:t>/</w:t>
      </w:r>
      <w:r w:rsidRPr="002F7FAB">
        <w:rPr>
          <w:lang w:val="en-GB"/>
        </w:rPr>
        <w:t>WP</w:t>
      </w:r>
      <w:r w:rsidRPr="002F7FAB">
        <w:t xml:space="preserve">.29/2017/80 и </w:t>
      </w:r>
      <w:r w:rsidRPr="002F7FAB">
        <w:rPr>
          <w:lang w:val="en-GB"/>
        </w:rPr>
        <w:t>ECE</w:t>
      </w:r>
      <w:r w:rsidRPr="002F7FAB">
        <w:t>/</w:t>
      </w:r>
      <w:r w:rsidRPr="002F7FAB">
        <w:rPr>
          <w:lang w:val="en-GB"/>
        </w:rPr>
        <w:t>TRANS</w:t>
      </w:r>
      <w:r w:rsidRPr="002F7FAB">
        <w:t>/</w:t>
      </w:r>
      <w:r w:rsidRPr="002F7FAB">
        <w:rPr>
          <w:lang w:val="en-GB"/>
        </w:rPr>
        <w:t>WP</w:t>
      </w:r>
      <w:r w:rsidRPr="002F7FAB">
        <w:t xml:space="preserve">.29/2017/81 (с поправкой, содержащейся в пункте 76 доклада </w:t>
      </w:r>
      <w:r w:rsidRPr="002F7FAB">
        <w:rPr>
          <w:lang w:val="en-GB"/>
        </w:rPr>
        <w:t>ECE</w:t>
      </w:r>
      <w:r w:rsidRPr="002F7FAB">
        <w:t>/</w:t>
      </w:r>
      <w:r w:rsidRPr="002F7FAB">
        <w:rPr>
          <w:lang w:val="en-GB"/>
        </w:rPr>
        <w:t>TRANS</w:t>
      </w:r>
      <w:r w:rsidRPr="002F7FAB">
        <w:t>/</w:t>
      </w:r>
      <w:r w:rsidRPr="002F7FAB">
        <w:rPr>
          <w:lang w:val="en-GB"/>
        </w:rPr>
        <w:t>WP</w:t>
      </w:r>
      <w:r w:rsidRPr="002F7FAB">
        <w:t>.29/1131).</w:t>
      </w:r>
    </w:p>
    <w:p w14:paraId="25A9AC4C" w14:textId="77777777" w:rsidR="002F7FAB" w:rsidRPr="002F7FAB" w:rsidRDefault="002F7FAB" w:rsidP="002F7FAB">
      <w:pPr>
        <w:pStyle w:val="SingleTxtGR"/>
        <w:spacing w:after="0" w:line="180" w:lineRule="exact"/>
        <w:jc w:val="center"/>
        <w:rPr>
          <w:u w:val="single"/>
        </w:rPr>
      </w:pPr>
      <w:r w:rsidRPr="002F7FAB">
        <w:rPr>
          <w:noProof/>
        </w:rPr>
        <w:drawing>
          <wp:anchor distT="0" distB="137160" distL="114300" distR="114300" simplePos="0" relativeHeight="251659264" behindDoc="0" locked="0" layoutInCell="1" allowOverlap="1" wp14:anchorId="112F44B4" wp14:editId="5D6B57A6">
            <wp:simplePos x="0" y="0"/>
            <wp:positionH relativeFrom="column">
              <wp:posOffset>2540000</wp:posOffset>
            </wp:positionH>
            <wp:positionV relativeFrom="paragraph">
              <wp:posOffset>115040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439C73" w14:textId="77777777" w:rsidR="002F7FAB" w:rsidRDefault="002F7FAB" w:rsidP="002F7FAB">
      <w:pPr>
        <w:pStyle w:val="SingleTxtGR"/>
        <w:spacing w:after="0" w:line="160" w:lineRule="exact"/>
        <w:jc w:val="center"/>
        <w:rPr>
          <w:i/>
          <w:iCs/>
        </w:rPr>
      </w:pPr>
      <w:r w:rsidRPr="002F7FAB">
        <w:rPr>
          <w:b/>
          <w:bCs/>
        </w:rPr>
        <w:t>ОРГАНИЗАЦИЯ ОБЪЕДИНЕННЫХ НАЦИЙ</w:t>
      </w:r>
      <w:r>
        <w:rPr>
          <w:i/>
          <w:iCs/>
        </w:rPr>
        <w:br w:type="page"/>
      </w:r>
    </w:p>
    <w:p w14:paraId="31D5D480" w14:textId="77777777" w:rsidR="002F7FAB" w:rsidRPr="002F7FAB" w:rsidRDefault="002F7FAB" w:rsidP="002F7FAB">
      <w:pPr>
        <w:pStyle w:val="SingleTxtGR"/>
      </w:pPr>
      <w:r w:rsidRPr="002F7FAB">
        <w:rPr>
          <w:i/>
          <w:iCs/>
        </w:rPr>
        <w:lastRenderedPageBreak/>
        <w:t>Пункт 6.4.1</w:t>
      </w:r>
      <w:r w:rsidRPr="002F7FAB">
        <w:t xml:space="preserve"> изменить следующим образом:</w:t>
      </w:r>
    </w:p>
    <w:p w14:paraId="7345FB8D" w14:textId="77777777" w:rsidR="002F7FAB" w:rsidRPr="002F7FAB" w:rsidRDefault="002F7FAB" w:rsidP="002F7FAB">
      <w:pPr>
        <w:pStyle w:val="SingleTxtGR"/>
        <w:ind w:left="2268" w:hanging="1134"/>
      </w:pPr>
      <w:r w:rsidRPr="002F7FAB">
        <w:t>«6.4.1</w:t>
      </w:r>
      <w:r w:rsidRPr="002F7FAB">
        <w:tab/>
      </w:r>
      <w:r>
        <w:tab/>
      </w:r>
      <w:r w:rsidRPr="002F7FAB">
        <w:t>Устройство оснащают только ис</w:t>
      </w:r>
      <w:r>
        <w:t>точником(ами) света, официально </w:t>
      </w:r>
      <w:r w:rsidRPr="002F7FAB">
        <w:t xml:space="preserve">утвержденным(и) на основании Правил № 37 ООН и/или Правил № 128 ООН, при условии, что в Правилах № 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 </w:t>
      </w:r>
    </w:p>
    <w:p w14:paraId="5ED0543F" w14:textId="77777777" w:rsidR="002F7FAB" w:rsidRPr="002F7FAB" w:rsidRDefault="002F7FAB" w:rsidP="002F7FAB">
      <w:pPr>
        <w:pStyle w:val="SingleTxtGR"/>
        <w:rPr>
          <w:bCs/>
        </w:rPr>
      </w:pPr>
      <w:r w:rsidRPr="002F7FAB">
        <w:rPr>
          <w:i/>
          <w:iCs/>
        </w:rPr>
        <w:t>Пункт 6.8</w:t>
      </w:r>
      <w:r w:rsidRPr="002F7FAB">
        <w:t xml:space="preserve"> изменить следующим образом:</w:t>
      </w:r>
    </w:p>
    <w:p w14:paraId="793CD0D2" w14:textId="77777777" w:rsidR="002F7FAB" w:rsidRPr="002F7FAB" w:rsidRDefault="002F7FAB" w:rsidP="002F7FAB">
      <w:pPr>
        <w:pStyle w:val="SingleTxtGR"/>
        <w:ind w:left="2268" w:hanging="1134"/>
        <w:rPr>
          <w:bCs/>
        </w:rPr>
      </w:pPr>
      <w:r w:rsidRPr="002F7FAB">
        <w:t>«6.8</w:t>
      </w:r>
      <w:r w:rsidRPr="002F7FAB">
        <w:tab/>
      </w:r>
      <w:r w:rsidRPr="002F7FAB">
        <w:tab/>
        <w:t>Для огней указателя поворота категорий 11, 11а, 11b, 11с или 12 мигание может производиться с помощью последовательной активации источников света, если соблюдены следующие условия:</w:t>
      </w:r>
    </w:p>
    <w:p w14:paraId="2D24039F" w14:textId="77777777" w:rsidR="002F7FAB" w:rsidRPr="002F7FAB" w:rsidRDefault="002F7FAB" w:rsidP="002F7FAB">
      <w:pPr>
        <w:pStyle w:val="SingleTxtGR"/>
        <w:ind w:left="2835" w:hanging="567"/>
        <w:rPr>
          <w:bCs/>
        </w:rPr>
      </w:pPr>
      <w:r w:rsidRPr="002F7FAB">
        <w:t>a)</w:t>
      </w:r>
      <w:r w:rsidRPr="002F7FAB">
        <w:tab/>
        <w:t>после активации каждый источник света должен оставаться включенным до конца цикла "включено";</w:t>
      </w:r>
    </w:p>
    <w:p w14:paraId="59ABC400" w14:textId="77777777" w:rsidR="002F7FAB" w:rsidRPr="002F7FAB" w:rsidRDefault="002F7FAB" w:rsidP="002F7FAB">
      <w:pPr>
        <w:pStyle w:val="SingleTxtGR"/>
        <w:ind w:left="2835" w:hanging="567"/>
      </w:pPr>
      <w:r w:rsidRPr="002F7FAB">
        <w:t>b)</w:t>
      </w:r>
      <w:r w:rsidRPr="002F7FAB">
        <w:tab/>
        <w:t>последовательность активации источников света должна обеспечивать сигнал, который подается единообразно и поступательно в направлении от внутреннего края к внешнему краю светоизлучающей поверхности;</w:t>
      </w:r>
    </w:p>
    <w:p w14:paraId="2D8B1AA7" w14:textId="77777777" w:rsidR="002F7FAB" w:rsidRPr="002F7FAB" w:rsidRDefault="002F7FAB" w:rsidP="002F7FAB">
      <w:pPr>
        <w:pStyle w:val="SingleTxtGR"/>
        <w:ind w:left="2835" w:hanging="567"/>
      </w:pPr>
      <w:r w:rsidRPr="002F7FAB">
        <w:t>c)</w:t>
      </w:r>
      <w:r w:rsidRPr="002F7FAB">
        <w:tab/>
        <w:t>должен подаваться один сигнал без каких-либо перерывов и вертикальных колебаний (т.</w:t>
      </w:r>
      <w:r w:rsidR="004D21DA">
        <w:rPr>
          <w:lang w:val="en-US"/>
        </w:rPr>
        <w:t> </w:t>
      </w:r>
      <w:r w:rsidRPr="002F7FAB">
        <w:t>е. не более одного изменения направления относительно вертикальной оси). Расстояние между двумя смежными/прилегающими друг к другу отдельными частями светоизлучающей поверхности последовательного указателя поворота, измеренное перпендикулярно исходной оси, не должно превышать 50 мм, вмес</w:t>
      </w:r>
      <w:r w:rsidR="004D21DA">
        <w:t>то значений, указанных в пункте </w:t>
      </w:r>
      <w:r w:rsidRPr="002F7FAB">
        <w:t>5.6.2 Правил № 53. Эти перерывы сигнала не должны создавать какого-либо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каких-либо других функций освещения или световой сигнализации;</w:t>
      </w:r>
    </w:p>
    <w:p w14:paraId="4C8A4CAA" w14:textId="77777777" w:rsidR="002F7FAB" w:rsidRPr="002F7FAB" w:rsidRDefault="002F7FAB" w:rsidP="002F7FAB">
      <w:pPr>
        <w:pStyle w:val="SingleTxtGR"/>
        <w:ind w:left="2835" w:hanging="567"/>
      </w:pPr>
      <w:r w:rsidRPr="002F7FAB">
        <w:t>d)</w:t>
      </w:r>
      <w:r w:rsidRPr="002F7FAB">
        <w:tab/>
        <w:t>вариация должна завершаться не позднее чем через 200 мс после начала цикла "включено";</w:t>
      </w:r>
    </w:p>
    <w:p w14:paraId="70ABE0FC" w14:textId="77777777" w:rsidR="002F7FAB" w:rsidRPr="002F7FAB" w:rsidRDefault="002F7FAB" w:rsidP="002F7FAB">
      <w:pPr>
        <w:pStyle w:val="SingleTxtGR"/>
        <w:ind w:left="2835" w:hanging="567"/>
      </w:pPr>
      <w:r w:rsidRPr="002F7FAB">
        <w:t>е)</w:t>
      </w:r>
      <w:r w:rsidRPr="002F7FAB"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горизонтальной и вертикальной сторон должно составлять не менее 1,7.</w:t>
      </w:r>
    </w:p>
    <w:p w14:paraId="0CE30B7A" w14:textId="77777777" w:rsidR="002F7FAB" w:rsidRPr="002F7FAB" w:rsidRDefault="002F7FAB" w:rsidP="002F7FAB">
      <w:pPr>
        <w:pStyle w:val="SingleTxtGR"/>
      </w:pPr>
      <w:r w:rsidRPr="002F7FAB">
        <w:tab/>
      </w:r>
      <w:r w:rsidRPr="002F7FAB">
        <w:tab/>
        <w:t xml:space="preserve">Соответствие указанным выше условиям проверяют в режиме мигания». </w:t>
      </w:r>
    </w:p>
    <w:p w14:paraId="7D3BF865" w14:textId="77777777" w:rsidR="002F7FAB" w:rsidRPr="002F7FAB" w:rsidRDefault="002F7FAB" w:rsidP="002F7FAB">
      <w:pPr>
        <w:pStyle w:val="SingleTxtGR"/>
        <w:rPr>
          <w:bCs/>
        </w:rPr>
      </w:pPr>
      <w:r w:rsidRPr="002F7FAB">
        <w:rPr>
          <w:i/>
          <w:iCs/>
        </w:rPr>
        <w:t>Включить новые пункты 14.3–14.5</w:t>
      </w:r>
      <w:r w:rsidRPr="002F7FAB">
        <w:t xml:space="preserve"> следующего содержания:</w:t>
      </w:r>
    </w:p>
    <w:p w14:paraId="00B539ED" w14:textId="77777777" w:rsidR="002F7FAB" w:rsidRPr="002F7FAB" w:rsidRDefault="002F7FAB" w:rsidP="002F7FAB">
      <w:pPr>
        <w:pStyle w:val="SingleTxtGR"/>
        <w:ind w:left="2268" w:hanging="1134"/>
      </w:pPr>
      <w:r w:rsidRPr="002F7FAB">
        <w:t>«14.3</w:t>
      </w:r>
      <w:r w:rsidRPr="002F7FAB">
        <w:tab/>
      </w:r>
      <w:r w:rsidRPr="002F7FAB">
        <w:tab/>
        <w:t>Начиная с официальной даты вступления в силу дополнения 20 к первоначальному варианту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поправками, внесенными в соответствии с настоящим дополнением.</w:t>
      </w:r>
    </w:p>
    <w:p w14:paraId="437BD6B2" w14:textId="77777777" w:rsidR="002F7FAB" w:rsidRPr="002F7FAB" w:rsidRDefault="002F7FAB" w:rsidP="002F7FAB">
      <w:pPr>
        <w:pStyle w:val="SingleTxtGR"/>
        <w:ind w:left="2268" w:hanging="1134"/>
      </w:pPr>
      <w:r w:rsidRPr="002F7FAB">
        <w:t>14.4</w:t>
      </w:r>
      <w:r w:rsidRPr="002F7FAB">
        <w:tab/>
      </w:r>
      <w:r w:rsidRPr="002F7FAB">
        <w:tab/>
        <w:t>С 1 сентября 2018 года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утверждению тип указателя поворота отвечает требованиям настоящих Правил с поправками, внесенными в соответствии с дополнением 20 к первоначальному варианту.</w:t>
      </w:r>
    </w:p>
    <w:p w14:paraId="00E83AD8" w14:textId="77777777" w:rsidR="002F7FAB" w:rsidRPr="002F7FAB" w:rsidRDefault="002F7FAB" w:rsidP="004D21DA">
      <w:pPr>
        <w:pStyle w:val="SingleTxtGR"/>
        <w:pageBreakBefore/>
        <w:ind w:left="2268" w:hanging="1134"/>
      </w:pPr>
      <w:r w:rsidRPr="002F7FAB">
        <w:lastRenderedPageBreak/>
        <w:t>14.5</w:t>
      </w:r>
      <w:r w:rsidRPr="002F7FAB">
        <w:tab/>
      </w:r>
      <w:r w:rsidRPr="002F7FAB">
        <w:tab/>
        <w:t>Договаривающиеся стороны, применяющие настоящие Правила, не отказывают в распространении официального утверждения, предоставленного до даты вступления в силу дополнения 20 к первоначальному варианту настоящих Правил».</w:t>
      </w:r>
    </w:p>
    <w:p w14:paraId="682616AE" w14:textId="77777777" w:rsidR="002F7FAB" w:rsidRPr="004D21DA" w:rsidRDefault="004D21DA" w:rsidP="004D21D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41037B" w14:textId="77777777" w:rsidR="00381C24" w:rsidRPr="00BC18B2" w:rsidRDefault="00381C24" w:rsidP="002E5067"/>
    <w:sectPr w:rsidR="00381C24" w:rsidRPr="00BC18B2" w:rsidSect="002F7F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58D0" w14:textId="77777777" w:rsidR="00BA1CA8" w:rsidRPr="00A312BC" w:rsidRDefault="00BA1CA8" w:rsidP="00A312BC"/>
  </w:endnote>
  <w:endnote w:type="continuationSeparator" w:id="0">
    <w:p w14:paraId="205D3AD1" w14:textId="77777777" w:rsidR="00BA1CA8" w:rsidRPr="00A312BC" w:rsidRDefault="00BA1C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D1B8" w14:textId="77777777" w:rsidR="002F7FAB" w:rsidRPr="002F7FAB" w:rsidRDefault="002F7FAB">
    <w:pPr>
      <w:pStyle w:val="Footer"/>
    </w:pPr>
    <w:r w:rsidRPr="002F7FAB">
      <w:rPr>
        <w:b/>
        <w:sz w:val="18"/>
      </w:rPr>
      <w:fldChar w:fldCharType="begin"/>
    </w:r>
    <w:r w:rsidRPr="002F7FAB">
      <w:rPr>
        <w:b/>
        <w:sz w:val="18"/>
      </w:rPr>
      <w:instrText xml:space="preserve"> PAGE  \* MERGEFORMAT </w:instrText>
    </w:r>
    <w:r w:rsidRPr="002F7FAB">
      <w:rPr>
        <w:b/>
        <w:sz w:val="18"/>
      </w:rPr>
      <w:fldChar w:fldCharType="separate"/>
    </w:r>
    <w:r w:rsidR="005819A5">
      <w:rPr>
        <w:b/>
        <w:noProof/>
        <w:sz w:val="18"/>
      </w:rPr>
      <w:t>2</w:t>
    </w:r>
    <w:r w:rsidRPr="002F7FAB">
      <w:rPr>
        <w:b/>
        <w:sz w:val="18"/>
      </w:rPr>
      <w:fldChar w:fldCharType="end"/>
    </w:r>
    <w:r>
      <w:rPr>
        <w:b/>
        <w:sz w:val="18"/>
      </w:rPr>
      <w:tab/>
    </w:r>
    <w:r>
      <w:t>GE.18-06678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D765" w14:textId="77777777" w:rsidR="002F7FAB" w:rsidRPr="002F7FAB" w:rsidRDefault="002F7FAB" w:rsidP="002F7FA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GE.18-06678</w:t>
    </w:r>
    <w:r>
      <w:tab/>
    </w:r>
    <w:r w:rsidRPr="002F7FAB">
      <w:rPr>
        <w:b/>
        <w:sz w:val="18"/>
      </w:rPr>
      <w:fldChar w:fldCharType="begin"/>
    </w:r>
    <w:r w:rsidRPr="002F7FAB">
      <w:rPr>
        <w:b/>
        <w:sz w:val="18"/>
      </w:rPr>
      <w:instrText xml:space="preserve"> PAGE  \* MERGEFORMAT </w:instrText>
    </w:r>
    <w:r w:rsidRPr="002F7FAB">
      <w:rPr>
        <w:b/>
        <w:sz w:val="18"/>
      </w:rPr>
      <w:fldChar w:fldCharType="separate"/>
    </w:r>
    <w:r w:rsidR="005819A5">
      <w:rPr>
        <w:b/>
        <w:noProof/>
        <w:sz w:val="18"/>
      </w:rPr>
      <w:t>3</w:t>
    </w:r>
    <w:r w:rsidRPr="002F7F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FB8" w14:textId="77777777" w:rsidR="00042B72" w:rsidRPr="002F7FAB" w:rsidRDefault="002F7FAB" w:rsidP="002F7FA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886E873" wp14:editId="2A905A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18-06678  (R)</w:t>
    </w:r>
    <w:r>
      <w:rPr>
        <w:lang w:val="en-US"/>
      </w:rPr>
      <w:t xml:space="preserve">  090518  100518</w:t>
    </w:r>
    <w:r>
      <w:br/>
    </w:r>
    <w:r w:rsidRPr="002F7FAB">
      <w:rPr>
        <w:rFonts w:ascii="C39T30Lfz" w:hAnsi="C39T30Lfz"/>
        <w:kern w:val="14"/>
        <w:sz w:val="56"/>
      </w:rPr>
      <w:t></w:t>
    </w:r>
    <w:r w:rsidRPr="002F7FAB">
      <w:rPr>
        <w:rFonts w:ascii="C39T30Lfz" w:hAnsi="C39T30Lfz"/>
        <w:kern w:val="14"/>
        <w:sz w:val="56"/>
      </w:rPr>
      <w:t></w:t>
    </w:r>
    <w:r w:rsidRPr="002F7FAB">
      <w:rPr>
        <w:rFonts w:ascii="C39T30Lfz" w:hAnsi="C39T30Lfz"/>
        <w:kern w:val="14"/>
        <w:sz w:val="56"/>
      </w:rPr>
      <w:t></w:t>
    </w:r>
    <w:r w:rsidRPr="002F7FAB">
      <w:rPr>
        <w:rFonts w:ascii="C39T30Lfz" w:hAnsi="C39T30Lfz"/>
        <w:kern w:val="14"/>
        <w:sz w:val="56"/>
      </w:rPr>
      <w:t></w:t>
    </w:r>
    <w:r w:rsidRPr="002F7FAB">
      <w:rPr>
        <w:rFonts w:ascii="C39T30Lfz" w:hAnsi="C39T30Lfz"/>
        <w:kern w:val="14"/>
        <w:sz w:val="56"/>
      </w:rPr>
      <w:t></w:t>
    </w:r>
    <w:r w:rsidRPr="002F7FAB">
      <w:rPr>
        <w:rFonts w:ascii="C39T30Lfz" w:hAnsi="C39T30Lfz"/>
        <w:kern w:val="14"/>
        <w:sz w:val="56"/>
      </w:rPr>
      <w:t></w:t>
    </w:r>
    <w:r w:rsidRPr="002F7FAB">
      <w:rPr>
        <w:rFonts w:ascii="C39T30Lfz" w:hAnsi="C39T30Lfz"/>
        <w:kern w:val="14"/>
        <w:sz w:val="56"/>
      </w:rPr>
      <w:t></w:t>
    </w:r>
    <w:r w:rsidRPr="002F7FAB">
      <w:rPr>
        <w:rFonts w:ascii="C39T30Lfz" w:hAnsi="C39T30Lfz"/>
        <w:kern w:val="14"/>
        <w:sz w:val="56"/>
      </w:rPr>
      <w:t></w:t>
    </w:r>
    <w:r w:rsidRPr="002F7FA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EF14D3D" wp14:editId="0A2D284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9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9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6639" w14:textId="77777777" w:rsidR="00BA1CA8" w:rsidRPr="001075E9" w:rsidRDefault="00BA1C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430726" w14:textId="77777777" w:rsidR="00BA1CA8" w:rsidRDefault="00BA1C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6FF7A8" w14:textId="77777777" w:rsidR="002F7FAB" w:rsidRPr="00886230" w:rsidRDefault="002F7FAB" w:rsidP="002F7FAB">
      <w:pPr>
        <w:pStyle w:val="FootnoteText"/>
      </w:pPr>
      <w:r>
        <w:tab/>
      </w:r>
      <w:r w:rsidRPr="002F7FAB">
        <w:rPr>
          <w:rStyle w:val="FootnoteReference"/>
          <w:sz w:val="20"/>
          <w:vertAlign w:val="baseline"/>
        </w:rPr>
        <w:t>*</w:t>
      </w:r>
      <w:r w:rsidRPr="002F7FAB">
        <w:rPr>
          <w:rStyle w:val="FootnoteReference"/>
          <w:vertAlign w:val="baseline"/>
        </w:rPr>
        <w:tab/>
      </w:r>
      <w:r>
        <w:t>Прежние названия Соглашения:</w:t>
      </w:r>
    </w:p>
    <w:p w14:paraId="3F7C87CD" w14:textId="77777777" w:rsidR="002F7FAB" w:rsidRPr="00886230" w:rsidRDefault="002F7FAB" w:rsidP="002F7FA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27729DEA" w14:textId="77777777" w:rsidR="002F7FAB" w:rsidRPr="002F7FAB" w:rsidRDefault="002F7FAB" w:rsidP="002F7FA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DC49F9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B2E9" w14:textId="34C6301F" w:rsidR="002F7FAB" w:rsidRPr="002F7FAB" w:rsidRDefault="00B734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E/ECE/324/Rev.1/Add.49/Rev.3/Amend.4</w:t>
    </w:r>
    <w:r>
      <w:fldChar w:fldCharType="end"/>
    </w:r>
    <w:r w:rsidR="002F7FA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E/ECE/TRANS/505/Rev.1/Add.49/Rev.3/Amend.4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6703" w14:textId="492AF64C" w:rsidR="002F7FAB" w:rsidRPr="002F7FAB" w:rsidRDefault="00B7344C" w:rsidP="002F7F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E/ECE/324/Rev.1/Add.49/Rev.3/Amend.4</w:t>
    </w:r>
    <w:r>
      <w:fldChar w:fldCharType="end"/>
    </w:r>
    <w:r w:rsidR="002F7FA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E/ECE/TRANS/505/Rev.1/Add.49/Rev.3/Amend.4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2F7FAB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21DA"/>
    <w:rsid w:val="004D541E"/>
    <w:rsid w:val="0050108D"/>
    <w:rsid w:val="00513081"/>
    <w:rsid w:val="00517901"/>
    <w:rsid w:val="00526683"/>
    <w:rsid w:val="005709E0"/>
    <w:rsid w:val="00572E19"/>
    <w:rsid w:val="005819A5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7344C"/>
    <w:rsid w:val="00BA1CA8"/>
    <w:rsid w:val="00BB7B85"/>
    <w:rsid w:val="00BC18B2"/>
    <w:rsid w:val="00BC1EFD"/>
    <w:rsid w:val="00BD33EE"/>
    <w:rsid w:val="00C106D6"/>
    <w:rsid w:val="00C60F0C"/>
    <w:rsid w:val="00C805C9"/>
    <w:rsid w:val="00C92939"/>
    <w:rsid w:val="00CA1679"/>
    <w:rsid w:val="00CB151C"/>
    <w:rsid w:val="00CB58E1"/>
    <w:rsid w:val="00CC4E45"/>
    <w:rsid w:val="00CE073C"/>
    <w:rsid w:val="00CE5A1A"/>
    <w:rsid w:val="00CF55F6"/>
    <w:rsid w:val="00D33D63"/>
    <w:rsid w:val="00D90028"/>
    <w:rsid w:val="00D90138"/>
    <w:rsid w:val="00DC49F9"/>
    <w:rsid w:val="00DF71B9"/>
    <w:rsid w:val="00E16204"/>
    <w:rsid w:val="00E632E5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89936"/>
  <w15:docId w15:val="{F1FC015F-3C4D-4D70-A2CA-52F40AD3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E/ECE/324/Rev.1/Add.49/Rev.3/Amend.4</vt:lpstr>
      <vt:lpstr>E/ECE/324/Rev.1/Add.49/Rev.3/Amend.4</vt:lpstr>
      <vt:lpstr>A/</vt:lpstr>
    </vt:vector>
  </TitlesOfParts>
  <Company>DCM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E/ECE/324/Rev.1/Add.49/Rev.3/Amend.4</dc:title>
  <dc:creator>Elena IZOTOVA</dc:creator>
  <cp:keywords>E/ECE/TRANS/505/Rev.1/Add.49/Rev.3/Amend.4</cp:keywords>
  <cp:lastModifiedBy>Marie-Claude Collet</cp:lastModifiedBy>
  <cp:revision>3</cp:revision>
  <cp:lastPrinted>2019-05-24T12:21:00Z</cp:lastPrinted>
  <dcterms:created xsi:type="dcterms:W3CDTF">2019-05-24T12:21:00Z</dcterms:created>
  <dcterms:modified xsi:type="dcterms:W3CDTF">2019-05-24T12:21:00Z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