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AD756A" w:rsidTr="00457676">
        <w:trPr>
          <w:trHeight w:hRule="exact" w:val="851"/>
        </w:trPr>
        <w:tc>
          <w:tcPr>
            <w:tcW w:w="9639" w:type="dxa"/>
            <w:gridSpan w:val="2"/>
            <w:tcBorders>
              <w:bottom w:val="single" w:sz="4" w:space="0" w:color="auto"/>
            </w:tcBorders>
            <w:shd w:val="clear" w:color="auto" w:fill="auto"/>
            <w:vAlign w:val="bottom"/>
          </w:tcPr>
          <w:p w:rsidR="001D2315" w:rsidRPr="00AD756A" w:rsidRDefault="001D2315" w:rsidP="001D2315">
            <w:pPr>
              <w:jc w:val="right"/>
              <w:rPr>
                <w:lang w:val="en-GB"/>
              </w:rPr>
            </w:pPr>
            <w:bookmarkStart w:id="0" w:name="_GoBack"/>
            <w:bookmarkEnd w:id="0"/>
            <w:r w:rsidRPr="00AD756A">
              <w:rPr>
                <w:sz w:val="40"/>
                <w:lang w:val="en-GB"/>
              </w:rPr>
              <w:t>E</w:t>
            </w:r>
            <w:r w:rsidRPr="00AD756A">
              <w:rPr>
                <w:lang w:val="en-GB"/>
              </w:rPr>
              <w:t>/ECE/324/Rev.1/Add.49/Rev.3/Amend.2−</w:t>
            </w:r>
            <w:r w:rsidRPr="00AD756A">
              <w:rPr>
                <w:sz w:val="40"/>
                <w:lang w:val="en-GB"/>
              </w:rPr>
              <w:t>E</w:t>
            </w:r>
            <w:r w:rsidRPr="00AD756A">
              <w:rPr>
                <w:lang w:val="en-GB"/>
              </w:rPr>
              <w:t>/ECE/TRANS/505/Rev.1/Add.49/Rev.3/Amend.2</w:t>
            </w:r>
          </w:p>
        </w:tc>
      </w:tr>
      <w:tr w:rsidR="00421A10" w:rsidRPr="00DB58B5" w:rsidTr="00457676">
        <w:trPr>
          <w:trHeight w:hRule="exact" w:val="2835"/>
        </w:trPr>
        <w:tc>
          <w:tcPr>
            <w:tcW w:w="6804" w:type="dxa"/>
            <w:tcBorders>
              <w:top w:val="single" w:sz="4" w:space="0" w:color="auto"/>
              <w:bottom w:val="single" w:sz="12" w:space="0" w:color="auto"/>
            </w:tcBorders>
            <w:shd w:val="clear" w:color="auto" w:fill="auto"/>
          </w:tcPr>
          <w:p w:rsidR="00421A10" w:rsidRPr="00AD756A" w:rsidRDefault="00421A10" w:rsidP="00457676">
            <w:pPr>
              <w:spacing w:before="120" w:line="380" w:lineRule="exact"/>
              <w:rPr>
                <w:lang w:val="en-GB"/>
              </w:rPr>
            </w:pPr>
          </w:p>
        </w:tc>
        <w:tc>
          <w:tcPr>
            <w:tcW w:w="2835" w:type="dxa"/>
            <w:tcBorders>
              <w:top w:val="single" w:sz="4" w:space="0" w:color="auto"/>
              <w:bottom w:val="single" w:sz="12" w:space="0" w:color="auto"/>
            </w:tcBorders>
            <w:shd w:val="clear" w:color="auto" w:fill="auto"/>
          </w:tcPr>
          <w:p w:rsidR="00421A10" w:rsidRPr="00DB58B5" w:rsidRDefault="001D2315" w:rsidP="00457676">
            <w:pPr>
              <w:spacing w:before="480" w:line="240" w:lineRule="exact"/>
            </w:pPr>
            <w:r>
              <w:t>28 octobre 2016</w:t>
            </w:r>
          </w:p>
        </w:tc>
      </w:tr>
    </w:tbl>
    <w:p w:rsidR="00421A10" w:rsidRPr="006549FF" w:rsidRDefault="0029791D" w:rsidP="00172BF8">
      <w:pPr>
        <w:pStyle w:val="HChG"/>
        <w:spacing w:before="320" w:after="220"/>
      </w:pPr>
      <w:r>
        <w:tab/>
      </w:r>
      <w:r>
        <w:tab/>
      </w:r>
      <w:r w:rsidR="00421A10" w:rsidRPr="006549FF">
        <w:t>Accord</w:t>
      </w:r>
    </w:p>
    <w:p w:rsidR="00421A10" w:rsidRPr="00583D68" w:rsidRDefault="0029791D" w:rsidP="00172BF8">
      <w:pPr>
        <w:pStyle w:val="H1G"/>
        <w:spacing w:before="320" w:after="220"/>
      </w:pPr>
      <w:r>
        <w:tab/>
      </w:r>
      <w:r>
        <w:tab/>
      </w:r>
      <w:r w:rsidR="00421A10" w:rsidRPr="00583D68">
        <w:t>Concernant l</w:t>
      </w:r>
      <w:r w:rsidR="005152C8">
        <w:t>’</w:t>
      </w:r>
      <w:r w:rsidR="00421A10" w:rsidRPr="00583D68">
        <w:t>adoption de prescriptions techniques uniformes applicables aux véhicules à roues, aux équipements et aux pièces susceptibles d</w:t>
      </w:r>
      <w:r w:rsidR="005152C8">
        <w:t>’</w:t>
      </w:r>
      <w:r w:rsidR="00421A10" w:rsidRPr="00583D68">
        <w:t>être montés ou utilisés sur un véhicule à roues</w:t>
      </w:r>
      <w:r w:rsidR="00421A10">
        <w:br/>
      </w:r>
      <w:r w:rsidR="00421A10" w:rsidRPr="00583D68">
        <w:t>et les conditions de reconnaissance réciproque des homologations délivrées conformément à ces prescriptions</w:t>
      </w:r>
      <w:r w:rsidRPr="00DE083E">
        <w:rPr>
          <w:b w:val="0"/>
          <w:sz w:val="20"/>
        </w:rPr>
        <w:t>*</w:t>
      </w:r>
    </w:p>
    <w:p w:rsidR="00421A10" w:rsidRPr="00A12483" w:rsidRDefault="00421A10" w:rsidP="0029791D">
      <w:pPr>
        <w:pStyle w:val="SingleTxtG"/>
        <w:jc w:val="left"/>
        <w:rPr>
          <w:b/>
          <w:sz w:val="24"/>
          <w:szCs w:val="24"/>
        </w:rPr>
      </w:pPr>
      <w:r w:rsidRPr="006549FF">
        <w:t xml:space="preserve">(Révision </w:t>
      </w:r>
      <w:r w:rsidR="001D2315">
        <w:t>2</w:t>
      </w:r>
      <w:r w:rsidRPr="006549FF">
        <w:t>, comprenant les amen</w:t>
      </w:r>
      <w:r>
        <w:t xml:space="preserve">dements entrés en vigueur le 16 </w:t>
      </w:r>
      <w:r w:rsidRPr="006549FF">
        <w:t>octobre 1995)</w:t>
      </w:r>
    </w:p>
    <w:p w:rsidR="00421A10" w:rsidRPr="006549FF" w:rsidRDefault="0029791D" w:rsidP="0029791D">
      <w:pPr>
        <w:jc w:val="center"/>
      </w:pPr>
      <w:r>
        <w:t>_______________</w:t>
      </w:r>
    </w:p>
    <w:p w:rsidR="00421A10" w:rsidRPr="006549FF" w:rsidRDefault="0029791D" w:rsidP="00172BF8">
      <w:pPr>
        <w:pStyle w:val="HChG"/>
        <w:spacing w:before="320" w:after="220"/>
      </w:pPr>
      <w:r>
        <w:tab/>
      </w:r>
      <w:r>
        <w:tab/>
      </w:r>
      <w:r w:rsidR="00421A10" w:rsidRPr="006549FF">
        <w:t xml:space="preserve">Additif </w:t>
      </w:r>
      <w:r w:rsidR="001D2315">
        <w:t>49 </w:t>
      </w:r>
      <w:r w:rsidR="00421A10" w:rsidRPr="006549FF">
        <w:t>: Règlement</w:t>
      </w:r>
      <w:r w:rsidR="00421A10">
        <w:t xml:space="preserve"> </w:t>
      </w:r>
      <w:r w:rsidR="00421A10" w:rsidRPr="00B371BF">
        <w:t>n</w:t>
      </w:r>
      <w:r w:rsidR="00421A10" w:rsidRPr="00B371BF">
        <w:rPr>
          <w:vertAlign w:val="superscript"/>
        </w:rPr>
        <w:t>o</w:t>
      </w:r>
      <w:r w:rsidR="00421A10">
        <w:t> </w:t>
      </w:r>
      <w:r w:rsidR="001D2315">
        <w:t>50</w:t>
      </w:r>
    </w:p>
    <w:p w:rsidR="00421A10" w:rsidRPr="006549FF" w:rsidRDefault="0029791D" w:rsidP="00172BF8">
      <w:pPr>
        <w:pStyle w:val="H1G"/>
        <w:spacing w:before="320" w:after="220"/>
      </w:pPr>
      <w:r>
        <w:tab/>
      </w:r>
      <w:r>
        <w:tab/>
      </w:r>
      <w:r w:rsidR="00421A10" w:rsidRPr="006549FF">
        <w:t xml:space="preserve">Révision </w:t>
      </w:r>
      <w:r w:rsidR="001D2315">
        <w:t>3 − Amendement 2</w:t>
      </w:r>
    </w:p>
    <w:p w:rsidR="00421A10" w:rsidRPr="004A7E44" w:rsidRDefault="001D2315" w:rsidP="00172BF8">
      <w:pPr>
        <w:pStyle w:val="SingleTxtG"/>
        <w:spacing w:after="0" w:line="220" w:lineRule="atLeast"/>
      </w:pPr>
      <w:r w:rsidRPr="00B717C7">
        <w:rPr>
          <w:spacing w:val="-4"/>
          <w:lang w:val="fr-FR"/>
        </w:rPr>
        <w:t>Complément</w:t>
      </w:r>
      <w:r w:rsidR="00172BF8">
        <w:rPr>
          <w:spacing w:val="-4"/>
          <w:lang w:val="fr-FR"/>
        </w:rPr>
        <w:t xml:space="preserve"> </w:t>
      </w:r>
      <w:r w:rsidRPr="00B717C7">
        <w:rPr>
          <w:spacing w:val="-4"/>
          <w:lang w:val="fr-FR"/>
        </w:rPr>
        <w:t xml:space="preserve">18 à la version originale du Règlement </w:t>
      </w:r>
      <w:r w:rsidR="00172BF8">
        <w:rPr>
          <w:spacing w:val="-4"/>
          <w:lang w:val="fr-FR"/>
        </w:rPr>
        <w:t>−</w:t>
      </w:r>
      <w:r w:rsidRPr="00B717C7">
        <w:rPr>
          <w:spacing w:val="-4"/>
          <w:lang w:val="fr-FR"/>
        </w:rPr>
        <w:t xml:space="preserve"> Date d</w:t>
      </w:r>
      <w:r w:rsidR="005152C8">
        <w:rPr>
          <w:spacing w:val="-4"/>
          <w:lang w:val="fr-FR"/>
        </w:rPr>
        <w:t>’</w:t>
      </w:r>
      <w:r w:rsidRPr="00B717C7">
        <w:rPr>
          <w:spacing w:val="-4"/>
          <w:lang w:val="fr-FR"/>
        </w:rPr>
        <w:t>entrée en vigueur : 8 octobre 2016</w:t>
      </w:r>
    </w:p>
    <w:p w:rsidR="00421A10" w:rsidRDefault="0029791D" w:rsidP="00172BF8">
      <w:pPr>
        <w:pStyle w:val="H1G"/>
        <w:spacing w:before="320" w:after="220"/>
      </w:pPr>
      <w:r>
        <w:tab/>
      </w:r>
      <w:r>
        <w:tab/>
      </w:r>
      <w:r w:rsidR="00421A10" w:rsidRPr="007619D3">
        <w:t xml:space="preserve">Prescriptions uniformes relatives </w:t>
      </w:r>
      <w:r w:rsidR="001D2315" w:rsidRPr="001D2315">
        <w:rPr>
          <w:lang w:val="fr-FR"/>
        </w:rPr>
        <w:t>à l</w:t>
      </w:r>
      <w:r w:rsidR="005152C8">
        <w:rPr>
          <w:lang w:val="fr-FR"/>
        </w:rPr>
        <w:t>’</w:t>
      </w:r>
      <w:r w:rsidR="001D2315" w:rsidRPr="001D2315">
        <w:rPr>
          <w:lang w:val="fr-FR"/>
        </w:rPr>
        <w:t xml:space="preserve">homologation des feux de position </w:t>
      </w:r>
      <w:r w:rsidR="001D2315" w:rsidRPr="005A492E">
        <w:rPr>
          <w:spacing w:val="-2"/>
          <w:lang w:val="fr-FR"/>
        </w:rPr>
        <w:t>avant, des feux de position arrière, des feux-stop, des feux indicateurs de</w:t>
      </w:r>
      <w:r w:rsidR="001D2315" w:rsidRPr="001D2315">
        <w:rPr>
          <w:lang w:val="fr-FR"/>
        </w:rPr>
        <w:t xml:space="preserve"> direction et des dispositifs d</w:t>
      </w:r>
      <w:r w:rsidR="005152C8">
        <w:rPr>
          <w:lang w:val="fr-FR"/>
        </w:rPr>
        <w:t>’</w:t>
      </w:r>
      <w:r w:rsidR="001D2315" w:rsidRPr="001D2315">
        <w:rPr>
          <w:lang w:val="fr-FR"/>
        </w:rPr>
        <w:t>éclairage de la plaque d</w:t>
      </w:r>
      <w:r w:rsidR="005152C8">
        <w:rPr>
          <w:lang w:val="fr-FR"/>
        </w:rPr>
        <w:t>’</w:t>
      </w:r>
      <w:r w:rsidR="001D2315" w:rsidRPr="001D2315">
        <w:rPr>
          <w:lang w:val="fr-FR"/>
        </w:rPr>
        <w:t>immatriculation arrière pour les véhicules de la catégorie L</w:t>
      </w:r>
    </w:p>
    <w:p w:rsidR="005A492E" w:rsidRDefault="001D2315" w:rsidP="00172BF8">
      <w:pPr>
        <w:pStyle w:val="SingleTxtG"/>
        <w:rPr>
          <w:spacing w:val="2"/>
          <w:lang w:val="fr-FR"/>
        </w:rPr>
      </w:pPr>
      <w:r w:rsidRPr="005A492E">
        <w:rPr>
          <w:spacing w:val="-2"/>
        </w:rPr>
        <w:t>Le présent document est communiqué uniquement à titre d</w:t>
      </w:r>
      <w:r w:rsidR="005152C8">
        <w:rPr>
          <w:spacing w:val="-2"/>
        </w:rPr>
        <w:t>’</w:t>
      </w:r>
      <w:r w:rsidRPr="005A492E">
        <w:rPr>
          <w:spacing w:val="-2"/>
        </w:rPr>
        <w:t xml:space="preserve">information. Le texte authentique, juridiquement contraignant, est celui du document </w:t>
      </w:r>
      <w:r w:rsidR="00172BF8" w:rsidRPr="005A492E">
        <w:rPr>
          <w:spacing w:val="-2"/>
          <w:lang w:val="fr-FR"/>
        </w:rPr>
        <w:t>ECE/TRANS/WP.29/2016/21</w:t>
      </w:r>
      <w:r w:rsidRPr="005A492E">
        <w:rPr>
          <w:spacing w:val="-2"/>
          <w:lang w:val="fr-FR"/>
        </w:rPr>
        <w:t>.</w:t>
      </w:r>
    </w:p>
    <w:p w:rsidR="00E87B96" w:rsidRPr="00E87B96" w:rsidRDefault="00172BF8" w:rsidP="00E87B96">
      <w:pPr>
        <w:pStyle w:val="SingleTxtG"/>
        <w:rPr>
          <w:i/>
          <w:lang w:val="fr-FR"/>
        </w:rPr>
      </w:pPr>
      <w:r>
        <w:rPr>
          <w:lang w:val="fr-FR"/>
        </w:rPr>
        <w:lastRenderedPageBreak/>
        <w:br w:type="page"/>
      </w:r>
      <w:r w:rsidR="00E87B96" w:rsidRPr="00E87B96">
        <w:rPr>
          <w:i/>
          <w:lang w:val="fr-FR"/>
        </w:rPr>
        <w:lastRenderedPageBreak/>
        <w:t xml:space="preserve">Paragraphe 2.2, ajouter un nouvel alinéa </w:t>
      </w:r>
      <w:r w:rsidR="00E87B96" w:rsidRPr="005152C8">
        <w:rPr>
          <w:lang w:val="fr-FR"/>
        </w:rPr>
        <w:t>c)</w:t>
      </w:r>
      <w:r w:rsidR="00E87B96" w:rsidRPr="00E87B96">
        <w:rPr>
          <w:lang w:val="fr-FR"/>
        </w:rPr>
        <w:t>, libellé comme suit :</w:t>
      </w:r>
    </w:p>
    <w:p w:rsidR="00E87B96" w:rsidRPr="00E87B96" w:rsidRDefault="00E87B96" w:rsidP="005152C8">
      <w:pPr>
        <w:pStyle w:val="SingleTxtG"/>
        <w:ind w:left="2268" w:hanging="1134"/>
        <w:rPr>
          <w:lang w:val="fr-FR"/>
        </w:rPr>
      </w:pPr>
      <w:r w:rsidRPr="00E87B96">
        <w:rPr>
          <w:lang w:val="fr-FR"/>
        </w:rPr>
        <w:t>« 2.2</w:t>
      </w:r>
      <w:r w:rsidRPr="00E87B96">
        <w:rPr>
          <w:lang w:val="fr-FR"/>
        </w:rPr>
        <w:tab/>
      </w:r>
      <w:r w:rsidRPr="00E87B96">
        <w:rPr>
          <w:lang w:val="fr-FR"/>
        </w:rPr>
        <w:tab/>
        <w:t>…</w:t>
      </w:r>
    </w:p>
    <w:p w:rsidR="00E87B96" w:rsidRPr="00E87B96" w:rsidRDefault="00E87B96" w:rsidP="005152C8">
      <w:pPr>
        <w:pStyle w:val="SingleTxtG"/>
        <w:ind w:left="2268"/>
        <w:rPr>
          <w:bCs/>
          <w:lang w:val="fr-FR"/>
        </w:rPr>
      </w:pPr>
      <w:r w:rsidRPr="00E87B96">
        <w:rPr>
          <w:bCs/>
          <w:lang w:val="fr-FR"/>
        </w:rPr>
        <w:t>c)</w:t>
      </w:r>
      <w:r w:rsidRPr="00E87B96">
        <w:rPr>
          <w:bCs/>
          <w:lang w:val="fr-FR"/>
        </w:rPr>
        <w:tab/>
        <w:t>L</w:t>
      </w:r>
      <w:r w:rsidR="005152C8">
        <w:rPr>
          <w:bCs/>
          <w:lang w:val="fr-FR"/>
        </w:rPr>
        <w:t>’</w:t>
      </w:r>
      <w:r w:rsidRPr="00E87B96">
        <w:rPr>
          <w:bCs/>
          <w:lang w:val="fr-FR"/>
        </w:rPr>
        <w:t>activation séquentielle des sources lumineuses, le cas échéant</w:t>
      </w:r>
      <w:r w:rsidR="005152C8">
        <w:rPr>
          <w:bCs/>
          <w:lang w:val="fr-FR"/>
        </w:rPr>
        <w:t>.</w:t>
      </w:r>
    </w:p>
    <w:p w:rsidR="00E87B96" w:rsidRPr="00E87B96" w:rsidRDefault="00E87B96" w:rsidP="005152C8">
      <w:pPr>
        <w:pStyle w:val="SingleTxtG"/>
        <w:ind w:left="2268"/>
        <w:rPr>
          <w:bCs/>
          <w:lang w:val="fr-FR"/>
        </w:rPr>
      </w:pPr>
      <w:r w:rsidRPr="00E87B96">
        <w:rPr>
          <w:bCs/>
          <w:lang w:val="fr-FR"/>
        </w:rPr>
        <w:t>… ».</w:t>
      </w:r>
    </w:p>
    <w:p w:rsidR="00E87B96" w:rsidRPr="00E87B96" w:rsidRDefault="00E87B96" w:rsidP="00E87B96">
      <w:pPr>
        <w:pStyle w:val="SingleTxtG"/>
        <w:rPr>
          <w:i/>
          <w:lang w:val="fr-FR"/>
        </w:rPr>
      </w:pPr>
      <w:r w:rsidRPr="00E87B96">
        <w:rPr>
          <w:i/>
          <w:lang w:val="fr-FR"/>
        </w:rPr>
        <w:t>Ajouter un nouveau paragraphe 6.8</w:t>
      </w:r>
      <w:r w:rsidRPr="00C66356">
        <w:rPr>
          <w:lang w:val="fr-FR"/>
        </w:rPr>
        <w:t>,</w:t>
      </w:r>
      <w:r w:rsidRPr="00E87B96">
        <w:rPr>
          <w:i/>
          <w:lang w:val="fr-FR"/>
        </w:rPr>
        <w:t xml:space="preserve"> </w:t>
      </w:r>
      <w:r w:rsidRPr="00E87B96">
        <w:rPr>
          <w:lang w:val="fr-FR"/>
        </w:rPr>
        <w:t>libellé comme suit :</w:t>
      </w:r>
    </w:p>
    <w:p w:rsidR="00E87B96" w:rsidRPr="00E87B96" w:rsidRDefault="00E87B96" w:rsidP="005152C8">
      <w:pPr>
        <w:pStyle w:val="SingleTxtG"/>
        <w:ind w:left="2268" w:hanging="1134"/>
        <w:rPr>
          <w:bCs/>
          <w:lang w:val="fr-FR"/>
        </w:rPr>
      </w:pPr>
      <w:r w:rsidRPr="00E87B96">
        <w:rPr>
          <w:bCs/>
          <w:lang w:val="fr-FR"/>
        </w:rPr>
        <w:t>« 6.8</w:t>
      </w:r>
      <w:r w:rsidRPr="00E87B96">
        <w:rPr>
          <w:bCs/>
          <w:lang w:val="fr-FR"/>
        </w:rPr>
        <w:tab/>
        <w:t>Pour les feux indicateurs de direction des catégories 11, 11a, 11b, 11c ou 12, le clignotement des feux indicateurs de direction peut être produit par activation séquentielle de leurs sources lumineuses si les conditions suivantes sont remplies :</w:t>
      </w:r>
    </w:p>
    <w:p w:rsidR="00E87B96" w:rsidRPr="00E87B96" w:rsidRDefault="00AC0128" w:rsidP="00AC0128">
      <w:pPr>
        <w:pStyle w:val="SingleTxtG"/>
        <w:ind w:left="2835" w:hanging="567"/>
        <w:rPr>
          <w:bCs/>
          <w:lang w:val="fr-FR"/>
        </w:rPr>
      </w:pPr>
      <w:r>
        <w:rPr>
          <w:bCs/>
          <w:lang w:val="fr-FR"/>
        </w:rPr>
        <w:t>a)</w:t>
      </w:r>
      <w:r w:rsidR="00E87B96" w:rsidRPr="00E87B96">
        <w:rPr>
          <w:bCs/>
          <w:lang w:val="fr-FR"/>
        </w:rPr>
        <w:tab/>
        <w:t>Chaque source lumineuse, après activation, doit rester allumée jusqu</w:t>
      </w:r>
      <w:r w:rsidR="005152C8">
        <w:rPr>
          <w:bCs/>
          <w:lang w:val="fr-FR"/>
        </w:rPr>
        <w:t>’</w:t>
      </w:r>
      <w:r w:rsidR="00E87B96" w:rsidRPr="00E87B96">
        <w:rPr>
          <w:bCs/>
          <w:lang w:val="fr-FR"/>
        </w:rPr>
        <w:t xml:space="preserve">à la fin du cycle </w:t>
      </w:r>
      <w:r w:rsidR="00E87B96" w:rsidRPr="00E87B96">
        <w:t>“</w:t>
      </w:r>
      <w:r w:rsidR="00E87B96" w:rsidRPr="00E87B96">
        <w:rPr>
          <w:bCs/>
          <w:lang w:val="fr-FR"/>
        </w:rPr>
        <w:t>marche</w:t>
      </w:r>
      <w:r w:rsidR="00E87B96" w:rsidRPr="00E87B96">
        <w:t>”</w:t>
      </w:r>
      <w:r>
        <w:t> </w:t>
      </w:r>
      <w:r w:rsidR="00E87B96" w:rsidRPr="00E87B96">
        <w:rPr>
          <w:bCs/>
          <w:lang w:val="fr-FR"/>
        </w:rPr>
        <w:t>;</w:t>
      </w:r>
    </w:p>
    <w:p w:rsidR="00E87B96" w:rsidRPr="00E87B96" w:rsidRDefault="00E87B96" w:rsidP="00AC0128">
      <w:pPr>
        <w:pStyle w:val="SingleTxtG"/>
        <w:ind w:left="2835" w:hanging="567"/>
        <w:rPr>
          <w:bCs/>
          <w:lang w:val="fr-FR"/>
        </w:rPr>
      </w:pPr>
      <w:r w:rsidRPr="00E87B96">
        <w:rPr>
          <w:bCs/>
          <w:lang w:val="fr-FR"/>
        </w:rPr>
        <w:t>b)</w:t>
      </w:r>
      <w:r w:rsidRPr="00E87B96">
        <w:rPr>
          <w:bCs/>
          <w:lang w:val="fr-FR"/>
        </w:rPr>
        <w:tab/>
        <w:t>La séquence d</w:t>
      </w:r>
      <w:r w:rsidR="005152C8">
        <w:rPr>
          <w:bCs/>
          <w:lang w:val="fr-FR"/>
        </w:rPr>
        <w:t>’</w:t>
      </w:r>
      <w:r w:rsidRPr="00E87B96">
        <w:rPr>
          <w:bCs/>
          <w:lang w:val="fr-FR"/>
        </w:rPr>
        <w:t>activation des sources lumineuses doit se faire de façon uniforme et progressive du bord intérieur vers le bord extérieur de la surface apparente ;</w:t>
      </w:r>
    </w:p>
    <w:p w:rsidR="00E87B96" w:rsidRPr="00E87B96" w:rsidRDefault="00E87B96" w:rsidP="00AC0128">
      <w:pPr>
        <w:pStyle w:val="SingleTxtG"/>
        <w:ind w:left="2835" w:hanging="567"/>
        <w:rPr>
          <w:bCs/>
          <w:lang w:val="fr-FR"/>
        </w:rPr>
      </w:pPr>
      <w:r w:rsidRPr="00E87B96">
        <w:rPr>
          <w:bCs/>
          <w:lang w:val="fr-FR"/>
        </w:rPr>
        <w:t>c)</w:t>
      </w:r>
      <w:r w:rsidRPr="00E87B96">
        <w:rPr>
          <w:bCs/>
          <w:lang w:val="fr-FR"/>
        </w:rPr>
        <w:tab/>
        <w:t>Cela doit produire une ligne continue, sans alternances répétées dans le sens vertical (autrement dit, il ne doit pas y avoir de vagues) ;</w:t>
      </w:r>
    </w:p>
    <w:p w:rsidR="00E87B96" w:rsidRPr="00E87B96" w:rsidRDefault="00E87B96" w:rsidP="00AC0128">
      <w:pPr>
        <w:pStyle w:val="SingleTxtG"/>
        <w:ind w:left="2835" w:hanging="567"/>
        <w:rPr>
          <w:bCs/>
          <w:lang w:val="fr-FR"/>
        </w:rPr>
      </w:pPr>
      <w:r w:rsidRPr="00E87B96">
        <w:rPr>
          <w:bCs/>
          <w:lang w:val="fr-FR"/>
        </w:rPr>
        <w:t>d)</w:t>
      </w:r>
      <w:r w:rsidRPr="00E87B96">
        <w:rPr>
          <w:bCs/>
          <w:lang w:val="fr-FR"/>
        </w:rPr>
        <w:tab/>
        <w:t xml:space="preserve">La variation doit prendre fin au plus tard 200 ms après le début du cycle </w:t>
      </w:r>
      <w:r w:rsidRPr="00E87B96">
        <w:t>“</w:t>
      </w:r>
      <w:r w:rsidRPr="00E87B96">
        <w:rPr>
          <w:bCs/>
          <w:lang w:val="fr-FR"/>
        </w:rPr>
        <w:t>marche</w:t>
      </w:r>
      <w:r w:rsidRPr="00E87B96">
        <w:t>”</w:t>
      </w:r>
      <w:r w:rsidR="00AC0128">
        <w:t> </w:t>
      </w:r>
      <w:r w:rsidRPr="00E87B96">
        <w:rPr>
          <w:bCs/>
          <w:lang w:val="fr-FR"/>
        </w:rPr>
        <w:t>;</w:t>
      </w:r>
    </w:p>
    <w:p w:rsidR="00E87B96" w:rsidRPr="00E87B96" w:rsidRDefault="00E87B96" w:rsidP="00AC0128">
      <w:pPr>
        <w:pStyle w:val="SingleTxtG"/>
        <w:ind w:left="2835" w:hanging="567"/>
        <w:rPr>
          <w:bCs/>
          <w:lang w:val="fr-FR"/>
        </w:rPr>
      </w:pPr>
      <w:r w:rsidRPr="00E87B96">
        <w:rPr>
          <w:bCs/>
          <w:lang w:val="fr-FR"/>
        </w:rPr>
        <w:t>e)</w:t>
      </w:r>
      <w:r w:rsidRPr="00E87B96">
        <w:rPr>
          <w:bCs/>
          <w:lang w:val="fr-FR"/>
        </w:rPr>
        <w:tab/>
        <w:t>Pour la projection orthogonale dans la direction de l</w:t>
      </w:r>
      <w:r w:rsidR="005152C8">
        <w:rPr>
          <w:bCs/>
          <w:lang w:val="fr-FR"/>
        </w:rPr>
        <w:t>’</w:t>
      </w:r>
      <w:r w:rsidRPr="00E87B96">
        <w:rPr>
          <w:bCs/>
          <w:lang w:val="fr-FR"/>
        </w:rPr>
        <w:t>axe de référence d</w:t>
      </w:r>
      <w:r w:rsidR="005152C8">
        <w:rPr>
          <w:bCs/>
          <w:lang w:val="fr-FR"/>
        </w:rPr>
        <w:t>’</w:t>
      </w:r>
      <w:r w:rsidRPr="00E87B96">
        <w:rPr>
          <w:bCs/>
          <w:lang w:val="fr-FR"/>
        </w:rPr>
        <w:t>un rectangle circonscrit à la surface apparente du feu indicateur de direction et dont les côtés les plus longs doivent être parallèles au plan H, le rapport entre le côté horizontal et le côté vertical ne doit pas être inférieur à 1,7.</w:t>
      </w:r>
    </w:p>
    <w:p w:rsidR="00E87B96" w:rsidRPr="00E87B96" w:rsidRDefault="00E87B96" w:rsidP="00AC0128">
      <w:pPr>
        <w:pStyle w:val="SingleTxtG"/>
        <w:ind w:left="2268"/>
        <w:rPr>
          <w:bCs/>
          <w:lang w:val="fr-FR"/>
        </w:rPr>
      </w:pPr>
      <w:r w:rsidRPr="00E87B96">
        <w:rPr>
          <w:bCs/>
          <w:lang w:val="fr-FR"/>
        </w:rPr>
        <w:t>Il faut vérifier en mode clignotant si les conditions susm</w:t>
      </w:r>
      <w:r w:rsidR="00AC0128">
        <w:rPr>
          <w:bCs/>
          <w:lang w:val="fr-FR"/>
        </w:rPr>
        <w:t>entionnées sont remplies. ».</w:t>
      </w:r>
    </w:p>
    <w:p w:rsidR="00E87B96" w:rsidRPr="00E87B96" w:rsidRDefault="00E87B96" w:rsidP="00E87B96">
      <w:pPr>
        <w:pStyle w:val="SingleTxtG"/>
        <w:rPr>
          <w:i/>
          <w:lang w:val="fr-FR"/>
        </w:rPr>
      </w:pPr>
      <w:r w:rsidRPr="00E87B96">
        <w:rPr>
          <w:i/>
          <w:lang w:val="fr-FR"/>
        </w:rPr>
        <w:t>Annexe 2, point 9</w:t>
      </w:r>
      <w:r w:rsidRPr="00AC0128">
        <w:rPr>
          <w:lang w:val="fr-FR"/>
        </w:rPr>
        <w:t>,</w:t>
      </w:r>
      <w:r w:rsidRPr="00E87B96">
        <w:rPr>
          <w:i/>
          <w:lang w:val="fr-FR"/>
        </w:rPr>
        <w:t xml:space="preserve"> </w:t>
      </w:r>
      <w:r w:rsidR="00AC0128">
        <w:rPr>
          <w:lang w:val="fr-FR"/>
        </w:rPr>
        <w:t>lire</w:t>
      </w:r>
      <w:r w:rsidRPr="00E87B96">
        <w:rPr>
          <w:lang w:val="fr-FR"/>
        </w:rPr>
        <w:t> :</w:t>
      </w:r>
    </w:p>
    <w:p w:rsidR="00E87B96" w:rsidRPr="00E87B96" w:rsidRDefault="00E87B96" w:rsidP="005152C8">
      <w:pPr>
        <w:pStyle w:val="SingleTxtG"/>
        <w:ind w:left="2268" w:hanging="1134"/>
        <w:rPr>
          <w:bCs/>
          <w:lang w:val="fr-FR"/>
        </w:rPr>
      </w:pPr>
      <w:r w:rsidRPr="00E87B96">
        <w:rPr>
          <w:bCs/>
          <w:lang w:val="fr-FR"/>
        </w:rPr>
        <w:t>« 9</w:t>
      </w:r>
      <w:r w:rsidR="00A60CF3">
        <w:rPr>
          <w:bCs/>
          <w:lang w:val="fr-FR"/>
        </w:rPr>
        <w:t>.</w:t>
      </w:r>
      <w:r w:rsidRPr="00E87B96">
        <w:rPr>
          <w:bCs/>
          <w:lang w:val="fr-FR"/>
        </w:rPr>
        <w:tab/>
      </w:r>
      <w:r w:rsidRPr="00E87B96">
        <w:rPr>
          <w:bCs/>
          <w:lang w:val="fr-FR"/>
        </w:rPr>
        <w:tab/>
        <w:t>Description sommaire</w:t>
      </w:r>
      <w:r w:rsidRPr="006645E6">
        <w:rPr>
          <w:bCs/>
          <w:sz w:val="18"/>
          <w:szCs w:val="18"/>
          <w:vertAlign w:val="superscript"/>
          <w:lang w:val="fr-FR"/>
        </w:rPr>
        <w:t>3</w:t>
      </w:r>
      <w:r w:rsidRPr="00E87B96">
        <w:rPr>
          <w:bCs/>
          <w:lang w:val="fr-FR"/>
        </w:rPr>
        <w:t> </w:t>
      </w:r>
      <w:r w:rsidR="00AC0128">
        <w:rPr>
          <w:bCs/>
          <w:lang w:val="fr-FR"/>
        </w:rPr>
        <w:t>:</w:t>
      </w:r>
    </w:p>
    <w:p w:rsidR="00E87B96" w:rsidRPr="00E87B96" w:rsidRDefault="00E87B96" w:rsidP="005152C8">
      <w:pPr>
        <w:pStyle w:val="SingleTxtG"/>
        <w:ind w:left="2268"/>
        <w:rPr>
          <w:bCs/>
          <w:lang w:val="fr-FR"/>
        </w:rPr>
      </w:pPr>
      <w:r w:rsidRPr="00E87B96">
        <w:rPr>
          <w:bCs/>
          <w:lang w:val="fr-FR"/>
        </w:rPr>
        <w:t>…</w:t>
      </w:r>
    </w:p>
    <w:p w:rsidR="00E87B96" w:rsidRPr="00E87B96" w:rsidRDefault="00E87B96" w:rsidP="005152C8">
      <w:pPr>
        <w:pStyle w:val="SingleTxtG"/>
        <w:ind w:left="2268"/>
        <w:rPr>
          <w:bCs/>
          <w:lang w:val="fr-FR"/>
        </w:rPr>
      </w:pPr>
      <w:r w:rsidRPr="00E87B96">
        <w:rPr>
          <w:bCs/>
          <w:lang w:val="fr-FR"/>
        </w:rPr>
        <w:t>Feux-stop : oui/ non</w:t>
      </w:r>
      <w:r w:rsidRPr="006645E6">
        <w:rPr>
          <w:bCs/>
          <w:sz w:val="18"/>
          <w:szCs w:val="18"/>
          <w:vertAlign w:val="superscript"/>
          <w:lang w:val="fr-FR"/>
        </w:rPr>
        <w:t>2</w:t>
      </w:r>
    </w:p>
    <w:p w:rsidR="005F0207" w:rsidRDefault="00E87B96" w:rsidP="005152C8">
      <w:pPr>
        <w:pStyle w:val="SingleTxtG"/>
        <w:ind w:left="2268"/>
        <w:rPr>
          <w:bCs/>
          <w:lang w:val="fr-FR"/>
        </w:rPr>
      </w:pPr>
      <w:r w:rsidRPr="00E87B96">
        <w:rPr>
          <w:bCs/>
          <w:lang w:val="fr-FR"/>
        </w:rPr>
        <w:t>Activation séquentielle des sources lumineuses (voir le paragraphe</w:t>
      </w:r>
      <w:r w:rsidR="00AC0128">
        <w:rPr>
          <w:bCs/>
          <w:lang w:val="fr-FR"/>
        </w:rPr>
        <w:t> </w:t>
      </w:r>
      <w:r w:rsidRPr="00E87B96">
        <w:rPr>
          <w:bCs/>
          <w:lang w:val="fr-FR"/>
        </w:rPr>
        <w:t>6.8 du présent Règlement)</w:t>
      </w:r>
      <w:r w:rsidR="00AC0128">
        <w:rPr>
          <w:bCs/>
          <w:lang w:val="fr-FR"/>
        </w:rPr>
        <w:t> </w:t>
      </w:r>
      <w:r w:rsidRPr="00E87B96">
        <w:rPr>
          <w:bCs/>
          <w:lang w:val="fr-FR"/>
        </w:rPr>
        <w:t>: oui/non</w:t>
      </w:r>
      <w:r w:rsidRPr="006645E6">
        <w:rPr>
          <w:bCs/>
          <w:sz w:val="18"/>
          <w:szCs w:val="18"/>
          <w:vertAlign w:val="superscript"/>
          <w:lang w:val="fr-FR"/>
        </w:rPr>
        <w:t>2</w:t>
      </w:r>
      <w:r w:rsidRPr="00E87B96">
        <w:rPr>
          <w:bCs/>
          <w:lang w:val="fr-FR"/>
        </w:rPr>
        <w:t> ».</w:t>
      </w:r>
    </w:p>
    <w:p w:rsidR="005152C8" w:rsidRPr="005152C8" w:rsidRDefault="005152C8" w:rsidP="005152C8">
      <w:pPr>
        <w:pStyle w:val="SingleTxtG"/>
        <w:spacing w:before="240" w:after="0"/>
        <w:jc w:val="center"/>
        <w:rPr>
          <w:u w:val="single"/>
        </w:rPr>
      </w:pPr>
      <w:r>
        <w:rPr>
          <w:u w:val="single"/>
        </w:rPr>
        <w:tab/>
      </w:r>
      <w:r>
        <w:rPr>
          <w:u w:val="single"/>
        </w:rPr>
        <w:tab/>
      </w:r>
      <w:r>
        <w:rPr>
          <w:u w:val="single"/>
        </w:rPr>
        <w:tab/>
      </w:r>
    </w:p>
    <w:sectPr w:rsidR="005152C8" w:rsidRPr="005152C8" w:rsidSect="001D2315">
      <w:headerReference w:type="even" r:id="rId7"/>
      <w:headerReference w:type="default" r:id="rId8"/>
      <w:footerReference w:type="even" r:id="rId9"/>
      <w:footerReference w:type="default" r:id="rId10"/>
      <w:footerReference w:type="first" r:id="rId11"/>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317" w:rsidRDefault="003F7317"/>
  </w:endnote>
  <w:endnote w:type="continuationSeparator" w:id="0">
    <w:p w:rsidR="003F7317" w:rsidRDefault="003F7317">
      <w:pPr>
        <w:pStyle w:val="Footer"/>
      </w:pPr>
    </w:p>
  </w:endnote>
  <w:endnote w:type="continuationNotice" w:id="1">
    <w:p w:rsidR="003F7317" w:rsidRPr="00C451B9" w:rsidRDefault="003F7317"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315" w:rsidRPr="001D2315" w:rsidRDefault="001D2315" w:rsidP="001D2315">
    <w:pPr>
      <w:pStyle w:val="Footer"/>
      <w:tabs>
        <w:tab w:val="right" w:pos="9638"/>
      </w:tabs>
    </w:pPr>
    <w:r w:rsidRPr="001D2315">
      <w:rPr>
        <w:b/>
        <w:sz w:val="18"/>
      </w:rPr>
      <w:fldChar w:fldCharType="begin"/>
    </w:r>
    <w:r w:rsidRPr="001D2315">
      <w:rPr>
        <w:b/>
        <w:sz w:val="18"/>
      </w:rPr>
      <w:instrText xml:space="preserve"> PAGE  \* MERGEFORMAT </w:instrText>
    </w:r>
    <w:r w:rsidRPr="001D2315">
      <w:rPr>
        <w:b/>
        <w:sz w:val="18"/>
      </w:rPr>
      <w:fldChar w:fldCharType="separate"/>
    </w:r>
    <w:r w:rsidR="006645E6">
      <w:rPr>
        <w:b/>
        <w:noProof/>
        <w:sz w:val="18"/>
      </w:rPr>
      <w:t>2</w:t>
    </w:r>
    <w:r w:rsidRPr="001D2315">
      <w:rPr>
        <w:b/>
        <w:sz w:val="18"/>
      </w:rPr>
      <w:fldChar w:fldCharType="end"/>
    </w:r>
    <w:r>
      <w:rPr>
        <w:b/>
        <w:sz w:val="18"/>
      </w:rPr>
      <w:tab/>
    </w:r>
    <w:r>
      <w:t>GE.16-17867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315" w:rsidRPr="001D2315" w:rsidRDefault="001D2315" w:rsidP="001D2315">
    <w:pPr>
      <w:pStyle w:val="Footer"/>
      <w:tabs>
        <w:tab w:val="right" w:pos="9638"/>
      </w:tabs>
      <w:rPr>
        <w:b/>
        <w:sz w:val="18"/>
      </w:rPr>
    </w:pPr>
    <w:r>
      <w:t>GE.16-17867</w:t>
    </w:r>
    <w:r>
      <w:tab/>
    </w:r>
    <w:r w:rsidRPr="001D2315">
      <w:rPr>
        <w:b/>
        <w:sz w:val="18"/>
      </w:rPr>
      <w:fldChar w:fldCharType="begin"/>
    </w:r>
    <w:r w:rsidRPr="001D2315">
      <w:rPr>
        <w:b/>
        <w:sz w:val="18"/>
      </w:rPr>
      <w:instrText xml:space="preserve"> PAGE  \* MERGEFORMAT </w:instrText>
    </w:r>
    <w:r w:rsidRPr="001D2315">
      <w:rPr>
        <w:b/>
        <w:sz w:val="18"/>
      </w:rPr>
      <w:fldChar w:fldCharType="separate"/>
    </w:r>
    <w:r w:rsidR="00A60CF3">
      <w:rPr>
        <w:b/>
        <w:noProof/>
        <w:sz w:val="18"/>
      </w:rPr>
      <w:t>3</w:t>
    </w:r>
    <w:r w:rsidRPr="001D231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756" w:rsidRPr="0029791D" w:rsidRDefault="00EA6F1F" w:rsidP="00E97E2C">
    <w:pPr>
      <w:ind w:left="1134" w:right="1134"/>
      <w:jc w:val="center"/>
    </w:pPr>
    <w:r>
      <w:rPr>
        <w:noProof/>
        <w:lang w:eastAsia="fr-CH"/>
      </w:rPr>
      <w:drawing>
        <wp:anchor distT="0" distB="0" distL="114300" distR="114300" simplePos="0" relativeHeight="251657728" behindDoc="0" locked="0" layoutInCell="1" allowOverlap="1">
          <wp:simplePos x="0" y="0"/>
          <wp:positionH relativeFrom="margin">
            <wp:posOffset>4319905</wp:posOffset>
          </wp:positionH>
          <wp:positionV relativeFrom="margin">
            <wp:posOffset>8279765</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rsidR="00CA0756">
      <w:t>_______________</w:t>
    </w:r>
  </w:p>
  <w:p w:rsidR="00CA0756" w:rsidRDefault="00EA6F1F" w:rsidP="00E97E2C">
    <w:pPr>
      <w:jc w:val="center"/>
      <w:rPr>
        <w:b/>
        <w:bCs/>
        <w:sz w:val="22"/>
      </w:rPr>
    </w:pPr>
    <w:r>
      <w:rPr>
        <w:noProof/>
        <w:lang w:eastAsia="fr-CH"/>
      </w:rPr>
      <w:drawing>
        <wp:inline distT="0" distB="0" distL="0" distR="0">
          <wp:extent cx="914400" cy="77470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7608" r="-7608"/>
                  <a:stretch>
                    <a:fillRect/>
                  </a:stretch>
                </pic:blipFill>
                <pic:spPr bwMode="auto">
                  <a:xfrm>
                    <a:off x="0" y="0"/>
                    <a:ext cx="914400" cy="774700"/>
                  </a:xfrm>
                  <a:prstGeom prst="rect">
                    <a:avLst/>
                  </a:prstGeom>
                  <a:noFill/>
                  <a:ln>
                    <a:noFill/>
                  </a:ln>
                </pic:spPr>
              </pic:pic>
            </a:graphicData>
          </a:graphic>
        </wp:inline>
      </w:drawing>
    </w:r>
  </w:p>
  <w:p w:rsidR="00CA0756" w:rsidRPr="0029791D" w:rsidRDefault="00CA0756" w:rsidP="00E97E2C">
    <w:pPr>
      <w:jc w:val="center"/>
      <w:rPr>
        <w:sz w:val="24"/>
        <w:szCs w:val="24"/>
      </w:rPr>
    </w:pPr>
    <w:r w:rsidRPr="0029791D">
      <w:rPr>
        <w:b/>
        <w:bCs/>
        <w:sz w:val="24"/>
        <w:szCs w:val="24"/>
      </w:rPr>
      <w:t>Nations Unies</w:t>
    </w:r>
  </w:p>
  <w:p w:rsidR="00CA0756" w:rsidRPr="0029791D" w:rsidRDefault="00CA0756" w:rsidP="00E97E2C">
    <w:pPr>
      <w:pStyle w:val="FootnoteText"/>
      <w:tabs>
        <w:tab w:val="clear" w:pos="1021"/>
        <w:tab w:val="right" w:pos="2155"/>
      </w:tabs>
      <w:spacing w:after="80" w:line="240" w:lineRule="atLeast"/>
      <w:ind w:left="680" w:right="0" w:firstLine="0"/>
      <w:rPr>
        <w:u w:val="single"/>
      </w:rPr>
    </w:pPr>
    <w:r>
      <w:rPr>
        <w:u w:val="single"/>
      </w:rPr>
      <w:tab/>
    </w:r>
  </w:p>
  <w:p w:rsidR="00CA0756" w:rsidRDefault="00CA0756" w:rsidP="00E97E2C">
    <w:pPr>
      <w:pStyle w:val="FootnoteText"/>
      <w:spacing w:after="240"/>
    </w:pPr>
    <w:r>
      <w:tab/>
    </w:r>
    <w:r w:rsidRPr="0029791D">
      <w:rPr>
        <w:rStyle w:val="FootnoteReference"/>
        <w:sz w:val="20"/>
        <w:vertAlign w:val="baseline"/>
      </w:rPr>
      <w:t>*</w:t>
    </w:r>
    <w:r>
      <w:rPr>
        <w:sz w:val="20"/>
      </w:rPr>
      <w:tab/>
    </w:r>
    <w:r w:rsidRPr="007817A7">
      <w:t>Ancien titre de l</w:t>
    </w:r>
    <w:r w:rsidR="005152C8">
      <w:t>’</w:t>
    </w:r>
    <w:r w:rsidRPr="007817A7">
      <w:t>Accor</w:t>
    </w:r>
    <w:r>
      <w:t>d</w:t>
    </w:r>
    <w:r w:rsidR="005A492E">
      <w:t> </w:t>
    </w:r>
    <w:r>
      <w:t>: Accord concernant l</w:t>
    </w:r>
    <w:r w:rsidR="005152C8">
      <w:t>’</w:t>
    </w:r>
    <w:r>
      <w:t>a</w:t>
    </w:r>
    <w:r w:rsidRPr="007817A7">
      <w:t>doption de conditions uniformes d</w:t>
    </w:r>
    <w:r w:rsidR="005152C8">
      <w:t>’</w:t>
    </w:r>
    <w:r w:rsidRPr="007817A7">
      <w:t>homologation et la</w:t>
    </w:r>
    <w:r>
      <w:t> </w:t>
    </w:r>
    <w:r w:rsidRPr="007817A7">
      <w:t>reconnaissance réciproque de l</w:t>
    </w:r>
    <w:r w:rsidR="005152C8">
      <w:t>’</w:t>
    </w:r>
    <w:r w:rsidRPr="007817A7">
      <w:t>homologation des équipements et pièces de véhicules à m</w:t>
    </w:r>
    <w:r>
      <w:t xml:space="preserve">oteur, en date, à Genève, du 20 </w:t>
    </w:r>
    <w:r w:rsidRPr="007817A7">
      <w:t>mars 1958.</w:t>
    </w:r>
  </w:p>
  <w:p w:rsidR="00CA0756" w:rsidRPr="001D2315" w:rsidRDefault="001D2315" w:rsidP="001D2315">
    <w:pPr>
      <w:pStyle w:val="Footer"/>
      <w:spacing w:before="120"/>
      <w:rPr>
        <w:sz w:val="20"/>
      </w:rPr>
    </w:pPr>
    <w:r>
      <w:rPr>
        <w:sz w:val="20"/>
      </w:rPr>
      <w:t>GE.16-</w:t>
    </w:r>
    <w:proofErr w:type="gramStart"/>
    <w:r>
      <w:rPr>
        <w:sz w:val="20"/>
      </w:rPr>
      <w:t>17867  (</w:t>
    </w:r>
    <w:proofErr w:type="gramEnd"/>
    <w:r>
      <w:rPr>
        <w:sz w:val="20"/>
      </w:rPr>
      <w:t>F)</w:t>
    </w:r>
    <w:r w:rsidR="009C6AEF">
      <w:rPr>
        <w:sz w:val="20"/>
      </w:rPr>
      <w:t xml:space="preserve">    131216    151216</w:t>
    </w:r>
    <w:r>
      <w:rPr>
        <w:sz w:val="20"/>
      </w:rPr>
      <w:br/>
    </w:r>
    <w:r w:rsidRPr="001D2315">
      <w:rPr>
        <w:rFonts w:ascii="C39T30Lfz" w:hAnsi="C39T30Lfz"/>
        <w:sz w:val="56"/>
      </w:rPr>
      <w:t></w:t>
    </w:r>
    <w:r w:rsidRPr="001D2315">
      <w:rPr>
        <w:rFonts w:ascii="C39T30Lfz" w:hAnsi="C39T30Lfz"/>
        <w:sz w:val="56"/>
      </w:rPr>
      <w:t></w:t>
    </w:r>
    <w:r w:rsidRPr="001D2315">
      <w:rPr>
        <w:rFonts w:ascii="C39T30Lfz" w:hAnsi="C39T30Lfz"/>
        <w:sz w:val="56"/>
      </w:rPr>
      <w:t></w:t>
    </w:r>
    <w:r w:rsidRPr="001D2315">
      <w:rPr>
        <w:rFonts w:ascii="C39T30Lfz" w:hAnsi="C39T30Lfz"/>
        <w:sz w:val="56"/>
      </w:rPr>
      <w:t></w:t>
    </w:r>
    <w:r w:rsidRPr="001D2315">
      <w:rPr>
        <w:rFonts w:ascii="C39T30Lfz" w:hAnsi="C39T30Lfz"/>
        <w:sz w:val="56"/>
      </w:rPr>
      <w:t></w:t>
    </w:r>
    <w:r w:rsidRPr="001D2315">
      <w:rPr>
        <w:rFonts w:ascii="C39T30Lfz" w:hAnsi="C39T30Lfz"/>
        <w:sz w:val="56"/>
      </w:rPr>
      <w:t></w:t>
    </w:r>
    <w:r w:rsidRPr="001D2315">
      <w:rPr>
        <w:rFonts w:ascii="C39T30Lfz" w:hAnsi="C39T30Lfz"/>
        <w:sz w:val="56"/>
      </w:rPr>
      <w:t></w:t>
    </w:r>
    <w:r w:rsidRPr="001D2315">
      <w:rPr>
        <w:rFonts w:ascii="C39T30Lfz" w:hAnsi="C39T30Lfz"/>
        <w:sz w:val="56"/>
      </w:rPr>
      <w:t></w:t>
    </w:r>
    <w:r w:rsidRPr="001D2315">
      <w:rPr>
        <w:rFonts w:ascii="C39T30Lfz" w:hAnsi="C39T30Lfz"/>
        <w:sz w:val="56"/>
      </w:rPr>
      <w:t></w:t>
    </w:r>
    <w:r w:rsidR="00EA6F1F">
      <w:rPr>
        <w:noProof/>
        <w:sz w:val="20"/>
        <w:lang w:eastAsia="fr-CH"/>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07060" cy="607060"/>
          <wp:effectExtent l="0" t="0" r="2540" b="2540"/>
          <wp:wrapNone/>
          <wp:docPr id="4" name="Image 4" descr="http://undocs.org/m2/QRCode2.ashx?DS=E/ECE/324/Rev.1/Add.49/Rev.3/Amend.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ndocs.org/m2/QRCode2.ashx?DS=E/ECE/324/Rev.1/Add.49/Rev.3/Amend.2&amp;Size=2&amp;Lang=F"/>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317" w:rsidRPr="00D27D5E" w:rsidRDefault="003F7317" w:rsidP="00D27D5E">
      <w:pPr>
        <w:tabs>
          <w:tab w:val="right" w:pos="2155"/>
        </w:tabs>
        <w:spacing w:after="80"/>
        <w:ind w:left="680"/>
        <w:rPr>
          <w:u w:val="single"/>
        </w:rPr>
      </w:pPr>
      <w:r>
        <w:rPr>
          <w:u w:val="single"/>
        </w:rPr>
        <w:tab/>
      </w:r>
    </w:p>
  </w:footnote>
  <w:footnote w:type="continuationSeparator" w:id="0">
    <w:p w:rsidR="003F7317" w:rsidRPr="00D171D4" w:rsidRDefault="003F7317" w:rsidP="00D171D4">
      <w:pPr>
        <w:tabs>
          <w:tab w:val="right" w:pos="2155"/>
        </w:tabs>
        <w:spacing w:after="80"/>
        <w:ind w:left="680"/>
        <w:rPr>
          <w:u w:val="single"/>
        </w:rPr>
      </w:pPr>
      <w:r w:rsidRPr="00D171D4">
        <w:rPr>
          <w:u w:val="single"/>
        </w:rPr>
        <w:tab/>
      </w:r>
    </w:p>
  </w:footnote>
  <w:footnote w:type="continuationNotice" w:id="1">
    <w:p w:rsidR="003F7317" w:rsidRPr="00C451B9" w:rsidRDefault="003F7317" w:rsidP="00C451B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315" w:rsidRPr="00AD756A" w:rsidRDefault="001D2315">
    <w:pPr>
      <w:pStyle w:val="Header"/>
      <w:rPr>
        <w:lang w:val="en-GB"/>
      </w:rPr>
    </w:pPr>
    <w:r w:rsidRPr="00AD756A">
      <w:rPr>
        <w:lang w:val="en-GB"/>
      </w:rPr>
      <w:t>E/ECE/324/Rev.1/Add.49/Rev.3/Amend.2</w:t>
    </w:r>
    <w:r w:rsidRPr="00AD756A">
      <w:rPr>
        <w:lang w:val="en-GB"/>
      </w:rPr>
      <w:br/>
      <w:t>E/ECE/TRANS/505/Rev.1/Add.49/Rev.3/Amend.2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315" w:rsidRPr="00AD756A" w:rsidRDefault="001D2315" w:rsidP="001D2315">
    <w:pPr>
      <w:pStyle w:val="Header"/>
      <w:jc w:val="right"/>
      <w:rPr>
        <w:lang w:val="en-GB"/>
      </w:rPr>
    </w:pPr>
    <w:r w:rsidRPr="00AD756A">
      <w:rPr>
        <w:lang w:val="en-GB"/>
      </w:rPr>
      <w:t>E/ECE/324/Rev.1/Add.49/Rev.3/Amend.2</w:t>
    </w:r>
    <w:r w:rsidRPr="00AD756A">
      <w:rPr>
        <w:lang w:val="en-GB"/>
      </w:rPr>
      <w:br/>
      <w:t>E/ECE/TRANS/505/Rev.1/Add.49/Rev.3/Amend.2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317"/>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2BF8"/>
    <w:rsid w:val="00174814"/>
    <w:rsid w:val="00181A90"/>
    <w:rsid w:val="00190D5D"/>
    <w:rsid w:val="00192EEB"/>
    <w:rsid w:val="00194484"/>
    <w:rsid w:val="001A2040"/>
    <w:rsid w:val="001A20FB"/>
    <w:rsid w:val="001A252F"/>
    <w:rsid w:val="001A376F"/>
    <w:rsid w:val="001B09BB"/>
    <w:rsid w:val="001C3D8D"/>
    <w:rsid w:val="001C6497"/>
    <w:rsid w:val="001D2315"/>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317"/>
    <w:rsid w:val="0040144C"/>
    <w:rsid w:val="004067AE"/>
    <w:rsid w:val="00410521"/>
    <w:rsid w:val="00413BB0"/>
    <w:rsid w:val="004159D0"/>
    <w:rsid w:val="00417326"/>
    <w:rsid w:val="00421A10"/>
    <w:rsid w:val="00422499"/>
    <w:rsid w:val="00430EFC"/>
    <w:rsid w:val="004342E2"/>
    <w:rsid w:val="00434354"/>
    <w:rsid w:val="00440BC8"/>
    <w:rsid w:val="00454F8D"/>
    <w:rsid w:val="004567EB"/>
    <w:rsid w:val="00457676"/>
    <w:rsid w:val="00460E72"/>
    <w:rsid w:val="00464191"/>
    <w:rsid w:val="00467412"/>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52C8"/>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492E"/>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45E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607B1"/>
    <w:rsid w:val="00765296"/>
    <w:rsid w:val="00766D28"/>
    <w:rsid w:val="007723C2"/>
    <w:rsid w:val="007815B9"/>
    <w:rsid w:val="00783E82"/>
    <w:rsid w:val="00785F1F"/>
    <w:rsid w:val="007869B6"/>
    <w:rsid w:val="00790B9D"/>
    <w:rsid w:val="00796316"/>
    <w:rsid w:val="007A1C58"/>
    <w:rsid w:val="007A20D2"/>
    <w:rsid w:val="007A79CD"/>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C6AE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60CF3"/>
    <w:rsid w:val="00A72C35"/>
    <w:rsid w:val="00A752BB"/>
    <w:rsid w:val="00A81F93"/>
    <w:rsid w:val="00A9247E"/>
    <w:rsid w:val="00AA0DCA"/>
    <w:rsid w:val="00AA7796"/>
    <w:rsid w:val="00AC0128"/>
    <w:rsid w:val="00AC67A1"/>
    <w:rsid w:val="00AC7977"/>
    <w:rsid w:val="00AC7E56"/>
    <w:rsid w:val="00AD756A"/>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6356"/>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0F4C"/>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87B96"/>
    <w:rsid w:val="00E9483E"/>
    <w:rsid w:val="00E96710"/>
    <w:rsid w:val="00E97E2C"/>
    <w:rsid w:val="00EA3B1D"/>
    <w:rsid w:val="00EA6F1F"/>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0DDC1A9A-9C73-46C2-B6A1-CC5EAFCA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 w:type="paragraph" w:styleId="BalloonText">
    <w:name w:val="Balloon Text"/>
    <w:basedOn w:val="Normal"/>
    <w:link w:val="BalloonTextChar"/>
    <w:rsid w:val="006645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645E6"/>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392</Words>
  <Characters>2241</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E/ECE/324/Rev.1/Add.49/Rev.3/Amend.2</vt:lpstr>
      <vt:lpstr>E/ECE/324/Rev.1/Add.49/Rev.3/Amend.2</vt:lpstr>
    </vt:vector>
  </TitlesOfParts>
  <Company>CSD</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E/ECE/324/Rev.1/Add.49/Rev.3/Amend.2</dc:title>
  <dc:creator>Robert Corinne</dc:creator>
  <cp:lastModifiedBy>Olivia Braud</cp:lastModifiedBy>
  <cp:revision>2</cp:revision>
  <cp:lastPrinted>2016-12-15T10:15:00Z</cp:lastPrinted>
  <dcterms:created xsi:type="dcterms:W3CDTF">2018-08-22T12:12:00Z</dcterms:created>
  <dcterms:modified xsi:type="dcterms:W3CDTF">2018-08-22T12:12:00Z</dcterms:modified>
</cp:coreProperties>
</file>