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9C542E" w14:paraId="63B6EE5C" w14:textId="77777777" w:rsidTr="00A27C92">
        <w:trPr>
          <w:trHeight w:hRule="exact" w:val="851"/>
        </w:trPr>
        <w:tc>
          <w:tcPr>
            <w:tcW w:w="9639" w:type="dxa"/>
            <w:gridSpan w:val="2"/>
            <w:tcBorders>
              <w:bottom w:val="single" w:sz="4" w:space="0" w:color="auto"/>
            </w:tcBorders>
            <w:shd w:val="clear" w:color="auto" w:fill="auto"/>
            <w:vAlign w:val="bottom"/>
          </w:tcPr>
          <w:p w14:paraId="2A719D94" w14:textId="77777777" w:rsidR="003151DB" w:rsidRPr="003151DB" w:rsidRDefault="003151DB" w:rsidP="003151DB">
            <w:pPr>
              <w:jc w:val="right"/>
              <w:rPr>
                <w:lang w:val="en-US"/>
              </w:rPr>
            </w:pPr>
            <w:bookmarkStart w:id="0" w:name="_GoBack"/>
            <w:bookmarkEnd w:id="0"/>
            <w:r w:rsidRPr="003151DB">
              <w:rPr>
                <w:sz w:val="40"/>
                <w:lang w:val="en-US"/>
              </w:rPr>
              <w:t>E</w:t>
            </w:r>
            <w:r w:rsidRPr="003151DB">
              <w:rPr>
                <w:lang w:val="en-US"/>
              </w:rPr>
              <w:t>/ECE/324/Rev.1/Add.48/Rev.6/Amend.6−</w:t>
            </w:r>
            <w:r w:rsidRPr="003151DB">
              <w:rPr>
                <w:sz w:val="40"/>
                <w:lang w:val="en-US"/>
              </w:rPr>
              <w:t>E</w:t>
            </w:r>
            <w:r w:rsidRPr="003151DB">
              <w:rPr>
                <w:lang w:val="en-US"/>
              </w:rPr>
              <w:t>/ECE/TRANS/505/Rev.1/Add.48/Rev.6/Amend.6</w:t>
            </w:r>
          </w:p>
        </w:tc>
      </w:tr>
      <w:tr w:rsidR="00421A10" w:rsidRPr="00DB58B5" w14:paraId="5E3F79F6" w14:textId="77777777" w:rsidTr="00A27C92">
        <w:trPr>
          <w:trHeight w:hRule="exact" w:val="2835"/>
        </w:trPr>
        <w:tc>
          <w:tcPr>
            <w:tcW w:w="6804" w:type="dxa"/>
            <w:tcBorders>
              <w:top w:val="single" w:sz="4" w:space="0" w:color="auto"/>
              <w:bottom w:val="single" w:sz="12" w:space="0" w:color="auto"/>
            </w:tcBorders>
            <w:shd w:val="clear" w:color="auto" w:fill="auto"/>
          </w:tcPr>
          <w:p w14:paraId="7BE33714" w14:textId="77777777" w:rsidR="00421A10" w:rsidRPr="003151DB"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56C4FD8A" w14:textId="77777777" w:rsidR="00421A10" w:rsidRPr="00DB58B5" w:rsidRDefault="003151DB" w:rsidP="00A27C92">
            <w:pPr>
              <w:spacing w:before="480" w:line="240" w:lineRule="exact"/>
            </w:pPr>
            <w:r>
              <w:t>16 janvier 2019</w:t>
            </w:r>
          </w:p>
        </w:tc>
      </w:tr>
    </w:tbl>
    <w:p w14:paraId="4436C29C" w14:textId="77777777" w:rsidR="00421A10" w:rsidRPr="006549FF" w:rsidRDefault="0029791D" w:rsidP="0029791D">
      <w:pPr>
        <w:pStyle w:val="HChG"/>
      </w:pPr>
      <w:r>
        <w:tab/>
      </w:r>
      <w:r>
        <w:tab/>
      </w:r>
      <w:r w:rsidR="00421A10" w:rsidRPr="006549FF">
        <w:t>Accord</w:t>
      </w:r>
    </w:p>
    <w:p w14:paraId="03D4B843" w14:textId="77777777" w:rsidR="00421A10" w:rsidRPr="00583D68" w:rsidRDefault="0029791D" w:rsidP="0029791D">
      <w:pPr>
        <w:pStyle w:val="H1G"/>
      </w:pPr>
      <w:r>
        <w:tab/>
      </w:r>
      <w:r>
        <w:tab/>
      </w:r>
      <w:r w:rsidR="00421A10" w:rsidRPr="00583D68">
        <w:t xml:space="preserve">Concernant l’adoption </w:t>
      </w:r>
      <w:r w:rsidR="003151DB" w:rsidRPr="003151DB">
        <w:rPr>
          <w:lang w:val="fr-FR"/>
        </w:rPr>
        <w:t>de Règlements techniques harmonisés de l’ONU applicables aux véhicules à roues et aux équipements et pièces susceptibles d’être montés ou utilisés sur les véhicules à roues et les</w:t>
      </w:r>
      <w:r w:rsidR="003151DB">
        <w:rPr>
          <w:lang w:val="fr-FR"/>
        </w:rPr>
        <w:t> </w:t>
      </w:r>
      <w:r w:rsidR="003151DB" w:rsidRPr="003151DB">
        <w:rPr>
          <w:lang w:val="fr-FR"/>
        </w:rPr>
        <w:t>conditions de reconnaissance réciproque des homologations délivrées conformément à ces Règlements</w:t>
      </w:r>
      <w:r w:rsidR="003151DB" w:rsidRPr="003151DB">
        <w:rPr>
          <w:b w:val="0"/>
          <w:sz w:val="20"/>
          <w:lang w:val="fr-FR"/>
        </w:rPr>
        <w:footnoteReference w:customMarkFollows="1" w:id="2"/>
        <w:t>*</w:t>
      </w:r>
    </w:p>
    <w:p w14:paraId="12AD90CC" w14:textId="77777777" w:rsidR="00421A10" w:rsidRPr="00A12483" w:rsidRDefault="00421A10" w:rsidP="0029791D">
      <w:pPr>
        <w:pStyle w:val="SingleTxtG"/>
        <w:jc w:val="left"/>
        <w:rPr>
          <w:b/>
          <w:sz w:val="24"/>
          <w:szCs w:val="24"/>
        </w:rPr>
      </w:pPr>
      <w:r w:rsidRPr="006549FF">
        <w:t xml:space="preserve">(Révision </w:t>
      </w:r>
      <w:r w:rsidR="003151DB" w:rsidRPr="003151DB">
        <w:rPr>
          <w:lang w:val="fr-FR"/>
        </w:rPr>
        <w:t>3, comprenant les amendements entrés en vigueur le 14</w:t>
      </w:r>
      <w:r w:rsidR="003151DB">
        <w:rPr>
          <w:lang w:val="fr-FR"/>
        </w:rPr>
        <w:t> </w:t>
      </w:r>
      <w:r w:rsidR="003151DB" w:rsidRPr="003151DB">
        <w:rPr>
          <w:lang w:val="fr-FR"/>
        </w:rPr>
        <w:t>septembre 2017</w:t>
      </w:r>
      <w:r w:rsidRPr="006549FF">
        <w:t>)</w:t>
      </w:r>
    </w:p>
    <w:p w14:paraId="2798AD44" w14:textId="77777777" w:rsidR="00421A10" w:rsidRPr="006549FF" w:rsidRDefault="0029791D" w:rsidP="0029791D">
      <w:pPr>
        <w:jc w:val="center"/>
      </w:pPr>
      <w:r>
        <w:t>_______________</w:t>
      </w:r>
    </w:p>
    <w:p w14:paraId="273BC44D" w14:textId="77777777" w:rsidR="00421A10" w:rsidRPr="006549FF" w:rsidRDefault="0029791D" w:rsidP="0029791D">
      <w:pPr>
        <w:pStyle w:val="HChG"/>
      </w:pPr>
      <w:r>
        <w:tab/>
      </w:r>
      <w:r>
        <w:tab/>
      </w:r>
      <w:r w:rsidR="00421A10" w:rsidRPr="006549FF">
        <w:t xml:space="preserve">Additif </w:t>
      </w:r>
      <w:r w:rsidR="003151DB">
        <w:t>48 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3151DB">
        <w:t>49</w:t>
      </w:r>
    </w:p>
    <w:p w14:paraId="3AE67319" w14:textId="77777777" w:rsidR="00421A10" w:rsidRPr="006549FF" w:rsidRDefault="0029791D" w:rsidP="0029791D">
      <w:pPr>
        <w:pStyle w:val="H1G"/>
      </w:pPr>
      <w:r>
        <w:tab/>
      </w:r>
      <w:r>
        <w:tab/>
      </w:r>
      <w:r w:rsidR="00421A10" w:rsidRPr="006549FF">
        <w:t xml:space="preserve">Révision </w:t>
      </w:r>
      <w:r w:rsidR="003151DB" w:rsidRPr="003151DB">
        <w:rPr>
          <w:lang w:val="fr-FR"/>
        </w:rPr>
        <w:t>6 − Amendement 6</w:t>
      </w:r>
    </w:p>
    <w:p w14:paraId="35DA579B" w14:textId="77777777" w:rsidR="00421A10" w:rsidRPr="004A7E44" w:rsidRDefault="00421A10" w:rsidP="0029791D">
      <w:pPr>
        <w:pStyle w:val="SingleTxtG"/>
        <w:spacing w:after="0"/>
      </w:pPr>
      <w:r w:rsidRPr="004A7E44">
        <w:t>Comprenant</w:t>
      </w:r>
      <w:r w:rsidR="003151DB">
        <w:t xml:space="preserve"> </w:t>
      </w:r>
      <w:r w:rsidR="003151DB" w:rsidRPr="003151DB">
        <w:rPr>
          <w:lang w:val="fr-FR"/>
        </w:rPr>
        <w:t>6 à la série 06 d</w:t>
      </w:r>
      <w:r w:rsidR="003151DB">
        <w:rPr>
          <w:lang w:val="fr-FR"/>
        </w:rPr>
        <w:t>’</w:t>
      </w:r>
      <w:r w:rsidR="003151DB" w:rsidRPr="003151DB">
        <w:rPr>
          <w:lang w:val="fr-FR"/>
        </w:rPr>
        <w:t>amendements −</w:t>
      </w:r>
      <w:r w:rsidR="003151DB">
        <w:rPr>
          <w:lang w:val="fr-FR"/>
        </w:rPr>
        <w:t> </w:t>
      </w:r>
      <w:r w:rsidR="003151DB" w:rsidRPr="003151DB">
        <w:rPr>
          <w:lang w:val="fr-FR"/>
        </w:rPr>
        <w:t>Date d’entrée en vigueur</w:t>
      </w:r>
      <w:r w:rsidR="003151DB">
        <w:rPr>
          <w:lang w:val="fr-FR"/>
        </w:rPr>
        <w:t> </w:t>
      </w:r>
      <w:r w:rsidR="003151DB" w:rsidRPr="003151DB">
        <w:rPr>
          <w:lang w:val="fr-FR"/>
        </w:rPr>
        <w:t>: 29</w:t>
      </w:r>
      <w:r w:rsidR="003151DB">
        <w:rPr>
          <w:lang w:val="fr-FR"/>
        </w:rPr>
        <w:t> </w:t>
      </w:r>
      <w:r w:rsidR="003151DB" w:rsidRPr="003151DB">
        <w:rPr>
          <w:lang w:val="fr-FR"/>
        </w:rPr>
        <w:t>décembre 2018</w:t>
      </w:r>
    </w:p>
    <w:p w14:paraId="145FA0C4" w14:textId="77777777" w:rsidR="00421A10" w:rsidRDefault="0029791D" w:rsidP="0029791D">
      <w:pPr>
        <w:pStyle w:val="H1G"/>
      </w:pPr>
      <w:r>
        <w:tab/>
      </w:r>
      <w:r>
        <w:tab/>
      </w:r>
      <w:r w:rsidR="00421A10" w:rsidRPr="007619D3">
        <w:t xml:space="preserve">Prescriptions uniformes relatives </w:t>
      </w:r>
      <w:r w:rsidR="003151DB" w:rsidRPr="003151DB">
        <w:rPr>
          <w:lang w:val="fr-FR"/>
        </w:rPr>
        <w:t>concernant les mesures à prendre pour réduire les émissions de gaz polluants et de particules des moteurs à allumage par compression et des moteurs à allumage commandé utilisés pour la propulsion des véhicules</w:t>
      </w:r>
    </w:p>
    <w:p w14:paraId="33A72F4F" w14:textId="77777777" w:rsidR="003151DB" w:rsidRDefault="003151DB" w:rsidP="003151DB">
      <w:pPr>
        <w:pStyle w:val="SingleTxtG"/>
        <w:jc w:val="left"/>
      </w:pPr>
      <w:r w:rsidRPr="003151DB">
        <w:rPr>
          <w:lang w:val="fr-FR"/>
        </w:rPr>
        <w:t>Le présent document est communiqué uniquement à titre d’information. Le texte authentique, juridiquement contraignant, est celui du document ECE/TRANS/WP.29/2018/47.</w:t>
      </w:r>
    </w:p>
    <w:p w14:paraId="2FCEB4B4" w14:textId="77777777" w:rsidR="003151DB" w:rsidRPr="001233BD" w:rsidRDefault="003151DB" w:rsidP="003151DB">
      <w:pPr>
        <w:pStyle w:val="SingleTxtG"/>
        <w:keepNext/>
      </w:pPr>
      <w:r>
        <w:rPr>
          <w:noProof/>
          <w:lang w:eastAsia="fr-CH"/>
        </w:rPr>
        <mc:AlternateContent>
          <mc:Choice Requires="wps">
            <w:drawing>
              <wp:anchor distT="0" distB="0" distL="114300" distR="114300" simplePos="0" relativeHeight="251661824" behindDoc="0" locked="0" layoutInCell="1" allowOverlap="1" wp14:anchorId="76A0906D" wp14:editId="08D18BE1">
                <wp:simplePos x="0" y="0"/>
                <wp:positionH relativeFrom="margin">
                  <wp:posOffset>29128</wp:posOffset>
                </wp:positionH>
                <wp:positionV relativeFrom="margin">
                  <wp:posOffset>6478872</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2E15A513" w14:textId="77777777" w:rsidR="00442E31" w:rsidRPr="0029791D" w:rsidRDefault="00442E31" w:rsidP="00C9521D">
                            <w:pPr>
                              <w:ind w:left="1134" w:right="1134"/>
                              <w:jc w:val="center"/>
                            </w:pPr>
                            <w:bookmarkStart w:id="1" w:name="_Hlk5798091"/>
                            <w:bookmarkEnd w:id="1"/>
                            <w:r>
                              <w:t>_______________</w:t>
                            </w:r>
                          </w:p>
                          <w:p w14:paraId="0F6A86AC" w14:textId="77777777" w:rsidR="00442E31" w:rsidRDefault="00442E31" w:rsidP="00C9521D">
                            <w:pPr>
                              <w:jc w:val="center"/>
                              <w:rPr>
                                <w:b/>
                                <w:bCs/>
                                <w:sz w:val="22"/>
                              </w:rPr>
                            </w:pPr>
                            <w:r>
                              <w:rPr>
                                <w:noProof/>
                                <w:lang w:eastAsia="fr-CH"/>
                              </w:rPr>
                              <w:drawing>
                                <wp:inline distT="0" distB="0" distL="0" distR="0" wp14:anchorId="393F03A5" wp14:editId="417BAC34">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4BD33E1"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0906D" id="_x0000_t202" coordsize="21600,21600" o:spt="202" path="m,l,21600r21600,l21600,xe">
                <v:stroke joinstyle="miter"/>
                <v:path gradientshapeok="t" o:connecttype="rect"/>
              </v:shapetype>
              <v:shape id="Zone de texte 4" o:spid="_x0000_s1026" type="#_x0000_t202" style="position:absolute;left:0;text-align:left;margin-left:2.3pt;margin-top:510.15pt;width:481.9pt;height:90.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" stroked="f">
                <v:textbox inset="0,0,0,0">
                  <w:txbxContent>
                    <w:p w14:paraId="2E15A513" w14:textId="77777777" w:rsidR="00442E31" w:rsidRPr="0029791D" w:rsidRDefault="00442E31" w:rsidP="00C9521D">
                      <w:pPr>
                        <w:ind w:left="1134" w:right="1134"/>
                        <w:jc w:val="center"/>
                      </w:pPr>
                      <w:bookmarkStart w:id="2" w:name="_Hlk5798091"/>
                      <w:bookmarkEnd w:id="2"/>
                      <w:r>
                        <w:t>_______________</w:t>
                      </w:r>
                    </w:p>
                    <w:p w14:paraId="0F6A86AC" w14:textId="77777777" w:rsidR="00442E31" w:rsidRDefault="00442E31" w:rsidP="00C9521D">
                      <w:pPr>
                        <w:jc w:val="center"/>
                        <w:rPr>
                          <w:b/>
                          <w:bCs/>
                          <w:sz w:val="22"/>
                        </w:rPr>
                      </w:pPr>
                      <w:r>
                        <w:rPr>
                          <w:noProof/>
                          <w:lang w:eastAsia="fr-CH"/>
                        </w:rPr>
                        <w:drawing>
                          <wp:inline distT="0" distB="0" distL="0" distR="0" wp14:anchorId="393F03A5" wp14:editId="417BAC34">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4BD33E1"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br w:type="page"/>
      </w:r>
      <w:r w:rsidRPr="001233BD">
        <w:rPr>
          <w:i/>
          <w:lang w:val="fr-FR"/>
        </w:rPr>
        <w:lastRenderedPageBreak/>
        <w:t>Paragraphe</w:t>
      </w:r>
      <w:r>
        <w:rPr>
          <w:i/>
          <w:lang w:val="fr-FR"/>
        </w:rPr>
        <w:t> </w:t>
      </w:r>
      <w:r w:rsidRPr="001233BD">
        <w:rPr>
          <w:i/>
          <w:lang w:val="fr-FR"/>
        </w:rPr>
        <w:t>4.6.2</w:t>
      </w:r>
      <w:r w:rsidRPr="003151DB">
        <w:t>,</w:t>
      </w:r>
      <w:r w:rsidRPr="001233BD">
        <w:rPr>
          <w:lang w:val="fr-FR"/>
        </w:rPr>
        <w:t xml:space="preserve"> lire</w:t>
      </w:r>
      <w:r>
        <w:rPr>
          <w:lang w:val="fr-FR"/>
        </w:rPr>
        <w:t> </w:t>
      </w:r>
      <w:r w:rsidRPr="001233BD">
        <w:rPr>
          <w:lang w:val="fr-FR"/>
        </w:rPr>
        <w:t>:</w:t>
      </w:r>
    </w:p>
    <w:p w14:paraId="27F7306A" w14:textId="77777777" w:rsidR="003151DB" w:rsidRPr="001233BD" w:rsidRDefault="003151DB" w:rsidP="003151DB">
      <w:pPr>
        <w:keepNext/>
        <w:kinsoku/>
        <w:overflowPunct/>
        <w:autoSpaceDE/>
        <w:autoSpaceDN/>
        <w:adjustRightInd/>
        <w:snapToGrid/>
        <w:spacing w:after="120"/>
        <w:ind w:left="2268" w:right="1134" w:hanging="1134"/>
        <w:jc w:val="both"/>
      </w:pPr>
      <w:r>
        <w:rPr>
          <w:lang w:val="fr-FR"/>
        </w:rPr>
        <w:t>« </w:t>
      </w:r>
      <w:r w:rsidRPr="001233BD">
        <w:rPr>
          <w:lang w:val="fr-FR"/>
        </w:rPr>
        <w:t>4.6.2</w:t>
      </w:r>
      <w:r w:rsidRPr="001233BD">
        <w:rPr>
          <w:lang w:val="fr-FR"/>
        </w:rPr>
        <w:tab/>
        <w:t>S’il autorise à faire fonctionner la famille de moteurs avec des carburants du marché qui ne correspondent ni aux carburants de référence mentionnés à l’</w:t>
      </w:r>
      <w:r>
        <w:rPr>
          <w:lang w:val="fr-FR"/>
        </w:rPr>
        <w:t>annexe </w:t>
      </w:r>
      <w:r w:rsidRPr="001233BD">
        <w:rPr>
          <w:lang w:val="fr-FR"/>
        </w:rPr>
        <w:t>5, ni à la norme CEN</w:t>
      </w:r>
      <w:r>
        <w:rPr>
          <w:lang w:val="fr-FR"/>
        </w:rPr>
        <w:t> </w:t>
      </w:r>
      <w:r w:rsidRPr="001233BD">
        <w:rPr>
          <w:lang w:val="fr-FR"/>
        </w:rPr>
        <w:t>EN</w:t>
      </w:r>
      <w:r>
        <w:rPr>
          <w:lang w:val="fr-FR"/>
        </w:rPr>
        <w:t> </w:t>
      </w:r>
      <w:r w:rsidRPr="001233BD">
        <w:rPr>
          <w:lang w:val="fr-FR"/>
        </w:rPr>
        <w:t>228 (dans le cas de l’essence sans plomb) ou à la norme CEN EN</w:t>
      </w:r>
      <w:r>
        <w:rPr>
          <w:lang w:val="fr-FR"/>
        </w:rPr>
        <w:t> </w:t>
      </w:r>
      <w:r w:rsidRPr="001233BD">
        <w:rPr>
          <w:lang w:val="fr-FR"/>
        </w:rPr>
        <w:t>590 (dans le cas du gazole), tels que l’EMAG B100 (norme CEN EN</w:t>
      </w:r>
      <w:r>
        <w:rPr>
          <w:lang w:val="fr-FR"/>
        </w:rPr>
        <w:t> </w:t>
      </w:r>
      <w:r w:rsidRPr="001233BD">
        <w:rPr>
          <w:lang w:val="fr-FR"/>
        </w:rPr>
        <w:t>14214), les carburants diesel à haute teneur en EMAG B20/B30 (norme CEN EN</w:t>
      </w:r>
      <w:r>
        <w:rPr>
          <w:lang w:val="fr-FR"/>
        </w:rPr>
        <w:t> </w:t>
      </w:r>
      <w:r w:rsidRPr="001233BD">
        <w:rPr>
          <w:lang w:val="fr-FR"/>
        </w:rPr>
        <w:t>16709) ou les g</w:t>
      </w:r>
      <w:r>
        <w:rPr>
          <w:lang w:val="fr-FR"/>
        </w:rPr>
        <w:t>azoles paraffiniques (norme CEN </w:t>
      </w:r>
      <w:r w:rsidRPr="001233BD">
        <w:rPr>
          <w:lang w:val="fr-FR"/>
        </w:rPr>
        <w:t xml:space="preserve">EN 15940), le constructeur doit satisfaire </w:t>
      </w:r>
      <w:r>
        <w:rPr>
          <w:lang w:val="fr-FR"/>
        </w:rPr>
        <w:t>aux prescriptions du paragraphe </w:t>
      </w:r>
      <w:r w:rsidRPr="001233BD">
        <w:rPr>
          <w:lang w:val="fr-FR"/>
        </w:rPr>
        <w:t>4.6.1 ainsi qu’aux p</w:t>
      </w:r>
      <w:r>
        <w:rPr>
          <w:lang w:val="fr-FR"/>
        </w:rPr>
        <w:t>rescriptions suivantes </w:t>
      </w:r>
      <w:r w:rsidRPr="001233BD">
        <w:rPr>
          <w:lang w:val="fr-FR"/>
        </w:rPr>
        <w:t>:</w:t>
      </w:r>
    </w:p>
    <w:p w14:paraId="51090FE0" w14:textId="77777777" w:rsidR="003151DB" w:rsidRPr="001233BD" w:rsidRDefault="003151DB" w:rsidP="003151DB">
      <w:pPr>
        <w:kinsoku/>
        <w:overflowPunct/>
        <w:autoSpaceDE/>
        <w:autoSpaceDN/>
        <w:adjustRightInd/>
        <w:snapToGrid/>
        <w:spacing w:after="120"/>
        <w:ind w:left="2835" w:right="1134" w:hanging="567"/>
        <w:jc w:val="both"/>
      </w:pPr>
      <w:r w:rsidRPr="001233BD">
        <w:rPr>
          <w:lang w:val="fr-FR"/>
        </w:rPr>
        <w:t>a)</w:t>
      </w:r>
      <w:r w:rsidRPr="001233BD">
        <w:rPr>
          <w:lang w:val="fr-FR"/>
        </w:rPr>
        <w:tab/>
        <w:t>Déclarer les carburants avec lesquels la famille de moteurs peut fonctionner au point</w:t>
      </w:r>
      <w:r>
        <w:rPr>
          <w:lang w:val="fr-FR"/>
        </w:rPr>
        <w:t> </w:t>
      </w:r>
      <w:r w:rsidRPr="001233BD">
        <w:rPr>
          <w:lang w:val="fr-FR"/>
        </w:rPr>
        <w:t>3.2.2.2.1 du document d’information présenté dans la partie</w:t>
      </w:r>
      <w:r>
        <w:rPr>
          <w:lang w:val="fr-FR"/>
        </w:rPr>
        <w:t> </w:t>
      </w:r>
      <w:r w:rsidRPr="001233BD">
        <w:rPr>
          <w:lang w:val="fr-FR"/>
        </w:rPr>
        <w:t>1 de l’annexe</w:t>
      </w:r>
      <w:r>
        <w:rPr>
          <w:lang w:val="fr-FR"/>
        </w:rPr>
        <w:t> </w:t>
      </w:r>
      <w:r w:rsidRPr="001233BD">
        <w:rPr>
          <w:lang w:val="fr-FR"/>
        </w:rPr>
        <w:t>1, en faisant référence à une norme officielle ou aux spécifications de production d’un carburant du marché propre à une marque qui ne répond à aucune norme officielle, comme l’un des carburants mentionnés au 4.6.2. Le constructeur doit également assurer que les fonctions du système OBD ne sont pas perturbées par l’utilisation du carburant déclaré</w:t>
      </w:r>
      <w:r>
        <w:rPr>
          <w:lang w:val="fr-FR"/>
        </w:rPr>
        <w:t> ;</w:t>
      </w:r>
    </w:p>
    <w:p w14:paraId="63B2D525" w14:textId="77777777" w:rsidR="003151DB" w:rsidRPr="001233BD" w:rsidRDefault="003151DB" w:rsidP="003151DB">
      <w:pPr>
        <w:kinsoku/>
        <w:overflowPunct/>
        <w:autoSpaceDE/>
        <w:autoSpaceDN/>
        <w:adjustRightInd/>
        <w:snapToGrid/>
        <w:spacing w:after="120"/>
        <w:ind w:left="2835" w:right="1134" w:hanging="567"/>
        <w:jc w:val="both"/>
      </w:pPr>
      <w:r w:rsidRPr="001233BD">
        <w:rPr>
          <w:lang w:val="fr-FR"/>
        </w:rPr>
        <w:t>b)</w:t>
      </w:r>
      <w:r w:rsidRPr="001233BD">
        <w:rPr>
          <w:lang w:val="fr-FR"/>
        </w:rPr>
        <w:tab/>
        <w:t>Déterminer le facteur de correction de la puissance pour chaque carburant déclaré, conformément</w:t>
      </w:r>
      <w:r>
        <w:rPr>
          <w:lang w:val="fr-FR"/>
        </w:rPr>
        <w:t xml:space="preserve"> aux dispositions du paragraphe </w:t>
      </w:r>
      <w:r w:rsidRPr="001233BD">
        <w:rPr>
          <w:lang w:val="fr-FR"/>
        </w:rPr>
        <w:t>9.4.2.8 s’il y a lieu selon</w:t>
      </w:r>
      <w:r>
        <w:rPr>
          <w:lang w:val="fr-FR"/>
        </w:rPr>
        <w:t xml:space="preserve"> les dispositions du paragraphe </w:t>
      </w:r>
      <w:r w:rsidRPr="001233BD">
        <w:rPr>
          <w:lang w:val="fr-FR"/>
        </w:rPr>
        <w:t xml:space="preserve">9.4.2.7. Déclarer le facteur pour chaque carburant au </w:t>
      </w:r>
      <w:r>
        <w:rPr>
          <w:lang w:val="fr-FR"/>
        </w:rPr>
        <w:t>paragraphe </w:t>
      </w:r>
      <w:r w:rsidRPr="001233BD">
        <w:rPr>
          <w:lang w:val="fr-FR"/>
        </w:rPr>
        <w:t>3.2.2.2.2 du document d’information présenté dans la partie</w:t>
      </w:r>
      <w:r>
        <w:rPr>
          <w:lang w:val="fr-FR"/>
        </w:rPr>
        <w:t> </w:t>
      </w:r>
      <w:r w:rsidRPr="001233BD">
        <w:rPr>
          <w:lang w:val="fr-FR"/>
        </w:rPr>
        <w:t>1 de l’annexe</w:t>
      </w:r>
      <w:r>
        <w:rPr>
          <w:lang w:val="fr-FR"/>
        </w:rPr>
        <w:t> </w:t>
      </w:r>
      <w:r w:rsidRPr="001233BD">
        <w:rPr>
          <w:lang w:val="fr-FR"/>
        </w:rPr>
        <w:t>1, s’il y a lieu</w:t>
      </w:r>
      <w:r>
        <w:rPr>
          <w:lang w:val="fr-FR"/>
        </w:rPr>
        <w:t> ;</w:t>
      </w:r>
    </w:p>
    <w:p w14:paraId="5EA7E54D" w14:textId="77777777" w:rsidR="003151DB" w:rsidRPr="001233BD" w:rsidRDefault="003151DB" w:rsidP="003151DB">
      <w:pPr>
        <w:kinsoku/>
        <w:overflowPunct/>
        <w:autoSpaceDE/>
        <w:autoSpaceDN/>
        <w:adjustRightInd/>
        <w:snapToGrid/>
        <w:spacing w:after="120"/>
        <w:ind w:left="2835" w:right="1134" w:hanging="567"/>
        <w:jc w:val="both"/>
      </w:pPr>
      <w:r w:rsidRPr="001233BD">
        <w:rPr>
          <w:lang w:val="fr-FR"/>
        </w:rPr>
        <w:t>c)</w:t>
      </w:r>
      <w:r w:rsidRPr="001233BD">
        <w:rPr>
          <w:lang w:val="fr-FR"/>
        </w:rPr>
        <w:tab/>
        <w:t>Démontrer que le moteur de base satisfait aux prescriptions énoncées à l’annexe</w:t>
      </w:r>
      <w:r>
        <w:rPr>
          <w:lang w:val="fr-FR"/>
        </w:rPr>
        <w:t> </w:t>
      </w:r>
      <w:r w:rsidRPr="001233BD">
        <w:rPr>
          <w:lang w:val="fr-FR"/>
        </w:rPr>
        <w:t>4 et à l’appendice 1 de l’</w:t>
      </w:r>
      <w:r>
        <w:rPr>
          <w:lang w:val="fr-FR"/>
        </w:rPr>
        <w:t>annexe </w:t>
      </w:r>
      <w:r w:rsidRPr="001233BD">
        <w:rPr>
          <w:lang w:val="fr-FR"/>
        </w:rPr>
        <w:t>10 du présent Règlement lorsqu’on utilise les carburants déclarés</w:t>
      </w:r>
      <w:r>
        <w:rPr>
          <w:lang w:val="fr-FR"/>
        </w:rPr>
        <w:t> </w:t>
      </w:r>
      <w:r w:rsidRPr="001233BD">
        <w:rPr>
          <w:lang w:val="fr-FR"/>
        </w:rPr>
        <w:t>; l’autorité d’homologation peut exiger que les prescriptions en matière de démonstration soient complétées de façon à correspondre à celles énoncées à l’annexe</w:t>
      </w:r>
      <w:r>
        <w:rPr>
          <w:lang w:val="fr-FR"/>
        </w:rPr>
        <w:t> </w:t>
      </w:r>
      <w:r w:rsidRPr="001233BD">
        <w:rPr>
          <w:lang w:val="fr-FR"/>
        </w:rPr>
        <w:t>7 et à l’annexe 9A</w:t>
      </w:r>
      <w:r>
        <w:rPr>
          <w:lang w:val="fr-FR"/>
        </w:rPr>
        <w:t> ;</w:t>
      </w:r>
    </w:p>
    <w:p w14:paraId="6A149449" w14:textId="77777777" w:rsidR="003151DB" w:rsidRPr="001233BD" w:rsidRDefault="003151DB" w:rsidP="003151DB">
      <w:pPr>
        <w:kinsoku/>
        <w:overflowPunct/>
        <w:autoSpaceDE/>
        <w:autoSpaceDN/>
        <w:adjustRightInd/>
        <w:snapToGrid/>
        <w:spacing w:after="120"/>
        <w:ind w:left="2835" w:right="1134" w:hanging="567"/>
        <w:jc w:val="both"/>
      </w:pPr>
      <w:r w:rsidRPr="001233BD">
        <w:rPr>
          <w:lang w:val="fr-FR"/>
        </w:rPr>
        <w:t>d)</w:t>
      </w:r>
      <w:r w:rsidRPr="001233BD">
        <w:rPr>
          <w:lang w:val="fr-FR"/>
        </w:rPr>
        <w:tab/>
        <w:t>Satisfaire aux prescriptions de conformité en service énoncées à l’annexe</w:t>
      </w:r>
      <w:r>
        <w:rPr>
          <w:lang w:val="fr-FR"/>
        </w:rPr>
        <w:t> </w:t>
      </w:r>
      <w:r w:rsidRPr="001233BD">
        <w:rPr>
          <w:lang w:val="fr-FR"/>
        </w:rPr>
        <w:t>8 en utilisant les carburants déclarés, y compris tout mélange entre les carburants déclarés et les carburants du marché pertinents.</w:t>
      </w:r>
    </w:p>
    <w:p w14:paraId="3289A224" w14:textId="77777777" w:rsidR="003151DB" w:rsidRPr="001233BD" w:rsidRDefault="003151DB" w:rsidP="003151DB">
      <w:pPr>
        <w:kinsoku/>
        <w:overflowPunct/>
        <w:autoSpaceDE/>
        <w:autoSpaceDN/>
        <w:adjustRightInd/>
        <w:snapToGrid/>
        <w:spacing w:after="120"/>
        <w:ind w:left="2268" w:right="1134"/>
        <w:jc w:val="both"/>
      </w:pPr>
      <w:r w:rsidRPr="001233BD">
        <w:rPr>
          <w:lang w:val="fr-FR"/>
        </w:rPr>
        <w:t>À la demande du constructeur, les prescriptions énoncées ici sont applicables aux carburants utilisés pour des véhicules militaires.</w:t>
      </w:r>
    </w:p>
    <w:p w14:paraId="651E0EF3" w14:textId="77777777" w:rsidR="003151DB" w:rsidRPr="001233BD" w:rsidRDefault="003151DB" w:rsidP="003151DB">
      <w:pPr>
        <w:kinsoku/>
        <w:overflowPunct/>
        <w:autoSpaceDE/>
        <w:autoSpaceDN/>
        <w:adjustRightInd/>
        <w:snapToGrid/>
        <w:spacing w:after="120"/>
        <w:ind w:left="2268" w:right="1134"/>
        <w:jc w:val="both"/>
      </w:pPr>
      <w:r w:rsidRPr="001233BD">
        <w:rPr>
          <w:lang w:val="fr-FR"/>
        </w:rPr>
        <w:t xml:space="preserve">Aux fins </w:t>
      </w:r>
      <w:r>
        <w:rPr>
          <w:lang w:val="fr-FR"/>
        </w:rPr>
        <w:t xml:space="preserve">de l’alinéa a) du paragraphe </w:t>
      </w:r>
      <w:r w:rsidRPr="001233BD">
        <w:rPr>
          <w:lang w:val="fr-FR"/>
        </w:rPr>
        <w:t>du 4.6.2, dans lequel les essais d’émissions sont réalisés pour démontrer la conformité aux prescriptions du présent Règlement, un rapport d’analyse du carburant d’essai, contenant au moins les paramètres indiqués dans la spécification officielle du fournisseur du carburant, doit être joint au procès-verbal d’</w:t>
      </w:r>
      <w:r>
        <w:rPr>
          <w:lang w:val="fr-FR"/>
        </w:rPr>
        <w:t>essai. </w:t>
      </w:r>
      <w:r w:rsidRPr="001233BD">
        <w:rPr>
          <w:lang w:val="fr-FR"/>
        </w:rPr>
        <w:t>»</w:t>
      </w:r>
    </w:p>
    <w:p w14:paraId="4D30723E" w14:textId="77777777" w:rsidR="003151DB" w:rsidRPr="001233BD" w:rsidRDefault="003151DB" w:rsidP="003151DB">
      <w:pPr>
        <w:keepNext/>
        <w:kinsoku/>
        <w:overflowPunct/>
        <w:autoSpaceDE/>
        <w:autoSpaceDN/>
        <w:adjustRightInd/>
        <w:snapToGrid/>
        <w:spacing w:after="120"/>
        <w:ind w:left="2268" w:right="1134" w:hanging="1134"/>
        <w:jc w:val="both"/>
      </w:pPr>
      <w:r w:rsidRPr="001233BD">
        <w:rPr>
          <w:i/>
          <w:iCs/>
          <w:lang w:val="fr-FR"/>
        </w:rPr>
        <w:t>Paragraphes 9.4.2.5 à 9.4.3.3.1</w:t>
      </w:r>
      <w:r w:rsidRPr="001233BD">
        <w:rPr>
          <w:lang w:val="fr-FR"/>
        </w:rPr>
        <w:t>, lire</w:t>
      </w:r>
      <w:r>
        <w:rPr>
          <w:lang w:val="fr-FR"/>
        </w:rPr>
        <w:t> </w:t>
      </w:r>
      <w:r w:rsidRPr="001233BD">
        <w:rPr>
          <w:lang w:val="fr-FR"/>
        </w:rPr>
        <w:t>:</w:t>
      </w:r>
    </w:p>
    <w:p w14:paraId="569B98ED" w14:textId="77777777" w:rsidR="003151DB" w:rsidRPr="001233BD" w:rsidRDefault="003151DB" w:rsidP="003151DB">
      <w:pPr>
        <w:keepNext/>
        <w:kinsoku/>
        <w:overflowPunct/>
        <w:autoSpaceDE/>
        <w:autoSpaceDN/>
        <w:adjustRightInd/>
        <w:snapToGrid/>
        <w:spacing w:after="120"/>
        <w:ind w:left="2268" w:right="1134" w:hanging="1134"/>
        <w:jc w:val="both"/>
      </w:pPr>
      <w:r>
        <w:rPr>
          <w:lang w:val="fr-FR"/>
        </w:rPr>
        <w:t>« </w:t>
      </w:r>
      <w:r w:rsidRPr="001233BD">
        <w:rPr>
          <w:lang w:val="fr-FR"/>
        </w:rPr>
        <w:t>9.4.2.5</w:t>
      </w:r>
      <w:r w:rsidRPr="001233BD">
        <w:rPr>
          <w:lang w:val="fr-FR"/>
        </w:rPr>
        <w:tab/>
        <w:t>La charge moyenne en Nm, calculée pour chaque cas de fonctionnement à partir des</w:t>
      </w:r>
      <w:r>
        <w:rPr>
          <w:lang w:val="fr-FR"/>
        </w:rPr>
        <w:t xml:space="preserve"> données requises au paragraphe </w:t>
      </w:r>
      <w:r w:rsidRPr="001233BD">
        <w:rPr>
          <w:lang w:val="fr-FR"/>
        </w:rPr>
        <w:t>9.4.2.1, ne doit pas différer de la charge moyenne mesurée dans le même c</w:t>
      </w:r>
      <w:r>
        <w:rPr>
          <w:lang w:val="fr-FR"/>
        </w:rPr>
        <w:t>as de fonctionnement de plus de </w:t>
      </w:r>
      <w:r w:rsidRPr="001233BD">
        <w:rPr>
          <w:lang w:val="fr-FR"/>
        </w:rPr>
        <w:t>:</w:t>
      </w:r>
    </w:p>
    <w:p w14:paraId="2A46A539" w14:textId="77777777" w:rsidR="003151DB" w:rsidRPr="001233BD" w:rsidRDefault="003151DB" w:rsidP="003151DB">
      <w:pPr>
        <w:kinsoku/>
        <w:overflowPunct/>
        <w:autoSpaceDE/>
        <w:autoSpaceDN/>
        <w:adjustRightInd/>
        <w:snapToGrid/>
        <w:spacing w:after="120"/>
        <w:ind w:left="2835" w:right="1134" w:hanging="567"/>
        <w:jc w:val="both"/>
      </w:pPr>
      <w:r w:rsidRPr="001233BD">
        <w:rPr>
          <w:lang w:val="fr-FR"/>
        </w:rPr>
        <w:t>a)</w:t>
      </w:r>
      <w:r w:rsidRPr="001233BD">
        <w:rPr>
          <w:lang w:val="fr-FR"/>
        </w:rPr>
        <w:tab/>
        <w:t>7</w:t>
      </w:r>
      <w:r>
        <w:rPr>
          <w:lang w:val="fr-FR"/>
        </w:rPr>
        <w:t> </w:t>
      </w:r>
      <w:r w:rsidRPr="001233BD">
        <w:rPr>
          <w:lang w:val="fr-FR"/>
        </w:rPr>
        <w:t xml:space="preserve">% de la détermination de la puissance du moteur conformément au Règlement </w:t>
      </w:r>
      <w:r>
        <w:rPr>
          <w:lang w:val="fr-FR"/>
        </w:rPr>
        <w:t xml:space="preserve">ONU </w:t>
      </w:r>
      <w:r w:rsidRPr="0075527A">
        <w:rPr>
          <w:rFonts w:eastAsia="MS Mincho"/>
          <w:lang w:val="fr-FR"/>
        </w:rPr>
        <w:t>n</w:t>
      </w:r>
      <w:r w:rsidRPr="0075527A">
        <w:rPr>
          <w:rFonts w:eastAsia="MS Mincho"/>
          <w:vertAlign w:val="superscript"/>
          <w:lang w:val="fr-FR"/>
        </w:rPr>
        <w:t>o</w:t>
      </w:r>
      <w:r>
        <w:rPr>
          <w:lang w:val="fr-FR"/>
        </w:rPr>
        <w:t> 85 </w:t>
      </w:r>
      <w:r w:rsidRPr="001233BD">
        <w:rPr>
          <w:lang w:val="fr-FR"/>
        </w:rPr>
        <w:t>;</w:t>
      </w:r>
    </w:p>
    <w:p w14:paraId="733D4F79" w14:textId="77777777" w:rsidR="003151DB" w:rsidRPr="001233BD" w:rsidRDefault="003151DB" w:rsidP="003151DB">
      <w:pPr>
        <w:kinsoku/>
        <w:overflowPunct/>
        <w:autoSpaceDE/>
        <w:autoSpaceDN/>
        <w:adjustRightInd/>
        <w:snapToGrid/>
        <w:spacing w:after="120"/>
        <w:ind w:left="2835" w:right="1134" w:hanging="567"/>
        <w:jc w:val="both"/>
      </w:pPr>
      <w:r w:rsidRPr="001233BD">
        <w:rPr>
          <w:lang w:val="fr-FR"/>
        </w:rPr>
        <w:t>b)</w:t>
      </w:r>
      <w:r w:rsidRPr="001233BD">
        <w:rPr>
          <w:lang w:val="fr-FR"/>
        </w:rPr>
        <w:tab/>
        <w:t>10</w:t>
      </w:r>
      <w:r>
        <w:rPr>
          <w:lang w:val="fr-FR"/>
        </w:rPr>
        <w:t> </w:t>
      </w:r>
      <w:r w:rsidRPr="001233BD">
        <w:rPr>
          <w:lang w:val="fr-FR"/>
        </w:rPr>
        <w:t>% lors de l’exécution du cycle d’essai mondial harmonisé en conditions stabilisées (WHSC), sauf pour les modes</w:t>
      </w:r>
      <w:r>
        <w:rPr>
          <w:lang w:val="fr-FR"/>
        </w:rPr>
        <w:t> </w:t>
      </w:r>
      <w:r w:rsidRPr="001233BD">
        <w:rPr>
          <w:lang w:val="fr-FR"/>
        </w:rPr>
        <w:t>1 et 13 (modes de ralenti), conformément au paragraphe</w:t>
      </w:r>
      <w:r>
        <w:rPr>
          <w:lang w:val="fr-FR"/>
        </w:rPr>
        <w:t> </w:t>
      </w:r>
      <w:r w:rsidRPr="001233BD">
        <w:rPr>
          <w:lang w:val="fr-FR"/>
        </w:rPr>
        <w:t>7.7 de l’annexe</w:t>
      </w:r>
      <w:r>
        <w:rPr>
          <w:lang w:val="fr-FR"/>
        </w:rPr>
        <w:t> </w:t>
      </w:r>
      <w:r w:rsidRPr="001233BD">
        <w:rPr>
          <w:lang w:val="fr-FR"/>
        </w:rPr>
        <w:t>4.</w:t>
      </w:r>
    </w:p>
    <w:p w14:paraId="121ED802" w14:textId="77777777" w:rsidR="003151DB" w:rsidRPr="001233BD" w:rsidRDefault="003151DB" w:rsidP="003151DB">
      <w:pPr>
        <w:kinsoku/>
        <w:overflowPunct/>
        <w:autoSpaceDE/>
        <w:autoSpaceDN/>
        <w:adjustRightInd/>
        <w:snapToGrid/>
        <w:spacing w:after="120"/>
        <w:ind w:left="2268" w:right="1134"/>
        <w:jc w:val="both"/>
      </w:pPr>
      <w:r w:rsidRPr="001233BD">
        <w:rPr>
          <w:lang w:val="fr-FR"/>
        </w:rPr>
        <w:t xml:space="preserve">Le Règlement </w:t>
      </w:r>
      <w:r>
        <w:rPr>
          <w:lang w:val="fr-FR"/>
        </w:rPr>
        <w:t xml:space="preserve">ONU </w:t>
      </w:r>
      <w:r w:rsidRPr="001233BD">
        <w:rPr>
          <w:lang w:val="fr-FR"/>
        </w:rPr>
        <w:t>n</w:t>
      </w:r>
      <w:r w:rsidRPr="001233BD">
        <w:rPr>
          <w:vertAlign w:val="superscript"/>
          <w:lang w:val="fr-FR"/>
        </w:rPr>
        <w:t>o</w:t>
      </w:r>
      <w:r>
        <w:rPr>
          <w:lang w:val="fr-FR"/>
        </w:rPr>
        <w:t> </w:t>
      </w:r>
      <w:r w:rsidRPr="001233BD">
        <w:rPr>
          <w:lang w:val="fr-FR"/>
        </w:rPr>
        <w:t>85 autorise un écart de 5</w:t>
      </w:r>
      <w:r>
        <w:rPr>
          <w:lang w:val="fr-FR"/>
        </w:rPr>
        <w:t> </w:t>
      </w:r>
      <w:r w:rsidRPr="001233BD">
        <w:rPr>
          <w:lang w:val="fr-FR"/>
        </w:rPr>
        <w:t>% entre la charge maximale effective du moteur et la charge maximale de référence afin de tenir compte de la variabilité du processus de fabrication. Cette tolérance est prise en compte dans les valeurs ci-dessus.</w:t>
      </w:r>
    </w:p>
    <w:p w14:paraId="445192BA" w14:textId="77777777" w:rsidR="003151DB" w:rsidRPr="001233BD" w:rsidRDefault="003151DB" w:rsidP="003151DB">
      <w:pPr>
        <w:kinsoku/>
        <w:overflowPunct/>
        <w:autoSpaceDE/>
        <w:autoSpaceDN/>
        <w:adjustRightInd/>
        <w:snapToGrid/>
        <w:spacing w:after="120"/>
        <w:ind w:left="2268" w:right="1134" w:hanging="1134"/>
        <w:jc w:val="both"/>
      </w:pPr>
      <w:r w:rsidRPr="001233BD">
        <w:rPr>
          <w:lang w:val="fr-FR"/>
        </w:rPr>
        <w:lastRenderedPageBreak/>
        <w:t>9.4.2.6</w:t>
      </w:r>
      <w:r w:rsidRPr="001233BD">
        <w:rPr>
          <w:lang w:val="fr-FR"/>
        </w:rPr>
        <w:tab/>
      </w:r>
      <w:r w:rsidRPr="001233BD">
        <w:rPr>
          <w:lang w:val="fr-FR"/>
        </w:rPr>
        <w:tab/>
        <w:t>L’accès externe aux données requises au paragraphe</w:t>
      </w:r>
      <w:r>
        <w:rPr>
          <w:lang w:val="fr-FR"/>
        </w:rPr>
        <w:t> </w:t>
      </w:r>
      <w:r w:rsidRPr="001233BD">
        <w:rPr>
          <w:lang w:val="fr-FR"/>
        </w:rPr>
        <w:t>9.4.2.1 ne doit pas avoir d’incidence sur les émissions ou les caractéristiques fonctionnelles du véhicule.</w:t>
      </w:r>
    </w:p>
    <w:p w14:paraId="0876C6C9" w14:textId="77777777" w:rsidR="003151DB" w:rsidRPr="001233BD" w:rsidRDefault="003151DB" w:rsidP="003151DB">
      <w:pPr>
        <w:kinsoku/>
        <w:overflowPunct/>
        <w:autoSpaceDE/>
        <w:autoSpaceDN/>
        <w:adjustRightInd/>
        <w:snapToGrid/>
        <w:spacing w:after="120"/>
        <w:ind w:left="2268" w:right="1134" w:hanging="1134"/>
        <w:jc w:val="both"/>
      </w:pPr>
      <w:r w:rsidRPr="001233BD">
        <w:rPr>
          <w:lang w:val="fr-FR"/>
        </w:rPr>
        <w:t>9.4.2.7</w:t>
      </w:r>
      <w:r w:rsidRPr="001233BD">
        <w:rPr>
          <w:lang w:val="fr-FR"/>
        </w:rPr>
        <w:tab/>
      </w:r>
      <w:r w:rsidRPr="001233BD">
        <w:rPr>
          <w:lang w:val="fr-FR"/>
        </w:rPr>
        <w:tab/>
        <w:t>Si la différence entre le couple mesuré avec un carburant du marché déclaré, conformément aux dispositions du paragraphe</w:t>
      </w:r>
      <w:r>
        <w:rPr>
          <w:lang w:val="fr-FR"/>
        </w:rPr>
        <w:t> </w:t>
      </w:r>
      <w:r w:rsidRPr="001233BD">
        <w:rPr>
          <w:lang w:val="fr-FR"/>
        </w:rPr>
        <w:t>4.2.6, et le couple calculé à partir des données demandées au paragraphe</w:t>
      </w:r>
      <w:r>
        <w:rPr>
          <w:lang w:val="fr-FR"/>
        </w:rPr>
        <w:t> </w:t>
      </w:r>
      <w:r w:rsidRPr="001233BD">
        <w:rPr>
          <w:lang w:val="fr-FR"/>
        </w:rPr>
        <w:t>9.4.2.1 dépasse l’une des valeurs mentionnées au paragraphe</w:t>
      </w:r>
      <w:r>
        <w:rPr>
          <w:lang w:val="fr-FR"/>
        </w:rPr>
        <w:t> </w:t>
      </w:r>
      <w:r w:rsidRPr="001233BD">
        <w:rPr>
          <w:lang w:val="fr-FR"/>
        </w:rPr>
        <w:t>9.4.2.5, il convient d’appliquer le paragraphe</w:t>
      </w:r>
      <w:r>
        <w:rPr>
          <w:lang w:val="fr-FR"/>
        </w:rPr>
        <w:t> </w:t>
      </w:r>
      <w:r w:rsidRPr="001233BD">
        <w:rPr>
          <w:lang w:val="fr-FR"/>
        </w:rPr>
        <w:t>9.4.2.8 ci-après.</w:t>
      </w:r>
    </w:p>
    <w:p w14:paraId="4FB4BEFF" w14:textId="77777777" w:rsidR="003151DB" w:rsidRPr="001233BD" w:rsidRDefault="003151DB" w:rsidP="003151DB">
      <w:pPr>
        <w:kinsoku/>
        <w:overflowPunct/>
        <w:autoSpaceDE/>
        <w:autoSpaceDN/>
        <w:adjustRightInd/>
        <w:snapToGrid/>
        <w:spacing w:after="120"/>
        <w:ind w:left="2268" w:right="1134" w:hanging="1134"/>
        <w:jc w:val="both"/>
      </w:pPr>
      <w:r w:rsidRPr="001233BD">
        <w:rPr>
          <w:lang w:val="fr-FR"/>
        </w:rPr>
        <w:t>9.4.2.8</w:t>
      </w:r>
      <w:r w:rsidRPr="001233BD">
        <w:rPr>
          <w:lang w:val="fr-FR"/>
        </w:rPr>
        <w:tab/>
      </w:r>
      <w:r w:rsidRPr="001233BD">
        <w:rPr>
          <w:lang w:val="fr-FR"/>
        </w:rPr>
        <w:tab/>
        <w:t>Un facteur de correction de la puissance pour chaque carburant commercial supplémentaire autorisé par le constructeur doit être déterminé pour la famille de moteurs. Ce facteur doit être calculé comme étant le rapport entre le couple maximal moyen mesuré [Nm] avec le carburant de référence selon l’annexe</w:t>
      </w:r>
      <w:r>
        <w:rPr>
          <w:lang w:val="fr-FR"/>
        </w:rPr>
        <w:t> </w:t>
      </w:r>
      <w:r w:rsidRPr="001233BD">
        <w:rPr>
          <w:lang w:val="fr-FR"/>
        </w:rPr>
        <w:t>5 et le couple maximal moyen mesuré [Nm] avec le carburant commercial déclaré.</w:t>
      </w:r>
    </w:p>
    <w:p w14:paraId="64101C65" w14:textId="77777777" w:rsidR="003151DB" w:rsidRPr="001233BD" w:rsidRDefault="003151DB" w:rsidP="003151DB">
      <w:pPr>
        <w:kinsoku/>
        <w:overflowPunct/>
        <w:autoSpaceDE/>
        <w:autoSpaceDN/>
        <w:adjustRightInd/>
        <w:snapToGrid/>
        <w:spacing w:after="120"/>
        <w:ind w:left="2268" w:right="1134" w:hanging="1134"/>
        <w:jc w:val="both"/>
      </w:pPr>
      <w:r w:rsidRPr="001233BD">
        <w:rPr>
          <w:lang w:val="fr-FR"/>
        </w:rPr>
        <w:t>9.4.3</w:t>
      </w:r>
      <w:r w:rsidRPr="001233BD">
        <w:rPr>
          <w:lang w:val="fr-FR"/>
        </w:rPr>
        <w:tab/>
        <w:t>Vérification de la disponibilité et de la conformité des données du module électronique de gestion requises pour les essais en service</w:t>
      </w:r>
    </w:p>
    <w:p w14:paraId="591E2DC6" w14:textId="77777777" w:rsidR="003151DB" w:rsidRPr="001233BD" w:rsidRDefault="003151DB" w:rsidP="003151DB">
      <w:pPr>
        <w:kinsoku/>
        <w:overflowPunct/>
        <w:autoSpaceDE/>
        <w:autoSpaceDN/>
        <w:adjustRightInd/>
        <w:snapToGrid/>
        <w:spacing w:after="120"/>
        <w:ind w:left="2268" w:right="1134" w:hanging="1134"/>
        <w:jc w:val="both"/>
      </w:pPr>
      <w:r w:rsidRPr="001233BD">
        <w:rPr>
          <w:lang w:val="fr-FR"/>
        </w:rPr>
        <w:t xml:space="preserve">9.4.3.1 </w:t>
      </w:r>
      <w:r w:rsidRPr="001233BD">
        <w:rPr>
          <w:lang w:val="fr-FR"/>
        </w:rPr>
        <w:tab/>
        <w:t>La disponibilité du flux de données requis au paragraphe</w:t>
      </w:r>
      <w:r>
        <w:rPr>
          <w:lang w:val="fr-FR"/>
        </w:rPr>
        <w:t> </w:t>
      </w:r>
      <w:r w:rsidRPr="001233BD">
        <w:rPr>
          <w:lang w:val="fr-FR"/>
        </w:rPr>
        <w:t>9.4.2.1 conformément aux prescriptions du paragraphe</w:t>
      </w:r>
      <w:r>
        <w:rPr>
          <w:lang w:val="fr-FR"/>
        </w:rPr>
        <w:t> </w:t>
      </w:r>
      <w:r w:rsidRPr="001233BD">
        <w:rPr>
          <w:lang w:val="fr-FR"/>
        </w:rPr>
        <w:t>9.4.2.2 doit être démontrée avec un outil de lecture OBD externe, comme indiqué à l’annexe X.</w:t>
      </w:r>
    </w:p>
    <w:p w14:paraId="75CEF206" w14:textId="77777777" w:rsidR="003151DB" w:rsidRPr="001233BD" w:rsidRDefault="003151DB" w:rsidP="003151DB">
      <w:pPr>
        <w:kinsoku/>
        <w:overflowPunct/>
        <w:autoSpaceDE/>
        <w:autoSpaceDN/>
        <w:adjustRightInd/>
        <w:snapToGrid/>
        <w:spacing w:after="120"/>
        <w:ind w:left="2268" w:right="1134" w:hanging="1134"/>
        <w:jc w:val="both"/>
      </w:pPr>
      <w:r w:rsidRPr="001233BD">
        <w:rPr>
          <w:lang w:val="fr-FR"/>
        </w:rPr>
        <w:t>9.4.3.2</w:t>
      </w:r>
      <w:r w:rsidRPr="001233BD">
        <w:rPr>
          <w:lang w:val="fr-FR"/>
        </w:rPr>
        <w:tab/>
        <w:t>S’il n’est pas possible d’obtenir ces données de manière correcte, avec un outil de lecture qui fonctionne normalement, le moteur est déclaré non conforme.</w:t>
      </w:r>
    </w:p>
    <w:p w14:paraId="1F27BC01" w14:textId="77777777" w:rsidR="003151DB" w:rsidRPr="001233BD" w:rsidRDefault="003151DB" w:rsidP="003151DB">
      <w:pPr>
        <w:kinsoku/>
        <w:overflowPunct/>
        <w:autoSpaceDE/>
        <w:autoSpaceDN/>
        <w:adjustRightInd/>
        <w:snapToGrid/>
        <w:spacing w:after="120"/>
        <w:ind w:left="2268" w:right="1134" w:hanging="1134"/>
        <w:jc w:val="both"/>
      </w:pPr>
      <w:r>
        <w:rPr>
          <w:lang w:val="fr-FR"/>
        </w:rPr>
        <w:t>9.4.3.3</w:t>
      </w:r>
      <w:r w:rsidRPr="001233BD">
        <w:rPr>
          <w:lang w:val="fr-FR"/>
        </w:rPr>
        <w:tab/>
        <w:t>La conformité du signal de couple du module électronique de gestion aux prescriptions du paragraphe</w:t>
      </w:r>
      <w:r>
        <w:rPr>
          <w:lang w:val="fr-FR"/>
        </w:rPr>
        <w:t> </w:t>
      </w:r>
      <w:r w:rsidRPr="001233BD">
        <w:rPr>
          <w:lang w:val="fr-FR"/>
        </w:rPr>
        <w:t>9.4.2 doit être démontrée lorsqu’on détermine la puissance du moteur conformément à l’annexe</w:t>
      </w:r>
      <w:r>
        <w:rPr>
          <w:lang w:val="fr-FR"/>
        </w:rPr>
        <w:t> </w:t>
      </w:r>
      <w:r w:rsidRPr="001233BD">
        <w:rPr>
          <w:lang w:val="fr-FR"/>
        </w:rPr>
        <w:t>XIV et lorsqu’on exécute l’essai WHSC conformément à l’annexe</w:t>
      </w:r>
      <w:r>
        <w:rPr>
          <w:lang w:val="fr-FR"/>
        </w:rPr>
        <w:t> </w:t>
      </w:r>
      <w:r w:rsidRPr="001233BD">
        <w:rPr>
          <w:lang w:val="fr-FR"/>
        </w:rPr>
        <w:t xml:space="preserve">III. </w:t>
      </w:r>
    </w:p>
    <w:p w14:paraId="52643486" w14:textId="77777777" w:rsidR="003151DB" w:rsidRPr="001233BD" w:rsidRDefault="003151DB" w:rsidP="003151DB">
      <w:pPr>
        <w:kinsoku/>
        <w:overflowPunct/>
        <w:autoSpaceDE/>
        <w:autoSpaceDN/>
        <w:adjustRightInd/>
        <w:snapToGrid/>
        <w:spacing w:after="120"/>
        <w:ind w:left="2268" w:right="1134" w:hanging="1134"/>
        <w:jc w:val="both"/>
      </w:pPr>
      <w:r w:rsidRPr="001233BD">
        <w:rPr>
          <w:lang w:val="fr-FR"/>
        </w:rPr>
        <w:t>9.4.3.3.1</w:t>
      </w:r>
      <w:r w:rsidRPr="001233BD">
        <w:rPr>
          <w:lang w:val="fr-FR"/>
        </w:rPr>
        <w:tab/>
        <w:t>La conformité du signal de couple du module électronique de gestion aux prescriptions du paragraphe</w:t>
      </w:r>
      <w:r>
        <w:rPr>
          <w:lang w:val="fr-FR"/>
        </w:rPr>
        <w:t> 9.4.2</w:t>
      </w:r>
      <w:r w:rsidRPr="001233BD">
        <w:rPr>
          <w:lang w:val="fr-FR"/>
        </w:rPr>
        <w:t xml:space="preserve"> doit être démontrée pour chaque membre d’une famille de moteurs lorsqu’on détermine la puissance du moteur conformément au Règlement </w:t>
      </w:r>
      <w:r>
        <w:rPr>
          <w:lang w:val="fr-FR"/>
        </w:rPr>
        <w:t xml:space="preserve">ONU </w:t>
      </w:r>
      <w:r w:rsidRPr="001233BD">
        <w:rPr>
          <w:lang w:val="fr-FR"/>
        </w:rPr>
        <w:t>n</w:t>
      </w:r>
      <w:r w:rsidRPr="001233BD">
        <w:rPr>
          <w:vertAlign w:val="superscript"/>
          <w:lang w:val="fr-FR"/>
        </w:rPr>
        <w:t>o</w:t>
      </w:r>
      <w:r>
        <w:rPr>
          <w:lang w:val="fr-FR"/>
        </w:rPr>
        <w:t> </w:t>
      </w:r>
      <w:r w:rsidRPr="001233BD">
        <w:rPr>
          <w:lang w:val="fr-FR"/>
        </w:rPr>
        <w:t>85. À cette fin, des mesures supplémentaires doivent être relevées dans plusieurs configurations de charge partielle et de régime moteur (aux modes de l’essai WHSC et à quelques autres points choisis au hasard, par exemple). S’il y a lieu, le facteur de correction de la puissance pour la famille de moteurs (voir le 9.4.2.8) doit être déterminé avec le moteur de base de la famille.</w:t>
      </w:r>
      <w:r>
        <w:rPr>
          <w:lang w:val="fr-FR"/>
        </w:rPr>
        <w:t> </w:t>
      </w:r>
      <w:r w:rsidRPr="001233BD">
        <w:rPr>
          <w:lang w:val="fr-FR"/>
        </w:rPr>
        <w:t>»</w:t>
      </w:r>
    </w:p>
    <w:p w14:paraId="693FE16D" w14:textId="77777777" w:rsidR="003151DB" w:rsidRPr="001233BD" w:rsidRDefault="003151DB" w:rsidP="003151DB">
      <w:pPr>
        <w:pStyle w:val="SingleTxtG"/>
        <w:keepNext/>
      </w:pPr>
      <w:r w:rsidRPr="001233BD">
        <w:rPr>
          <w:i/>
          <w:lang w:val="fr-FR"/>
        </w:rPr>
        <w:t>Annexe</w:t>
      </w:r>
      <w:r>
        <w:rPr>
          <w:i/>
          <w:lang w:val="fr-FR"/>
        </w:rPr>
        <w:t> </w:t>
      </w:r>
      <w:r w:rsidRPr="001233BD">
        <w:rPr>
          <w:i/>
          <w:lang w:val="fr-FR"/>
        </w:rPr>
        <w:t>1</w:t>
      </w:r>
      <w:r w:rsidRPr="001233BD">
        <w:rPr>
          <w:lang w:val="fr-FR"/>
        </w:rPr>
        <w:t>,</w:t>
      </w:r>
    </w:p>
    <w:p w14:paraId="52B81040" w14:textId="77777777" w:rsidR="003151DB" w:rsidRPr="001233BD" w:rsidRDefault="003151DB" w:rsidP="003151DB">
      <w:pPr>
        <w:pStyle w:val="SingleTxtG"/>
        <w:keepNext/>
      </w:pPr>
      <w:r w:rsidRPr="001233BD">
        <w:rPr>
          <w:i/>
          <w:iCs/>
          <w:lang w:val="fr-FR"/>
        </w:rPr>
        <w:t>Première partie</w:t>
      </w:r>
      <w:r w:rsidRPr="001233BD">
        <w:rPr>
          <w:lang w:val="fr-FR"/>
        </w:rPr>
        <w:t>, lire</w:t>
      </w:r>
      <w:r>
        <w:rPr>
          <w:lang w:val="fr-FR"/>
        </w:rPr>
        <w:t> </w:t>
      </w:r>
      <w:r w:rsidRPr="001233BD">
        <w:rPr>
          <w:lang w:val="fr-FR"/>
        </w:rPr>
        <w:t>:</w:t>
      </w:r>
    </w:p>
    <w:p w14:paraId="7A54588A" w14:textId="77777777" w:rsidR="003151DB" w:rsidRPr="001233BD" w:rsidRDefault="003151DB" w:rsidP="003151DB">
      <w:pPr>
        <w:pStyle w:val="SingleTxtG"/>
        <w:rPr>
          <w:lang w:val="en-US"/>
        </w:rPr>
      </w:pPr>
      <w:r>
        <w: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5"/>
        <w:gridCol w:w="2829"/>
        <w:gridCol w:w="1416"/>
        <w:gridCol w:w="426"/>
        <w:gridCol w:w="426"/>
        <w:gridCol w:w="426"/>
        <w:gridCol w:w="426"/>
        <w:gridCol w:w="426"/>
      </w:tblGrid>
      <w:tr w:rsidR="003151DB" w:rsidRPr="001233BD" w14:paraId="5FBDF872" w14:textId="77777777" w:rsidTr="003151DB">
        <w:trPr>
          <w:trHeight w:val="144"/>
        </w:trPr>
        <w:tc>
          <w:tcPr>
            <w:tcW w:w="997" w:type="dxa"/>
            <w:tcBorders>
              <w:top w:val="single" w:sz="4" w:space="0" w:color="auto"/>
              <w:left w:val="single" w:sz="4" w:space="0" w:color="auto"/>
              <w:bottom w:val="single" w:sz="4" w:space="0" w:color="auto"/>
              <w:right w:val="single" w:sz="4" w:space="0" w:color="auto"/>
            </w:tcBorders>
            <w:hideMark/>
          </w:tcPr>
          <w:p w14:paraId="10D5988D" w14:textId="77777777" w:rsidR="003151DB" w:rsidRPr="001233BD" w:rsidRDefault="003151DB" w:rsidP="003151DB">
            <w:pPr>
              <w:spacing w:before="40" w:after="120"/>
              <w:ind w:left="57" w:right="57"/>
              <w:rPr>
                <w:sz w:val="18"/>
              </w:rPr>
            </w:pPr>
            <w:r w:rsidRPr="001233BD">
              <w:rPr>
                <w:lang w:val="fr-FR"/>
              </w:rPr>
              <w:t>3.2.2</w:t>
            </w:r>
          </w:p>
        </w:tc>
        <w:tc>
          <w:tcPr>
            <w:tcW w:w="2831" w:type="dxa"/>
            <w:tcBorders>
              <w:top w:val="single" w:sz="4" w:space="0" w:color="auto"/>
              <w:left w:val="single" w:sz="4" w:space="0" w:color="auto"/>
              <w:bottom w:val="single" w:sz="4" w:space="0" w:color="auto"/>
              <w:right w:val="single" w:sz="4" w:space="0" w:color="auto"/>
            </w:tcBorders>
            <w:hideMark/>
          </w:tcPr>
          <w:p w14:paraId="6D4A1AC8" w14:textId="77777777" w:rsidR="003151DB" w:rsidRPr="001233BD" w:rsidRDefault="003151DB" w:rsidP="003151DB">
            <w:pPr>
              <w:spacing w:before="40" w:after="120"/>
              <w:ind w:left="57" w:right="57"/>
              <w:rPr>
                <w:sz w:val="18"/>
              </w:rPr>
            </w:pPr>
            <w:r w:rsidRPr="001233BD">
              <w:rPr>
                <w:lang w:val="fr-FR"/>
              </w:rPr>
              <w:t>Carburant</w:t>
            </w:r>
          </w:p>
        </w:tc>
        <w:tc>
          <w:tcPr>
            <w:tcW w:w="1417" w:type="dxa"/>
            <w:tcBorders>
              <w:top w:val="single" w:sz="4" w:space="0" w:color="auto"/>
              <w:left w:val="single" w:sz="4" w:space="0" w:color="auto"/>
              <w:bottom w:val="single" w:sz="4" w:space="0" w:color="auto"/>
              <w:right w:val="single" w:sz="4" w:space="0" w:color="auto"/>
            </w:tcBorders>
          </w:tcPr>
          <w:p w14:paraId="4EF26863" w14:textId="77777777" w:rsidR="003151DB" w:rsidRPr="001233BD" w:rsidRDefault="003151DB" w:rsidP="003151DB">
            <w:pPr>
              <w:spacing w:before="40" w:after="120"/>
              <w:ind w:left="57" w:right="57"/>
              <w:rPr>
                <w:lang w:eastAsia="en-GB"/>
              </w:rPr>
            </w:pPr>
          </w:p>
        </w:tc>
        <w:tc>
          <w:tcPr>
            <w:tcW w:w="426" w:type="dxa"/>
            <w:tcBorders>
              <w:top w:val="single" w:sz="4" w:space="0" w:color="auto"/>
              <w:left w:val="single" w:sz="4" w:space="0" w:color="auto"/>
              <w:bottom w:val="single" w:sz="4" w:space="0" w:color="auto"/>
              <w:right w:val="single" w:sz="4" w:space="0" w:color="auto"/>
            </w:tcBorders>
          </w:tcPr>
          <w:p w14:paraId="449B7003" w14:textId="77777777" w:rsidR="003151DB" w:rsidRPr="001233BD" w:rsidRDefault="003151DB" w:rsidP="003151DB">
            <w:pPr>
              <w:spacing w:before="40" w:after="120"/>
              <w:ind w:left="57" w:right="57"/>
              <w:rPr>
                <w:lang w:eastAsia="en-GB"/>
              </w:rPr>
            </w:pPr>
          </w:p>
        </w:tc>
        <w:tc>
          <w:tcPr>
            <w:tcW w:w="426" w:type="dxa"/>
            <w:tcBorders>
              <w:top w:val="single" w:sz="4" w:space="0" w:color="auto"/>
              <w:left w:val="single" w:sz="4" w:space="0" w:color="auto"/>
              <w:bottom w:val="single" w:sz="4" w:space="0" w:color="auto"/>
              <w:right w:val="single" w:sz="4" w:space="0" w:color="auto"/>
            </w:tcBorders>
          </w:tcPr>
          <w:p w14:paraId="1A24F8F6" w14:textId="77777777" w:rsidR="003151DB" w:rsidRPr="001233BD" w:rsidRDefault="003151DB" w:rsidP="003151DB">
            <w:pPr>
              <w:spacing w:before="40" w:after="120"/>
              <w:ind w:left="57" w:right="57"/>
              <w:rPr>
                <w:lang w:eastAsia="en-GB"/>
              </w:rPr>
            </w:pPr>
          </w:p>
        </w:tc>
        <w:tc>
          <w:tcPr>
            <w:tcW w:w="426" w:type="dxa"/>
            <w:tcBorders>
              <w:top w:val="single" w:sz="4" w:space="0" w:color="auto"/>
              <w:left w:val="single" w:sz="4" w:space="0" w:color="auto"/>
              <w:bottom w:val="single" w:sz="4" w:space="0" w:color="auto"/>
              <w:right w:val="single" w:sz="4" w:space="0" w:color="auto"/>
            </w:tcBorders>
          </w:tcPr>
          <w:p w14:paraId="176FAEFD" w14:textId="77777777" w:rsidR="003151DB" w:rsidRPr="001233BD" w:rsidRDefault="003151DB" w:rsidP="003151DB">
            <w:pPr>
              <w:spacing w:before="40" w:after="120"/>
              <w:ind w:left="57" w:right="57"/>
              <w:rPr>
                <w:lang w:eastAsia="en-GB"/>
              </w:rPr>
            </w:pPr>
          </w:p>
        </w:tc>
        <w:tc>
          <w:tcPr>
            <w:tcW w:w="426" w:type="dxa"/>
            <w:tcBorders>
              <w:top w:val="single" w:sz="4" w:space="0" w:color="auto"/>
              <w:left w:val="single" w:sz="4" w:space="0" w:color="auto"/>
              <w:bottom w:val="single" w:sz="4" w:space="0" w:color="auto"/>
              <w:right w:val="single" w:sz="4" w:space="0" w:color="auto"/>
            </w:tcBorders>
          </w:tcPr>
          <w:p w14:paraId="3298ED89" w14:textId="77777777" w:rsidR="003151DB" w:rsidRPr="001233BD" w:rsidRDefault="003151DB" w:rsidP="003151DB">
            <w:pPr>
              <w:spacing w:before="40" w:after="120"/>
              <w:ind w:left="57" w:right="57"/>
              <w:rPr>
                <w:lang w:eastAsia="en-GB"/>
              </w:rPr>
            </w:pPr>
          </w:p>
        </w:tc>
        <w:tc>
          <w:tcPr>
            <w:tcW w:w="426" w:type="dxa"/>
            <w:tcBorders>
              <w:top w:val="single" w:sz="4" w:space="0" w:color="auto"/>
              <w:left w:val="single" w:sz="4" w:space="0" w:color="auto"/>
              <w:bottom w:val="single" w:sz="4" w:space="0" w:color="auto"/>
              <w:right w:val="single" w:sz="4" w:space="0" w:color="auto"/>
            </w:tcBorders>
          </w:tcPr>
          <w:p w14:paraId="2FDD8181" w14:textId="77777777" w:rsidR="003151DB" w:rsidRPr="001233BD" w:rsidRDefault="003151DB" w:rsidP="003151DB">
            <w:pPr>
              <w:spacing w:before="40" w:after="120"/>
              <w:ind w:left="57" w:right="57"/>
              <w:rPr>
                <w:lang w:eastAsia="en-GB"/>
              </w:rPr>
            </w:pPr>
          </w:p>
        </w:tc>
      </w:tr>
      <w:tr w:rsidR="003151DB" w:rsidRPr="001233BD" w14:paraId="2E325420" w14:textId="77777777" w:rsidTr="003151DB">
        <w:trPr>
          <w:trHeight w:val="144"/>
        </w:trPr>
        <w:tc>
          <w:tcPr>
            <w:tcW w:w="997" w:type="dxa"/>
            <w:tcBorders>
              <w:top w:val="single" w:sz="4" w:space="0" w:color="auto"/>
              <w:left w:val="single" w:sz="4" w:space="0" w:color="auto"/>
              <w:bottom w:val="single" w:sz="4" w:space="0" w:color="auto"/>
              <w:right w:val="single" w:sz="4" w:space="0" w:color="auto"/>
            </w:tcBorders>
            <w:hideMark/>
          </w:tcPr>
          <w:p w14:paraId="15F10B4D" w14:textId="77777777" w:rsidR="003151DB" w:rsidRPr="001233BD" w:rsidRDefault="003151DB" w:rsidP="003151DB">
            <w:pPr>
              <w:spacing w:before="40" w:after="120"/>
              <w:ind w:left="57" w:right="57"/>
              <w:rPr>
                <w:sz w:val="18"/>
              </w:rPr>
            </w:pPr>
            <w:r w:rsidRPr="001233BD">
              <w:rPr>
                <w:lang w:val="fr-FR"/>
              </w:rPr>
              <w:t>3.2.2.2</w:t>
            </w:r>
          </w:p>
        </w:tc>
        <w:tc>
          <w:tcPr>
            <w:tcW w:w="2831" w:type="dxa"/>
            <w:tcBorders>
              <w:top w:val="single" w:sz="4" w:space="0" w:color="auto"/>
              <w:left w:val="single" w:sz="4" w:space="0" w:color="auto"/>
              <w:bottom w:val="single" w:sz="4" w:space="0" w:color="auto"/>
              <w:right w:val="single" w:sz="4" w:space="0" w:color="auto"/>
            </w:tcBorders>
            <w:hideMark/>
          </w:tcPr>
          <w:p w14:paraId="5B4B534D" w14:textId="77777777" w:rsidR="003151DB" w:rsidRPr="001233BD" w:rsidRDefault="003151DB" w:rsidP="003151DB">
            <w:pPr>
              <w:spacing w:before="40" w:after="120"/>
              <w:ind w:left="57" w:right="57"/>
              <w:rPr>
                <w:sz w:val="18"/>
              </w:rPr>
            </w:pPr>
            <w:r w:rsidRPr="001233BD">
              <w:rPr>
                <w:lang w:val="fr-FR"/>
              </w:rPr>
              <w:t>Véhicules utilitaires lourds : gazole/essence/GPL/GN-H/GN-L/GN-HL/éthanol (ED</w:t>
            </w:r>
            <w:proofErr w:type="gramStart"/>
            <w:r w:rsidRPr="001233BD">
              <w:rPr>
                <w:lang w:val="fr-FR"/>
              </w:rPr>
              <w:t>95)/</w:t>
            </w:r>
            <w:proofErr w:type="gramEnd"/>
            <w:r w:rsidRPr="001233BD">
              <w:rPr>
                <w:lang w:val="fr-FR"/>
              </w:rPr>
              <w:t xml:space="preserve"> éthanol (E85)</w:t>
            </w:r>
            <w:r w:rsidRPr="001233BD">
              <w:rPr>
                <w:vertAlign w:val="superscript"/>
                <w:lang w:val="fr-FR"/>
              </w:rPr>
              <w:t>1</w:t>
            </w:r>
            <w:r w:rsidRPr="001233BD">
              <w:rPr>
                <w:lang w:val="fr-FR"/>
              </w:rPr>
              <w:t xml:space="preserve"> </w:t>
            </w:r>
          </w:p>
        </w:tc>
        <w:tc>
          <w:tcPr>
            <w:tcW w:w="1417" w:type="dxa"/>
            <w:tcBorders>
              <w:top w:val="single" w:sz="4" w:space="0" w:color="auto"/>
              <w:left w:val="single" w:sz="4" w:space="0" w:color="auto"/>
              <w:bottom w:val="single" w:sz="4" w:space="0" w:color="auto"/>
              <w:right w:val="single" w:sz="4" w:space="0" w:color="auto"/>
            </w:tcBorders>
          </w:tcPr>
          <w:p w14:paraId="73C79201" w14:textId="77777777" w:rsidR="003151DB" w:rsidRPr="001233BD" w:rsidRDefault="003151DB" w:rsidP="003151DB">
            <w:pPr>
              <w:spacing w:before="40" w:after="120"/>
              <w:ind w:left="57" w:right="57"/>
              <w:rPr>
                <w:lang w:eastAsia="en-GB"/>
              </w:rPr>
            </w:pPr>
          </w:p>
        </w:tc>
        <w:tc>
          <w:tcPr>
            <w:tcW w:w="426" w:type="dxa"/>
            <w:tcBorders>
              <w:top w:val="single" w:sz="4" w:space="0" w:color="auto"/>
              <w:left w:val="single" w:sz="4" w:space="0" w:color="auto"/>
              <w:bottom w:val="single" w:sz="4" w:space="0" w:color="auto"/>
              <w:right w:val="single" w:sz="4" w:space="0" w:color="auto"/>
            </w:tcBorders>
          </w:tcPr>
          <w:p w14:paraId="4A3912D2" w14:textId="77777777" w:rsidR="003151DB" w:rsidRPr="001233BD" w:rsidRDefault="003151DB" w:rsidP="003151DB">
            <w:pPr>
              <w:spacing w:before="40" w:after="120"/>
              <w:ind w:left="57" w:right="57"/>
              <w:rPr>
                <w:lang w:eastAsia="en-GB"/>
              </w:rPr>
            </w:pPr>
          </w:p>
        </w:tc>
        <w:tc>
          <w:tcPr>
            <w:tcW w:w="426" w:type="dxa"/>
            <w:tcBorders>
              <w:top w:val="single" w:sz="4" w:space="0" w:color="auto"/>
              <w:left w:val="single" w:sz="4" w:space="0" w:color="auto"/>
              <w:bottom w:val="single" w:sz="4" w:space="0" w:color="auto"/>
              <w:right w:val="single" w:sz="4" w:space="0" w:color="auto"/>
            </w:tcBorders>
          </w:tcPr>
          <w:p w14:paraId="0A93CFD8" w14:textId="77777777" w:rsidR="003151DB" w:rsidRPr="001233BD" w:rsidRDefault="003151DB" w:rsidP="003151DB">
            <w:pPr>
              <w:spacing w:before="40" w:after="120"/>
              <w:ind w:left="57" w:right="57"/>
              <w:rPr>
                <w:lang w:eastAsia="en-GB"/>
              </w:rPr>
            </w:pPr>
          </w:p>
        </w:tc>
        <w:tc>
          <w:tcPr>
            <w:tcW w:w="426" w:type="dxa"/>
            <w:tcBorders>
              <w:top w:val="single" w:sz="4" w:space="0" w:color="auto"/>
              <w:left w:val="single" w:sz="4" w:space="0" w:color="auto"/>
              <w:bottom w:val="single" w:sz="4" w:space="0" w:color="auto"/>
              <w:right w:val="single" w:sz="4" w:space="0" w:color="auto"/>
            </w:tcBorders>
          </w:tcPr>
          <w:p w14:paraId="639944DE" w14:textId="77777777" w:rsidR="003151DB" w:rsidRPr="001233BD" w:rsidRDefault="003151DB" w:rsidP="003151DB">
            <w:pPr>
              <w:spacing w:before="40" w:after="120"/>
              <w:ind w:left="57" w:right="57"/>
              <w:rPr>
                <w:lang w:eastAsia="en-GB"/>
              </w:rPr>
            </w:pPr>
          </w:p>
        </w:tc>
        <w:tc>
          <w:tcPr>
            <w:tcW w:w="426" w:type="dxa"/>
            <w:tcBorders>
              <w:top w:val="single" w:sz="4" w:space="0" w:color="auto"/>
              <w:left w:val="single" w:sz="4" w:space="0" w:color="auto"/>
              <w:bottom w:val="single" w:sz="4" w:space="0" w:color="auto"/>
              <w:right w:val="single" w:sz="4" w:space="0" w:color="auto"/>
            </w:tcBorders>
          </w:tcPr>
          <w:p w14:paraId="09F3E9B8" w14:textId="77777777" w:rsidR="003151DB" w:rsidRPr="001233BD" w:rsidRDefault="003151DB" w:rsidP="003151DB">
            <w:pPr>
              <w:spacing w:before="40" w:after="120"/>
              <w:ind w:left="57" w:right="57"/>
              <w:rPr>
                <w:lang w:eastAsia="en-GB"/>
              </w:rPr>
            </w:pPr>
          </w:p>
        </w:tc>
        <w:tc>
          <w:tcPr>
            <w:tcW w:w="426" w:type="dxa"/>
            <w:tcBorders>
              <w:top w:val="single" w:sz="4" w:space="0" w:color="auto"/>
              <w:left w:val="single" w:sz="4" w:space="0" w:color="auto"/>
              <w:bottom w:val="single" w:sz="4" w:space="0" w:color="auto"/>
              <w:right w:val="single" w:sz="4" w:space="0" w:color="auto"/>
            </w:tcBorders>
          </w:tcPr>
          <w:p w14:paraId="6D59EEFD" w14:textId="77777777" w:rsidR="003151DB" w:rsidRPr="001233BD" w:rsidRDefault="003151DB" w:rsidP="003151DB">
            <w:pPr>
              <w:spacing w:before="40" w:after="120"/>
              <w:ind w:left="57" w:right="57"/>
              <w:rPr>
                <w:lang w:eastAsia="en-GB"/>
              </w:rPr>
            </w:pPr>
          </w:p>
        </w:tc>
      </w:tr>
      <w:tr w:rsidR="003151DB" w:rsidRPr="001233BD" w14:paraId="00C4ABA6" w14:textId="77777777" w:rsidTr="003151DB">
        <w:trPr>
          <w:trHeight w:val="144"/>
        </w:trPr>
        <w:tc>
          <w:tcPr>
            <w:tcW w:w="997" w:type="dxa"/>
            <w:tcBorders>
              <w:top w:val="single" w:sz="4" w:space="0" w:color="auto"/>
              <w:left w:val="single" w:sz="4" w:space="0" w:color="auto"/>
              <w:bottom w:val="single" w:sz="4" w:space="0" w:color="auto"/>
              <w:right w:val="single" w:sz="4" w:space="0" w:color="auto"/>
            </w:tcBorders>
            <w:hideMark/>
          </w:tcPr>
          <w:p w14:paraId="5BD21EF9" w14:textId="77777777" w:rsidR="003151DB" w:rsidRPr="001233BD" w:rsidRDefault="003151DB" w:rsidP="003151DB">
            <w:pPr>
              <w:spacing w:before="40" w:after="120"/>
              <w:ind w:left="57" w:right="57"/>
              <w:rPr>
                <w:sz w:val="18"/>
              </w:rPr>
            </w:pPr>
            <w:r w:rsidRPr="001233BD">
              <w:rPr>
                <w:lang w:val="fr-FR"/>
              </w:rPr>
              <w:t>3.2.2.2.1</w:t>
            </w:r>
          </w:p>
        </w:tc>
        <w:tc>
          <w:tcPr>
            <w:tcW w:w="2831" w:type="dxa"/>
            <w:tcBorders>
              <w:top w:val="single" w:sz="4" w:space="0" w:color="auto"/>
              <w:left w:val="single" w:sz="4" w:space="0" w:color="auto"/>
              <w:bottom w:val="single" w:sz="4" w:space="0" w:color="auto"/>
              <w:right w:val="single" w:sz="4" w:space="0" w:color="auto"/>
            </w:tcBorders>
            <w:hideMark/>
          </w:tcPr>
          <w:p w14:paraId="26FB1E03" w14:textId="77777777" w:rsidR="003151DB" w:rsidRPr="001233BD" w:rsidRDefault="003151DB" w:rsidP="003151DB">
            <w:pPr>
              <w:spacing w:before="40" w:after="120"/>
              <w:ind w:left="57" w:right="57"/>
              <w:rPr>
                <w:sz w:val="18"/>
              </w:rPr>
            </w:pPr>
            <w:r w:rsidRPr="001233BD">
              <w:rPr>
                <w:lang w:val="fr-FR"/>
              </w:rPr>
              <w:t>Carburants compatibles avec le</w:t>
            </w:r>
            <w:r>
              <w:rPr>
                <w:lang w:val="fr-FR"/>
              </w:rPr>
              <w:t> </w:t>
            </w:r>
            <w:r w:rsidRPr="001233BD">
              <w:rPr>
                <w:lang w:val="fr-FR"/>
              </w:rPr>
              <w:t>moteur, déclarés par le constructeur conformément au paragraphe</w:t>
            </w:r>
            <w:r>
              <w:rPr>
                <w:lang w:val="fr-FR"/>
              </w:rPr>
              <w:t> </w:t>
            </w:r>
            <w:r w:rsidRPr="001233BD">
              <w:rPr>
                <w:lang w:val="fr-FR"/>
              </w:rPr>
              <w:t>4.6.2 du présent Règlement (selon le cas)</w:t>
            </w:r>
          </w:p>
        </w:tc>
        <w:tc>
          <w:tcPr>
            <w:tcW w:w="1417" w:type="dxa"/>
            <w:tcBorders>
              <w:top w:val="single" w:sz="4" w:space="0" w:color="auto"/>
              <w:left w:val="single" w:sz="4" w:space="0" w:color="auto"/>
              <w:bottom w:val="single" w:sz="4" w:space="0" w:color="auto"/>
              <w:right w:val="single" w:sz="4" w:space="0" w:color="auto"/>
            </w:tcBorders>
          </w:tcPr>
          <w:p w14:paraId="0ABB0D9E" w14:textId="77777777" w:rsidR="003151DB" w:rsidRPr="001233BD" w:rsidRDefault="003151DB" w:rsidP="003151DB">
            <w:pPr>
              <w:spacing w:before="40" w:after="120"/>
              <w:ind w:left="57" w:right="57"/>
              <w:rPr>
                <w:lang w:eastAsia="en-GB"/>
              </w:rPr>
            </w:pPr>
          </w:p>
        </w:tc>
        <w:tc>
          <w:tcPr>
            <w:tcW w:w="426" w:type="dxa"/>
            <w:tcBorders>
              <w:top w:val="single" w:sz="4" w:space="0" w:color="auto"/>
              <w:left w:val="single" w:sz="4" w:space="0" w:color="auto"/>
              <w:bottom w:val="single" w:sz="4" w:space="0" w:color="auto"/>
              <w:right w:val="single" w:sz="4" w:space="0" w:color="auto"/>
            </w:tcBorders>
          </w:tcPr>
          <w:p w14:paraId="45062689" w14:textId="77777777" w:rsidR="003151DB" w:rsidRPr="001233BD" w:rsidRDefault="003151DB" w:rsidP="003151DB">
            <w:pPr>
              <w:spacing w:before="40" w:after="120"/>
              <w:ind w:left="57" w:right="57"/>
              <w:rPr>
                <w:lang w:eastAsia="en-GB"/>
              </w:rPr>
            </w:pPr>
          </w:p>
        </w:tc>
        <w:tc>
          <w:tcPr>
            <w:tcW w:w="426" w:type="dxa"/>
            <w:tcBorders>
              <w:top w:val="single" w:sz="4" w:space="0" w:color="auto"/>
              <w:left w:val="single" w:sz="4" w:space="0" w:color="auto"/>
              <w:bottom w:val="single" w:sz="4" w:space="0" w:color="auto"/>
              <w:right w:val="single" w:sz="4" w:space="0" w:color="auto"/>
            </w:tcBorders>
          </w:tcPr>
          <w:p w14:paraId="18014232" w14:textId="77777777" w:rsidR="003151DB" w:rsidRPr="001233BD" w:rsidRDefault="003151DB" w:rsidP="003151DB">
            <w:pPr>
              <w:spacing w:before="40" w:after="120"/>
              <w:ind w:left="57" w:right="57"/>
              <w:rPr>
                <w:lang w:eastAsia="en-GB"/>
              </w:rPr>
            </w:pPr>
          </w:p>
        </w:tc>
        <w:tc>
          <w:tcPr>
            <w:tcW w:w="426" w:type="dxa"/>
            <w:tcBorders>
              <w:top w:val="single" w:sz="4" w:space="0" w:color="auto"/>
              <w:left w:val="single" w:sz="4" w:space="0" w:color="auto"/>
              <w:bottom w:val="single" w:sz="4" w:space="0" w:color="auto"/>
              <w:right w:val="single" w:sz="4" w:space="0" w:color="auto"/>
            </w:tcBorders>
          </w:tcPr>
          <w:p w14:paraId="03552546" w14:textId="77777777" w:rsidR="003151DB" w:rsidRPr="001233BD" w:rsidRDefault="003151DB" w:rsidP="003151DB">
            <w:pPr>
              <w:spacing w:before="40" w:after="120"/>
              <w:ind w:left="57" w:right="57"/>
              <w:rPr>
                <w:lang w:eastAsia="en-GB"/>
              </w:rPr>
            </w:pPr>
          </w:p>
        </w:tc>
        <w:tc>
          <w:tcPr>
            <w:tcW w:w="426" w:type="dxa"/>
            <w:tcBorders>
              <w:top w:val="single" w:sz="4" w:space="0" w:color="auto"/>
              <w:left w:val="single" w:sz="4" w:space="0" w:color="auto"/>
              <w:bottom w:val="single" w:sz="4" w:space="0" w:color="auto"/>
              <w:right w:val="single" w:sz="4" w:space="0" w:color="auto"/>
            </w:tcBorders>
          </w:tcPr>
          <w:p w14:paraId="7483AF3D" w14:textId="77777777" w:rsidR="003151DB" w:rsidRPr="001233BD" w:rsidRDefault="003151DB" w:rsidP="003151DB">
            <w:pPr>
              <w:spacing w:before="40" w:after="120"/>
              <w:ind w:left="57" w:right="57"/>
              <w:rPr>
                <w:lang w:eastAsia="en-GB"/>
              </w:rPr>
            </w:pPr>
          </w:p>
        </w:tc>
        <w:tc>
          <w:tcPr>
            <w:tcW w:w="426" w:type="dxa"/>
            <w:tcBorders>
              <w:top w:val="single" w:sz="4" w:space="0" w:color="auto"/>
              <w:left w:val="single" w:sz="4" w:space="0" w:color="auto"/>
              <w:bottom w:val="single" w:sz="4" w:space="0" w:color="auto"/>
              <w:right w:val="single" w:sz="4" w:space="0" w:color="auto"/>
            </w:tcBorders>
          </w:tcPr>
          <w:p w14:paraId="7AE6BBEF" w14:textId="77777777" w:rsidR="003151DB" w:rsidRPr="001233BD" w:rsidRDefault="003151DB" w:rsidP="003151DB">
            <w:pPr>
              <w:spacing w:before="40" w:after="120"/>
              <w:ind w:left="57" w:right="57"/>
              <w:rPr>
                <w:lang w:eastAsia="en-GB"/>
              </w:rPr>
            </w:pPr>
          </w:p>
        </w:tc>
      </w:tr>
      <w:tr w:rsidR="003151DB" w:rsidRPr="001233BD" w14:paraId="6D1F80A5" w14:textId="77777777" w:rsidTr="003151DB">
        <w:trPr>
          <w:trHeight w:val="625"/>
        </w:trPr>
        <w:tc>
          <w:tcPr>
            <w:tcW w:w="997" w:type="dxa"/>
            <w:tcBorders>
              <w:top w:val="single" w:sz="4" w:space="0" w:color="auto"/>
              <w:left w:val="single" w:sz="4" w:space="0" w:color="auto"/>
              <w:bottom w:val="single" w:sz="4" w:space="0" w:color="auto"/>
              <w:right w:val="single" w:sz="4" w:space="0" w:color="auto"/>
            </w:tcBorders>
            <w:hideMark/>
          </w:tcPr>
          <w:p w14:paraId="13F9C178" w14:textId="77777777" w:rsidR="003151DB" w:rsidRPr="001233BD" w:rsidRDefault="003151DB" w:rsidP="003151DB">
            <w:pPr>
              <w:keepNext/>
              <w:keepLines/>
              <w:spacing w:before="40" w:after="120"/>
              <w:ind w:left="57" w:right="57"/>
              <w:rPr>
                <w:sz w:val="18"/>
              </w:rPr>
            </w:pPr>
            <w:r w:rsidRPr="001233BD">
              <w:rPr>
                <w:lang w:val="fr-FR"/>
              </w:rPr>
              <w:lastRenderedPageBreak/>
              <w:t>3.2.2.2.2</w:t>
            </w:r>
          </w:p>
        </w:tc>
        <w:tc>
          <w:tcPr>
            <w:tcW w:w="2831" w:type="dxa"/>
            <w:tcBorders>
              <w:top w:val="single" w:sz="4" w:space="0" w:color="auto"/>
              <w:left w:val="single" w:sz="4" w:space="0" w:color="auto"/>
              <w:bottom w:val="single" w:sz="4" w:space="0" w:color="auto"/>
              <w:right w:val="single" w:sz="4" w:space="0" w:color="auto"/>
            </w:tcBorders>
            <w:hideMark/>
          </w:tcPr>
          <w:p w14:paraId="6F7FDAFB" w14:textId="77777777" w:rsidR="003151DB" w:rsidRPr="001233BD" w:rsidRDefault="003151DB" w:rsidP="003151DB">
            <w:pPr>
              <w:keepNext/>
              <w:keepLines/>
              <w:spacing w:before="40" w:after="120"/>
              <w:ind w:left="57" w:right="57"/>
              <w:rPr>
                <w:sz w:val="18"/>
              </w:rPr>
            </w:pPr>
            <w:r w:rsidRPr="001233BD">
              <w:rPr>
                <w:lang w:val="fr-FR"/>
              </w:rPr>
              <w:t>Facteur de correction</w:t>
            </w:r>
            <w:r>
              <w:rPr>
                <w:lang w:val="fr-FR"/>
              </w:rPr>
              <w:t xml:space="preserve"> de la puissance, conformément </w:t>
            </w:r>
            <w:r w:rsidRPr="001233BD">
              <w:rPr>
                <w:lang w:val="fr-FR"/>
              </w:rPr>
              <w:t>au paragraphe</w:t>
            </w:r>
            <w:r>
              <w:rPr>
                <w:lang w:val="fr-FR"/>
              </w:rPr>
              <w:t> </w:t>
            </w:r>
            <w:r w:rsidRPr="001233BD">
              <w:rPr>
                <w:lang w:val="fr-FR"/>
              </w:rPr>
              <w:t>9.4.2.8 pour chaque carburant déclaré (selon le cas)</w:t>
            </w:r>
          </w:p>
        </w:tc>
        <w:tc>
          <w:tcPr>
            <w:tcW w:w="1417" w:type="dxa"/>
            <w:tcBorders>
              <w:top w:val="single" w:sz="4" w:space="0" w:color="auto"/>
              <w:left w:val="single" w:sz="4" w:space="0" w:color="auto"/>
              <w:bottom w:val="single" w:sz="4" w:space="0" w:color="auto"/>
              <w:right w:val="single" w:sz="4" w:space="0" w:color="auto"/>
            </w:tcBorders>
          </w:tcPr>
          <w:p w14:paraId="1700B1FB" w14:textId="77777777" w:rsidR="003151DB" w:rsidRPr="001233BD" w:rsidRDefault="003151DB" w:rsidP="003151DB">
            <w:pPr>
              <w:keepNext/>
              <w:keepLines/>
              <w:spacing w:before="40" w:after="120"/>
              <w:ind w:left="57" w:right="57"/>
              <w:rPr>
                <w:lang w:eastAsia="en-GB"/>
              </w:rPr>
            </w:pPr>
          </w:p>
        </w:tc>
        <w:tc>
          <w:tcPr>
            <w:tcW w:w="426" w:type="dxa"/>
          </w:tcPr>
          <w:p w14:paraId="10B89D83" w14:textId="77777777" w:rsidR="003151DB" w:rsidRPr="001233BD" w:rsidRDefault="003151DB" w:rsidP="003151DB">
            <w:pPr>
              <w:keepNext/>
              <w:keepLines/>
              <w:spacing w:before="40" w:after="120"/>
              <w:ind w:left="57" w:right="57"/>
              <w:rPr>
                <w:lang w:eastAsia="en-GB"/>
              </w:rPr>
            </w:pPr>
          </w:p>
        </w:tc>
        <w:tc>
          <w:tcPr>
            <w:tcW w:w="426" w:type="dxa"/>
          </w:tcPr>
          <w:p w14:paraId="157F6E54" w14:textId="77777777" w:rsidR="003151DB" w:rsidRPr="001233BD" w:rsidRDefault="003151DB" w:rsidP="003151DB">
            <w:pPr>
              <w:keepNext/>
              <w:keepLines/>
              <w:spacing w:before="40" w:after="120"/>
              <w:ind w:left="57" w:right="57"/>
              <w:rPr>
                <w:lang w:eastAsia="en-GB"/>
              </w:rPr>
            </w:pPr>
          </w:p>
        </w:tc>
        <w:tc>
          <w:tcPr>
            <w:tcW w:w="426" w:type="dxa"/>
          </w:tcPr>
          <w:p w14:paraId="54B847C8" w14:textId="77777777" w:rsidR="003151DB" w:rsidRPr="001233BD" w:rsidRDefault="003151DB" w:rsidP="003151DB">
            <w:pPr>
              <w:keepNext/>
              <w:keepLines/>
              <w:spacing w:before="40" w:after="120"/>
              <w:ind w:left="57" w:right="57"/>
              <w:rPr>
                <w:lang w:eastAsia="en-GB"/>
              </w:rPr>
            </w:pPr>
          </w:p>
        </w:tc>
        <w:tc>
          <w:tcPr>
            <w:tcW w:w="426" w:type="dxa"/>
          </w:tcPr>
          <w:p w14:paraId="3CA6B77F" w14:textId="77777777" w:rsidR="003151DB" w:rsidRPr="001233BD" w:rsidRDefault="003151DB" w:rsidP="003151DB">
            <w:pPr>
              <w:keepNext/>
              <w:keepLines/>
              <w:spacing w:before="40" w:after="120"/>
              <w:ind w:left="57" w:right="57"/>
              <w:rPr>
                <w:lang w:eastAsia="en-GB"/>
              </w:rPr>
            </w:pPr>
          </w:p>
        </w:tc>
        <w:tc>
          <w:tcPr>
            <w:tcW w:w="426" w:type="dxa"/>
          </w:tcPr>
          <w:p w14:paraId="62DA55EE" w14:textId="77777777" w:rsidR="003151DB" w:rsidRPr="001233BD" w:rsidRDefault="003151DB" w:rsidP="003151DB">
            <w:pPr>
              <w:keepNext/>
              <w:keepLines/>
              <w:spacing w:before="40" w:after="120"/>
              <w:ind w:left="57" w:right="57"/>
              <w:rPr>
                <w:lang w:eastAsia="en-GB"/>
              </w:rPr>
            </w:pPr>
          </w:p>
        </w:tc>
      </w:tr>
    </w:tbl>
    <w:p w14:paraId="6C973D70" w14:textId="77777777" w:rsidR="003151DB" w:rsidRPr="001233BD" w:rsidRDefault="003151DB" w:rsidP="003151DB">
      <w:pPr>
        <w:pStyle w:val="SingleTxtG"/>
        <w:spacing w:before="240"/>
        <w:jc w:val="right"/>
        <w:rPr>
          <w:i/>
        </w:rPr>
      </w:pPr>
      <w:r>
        <w:t> »</w:t>
      </w:r>
      <w:r w:rsidRPr="001233BD">
        <w:t>.</w:t>
      </w:r>
    </w:p>
    <w:p w14:paraId="011CE981" w14:textId="77777777" w:rsidR="003151DB" w:rsidRPr="001233BD" w:rsidRDefault="003151DB" w:rsidP="003151DB">
      <w:pPr>
        <w:pStyle w:val="SingleTxtG"/>
      </w:pPr>
      <w:r w:rsidRPr="0075527A">
        <w:rPr>
          <w:i/>
          <w:lang w:val="fr-FR"/>
        </w:rPr>
        <w:t>Annexe</w:t>
      </w:r>
      <w:r>
        <w:rPr>
          <w:i/>
          <w:lang w:val="fr-FR"/>
        </w:rPr>
        <w:t> </w:t>
      </w:r>
      <w:r w:rsidRPr="0075527A">
        <w:rPr>
          <w:i/>
          <w:lang w:val="fr-FR"/>
        </w:rPr>
        <w:t>8</w:t>
      </w:r>
      <w:r w:rsidRPr="001233BD">
        <w:rPr>
          <w:lang w:val="fr-FR"/>
        </w:rPr>
        <w:t>,</w:t>
      </w:r>
    </w:p>
    <w:p w14:paraId="4D36980F" w14:textId="77777777" w:rsidR="003151DB" w:rsidRPr="001233BD" w:rsidRDefault="003151DB" w:rsidP="003151DB">
      <w:pPr>
        <w:pStyle w:val="SingleTxtG"/>
      </w:pPr>
      <w:r w:rsidRPr="0075527A">
        <w:rPr>
          <w:i/>
          <w:lang w:val="fr-FR"/>
        </w:rPr>
        <w:t>Paragraphes 4.4.2 et 4.4.2.1</w:t>
      </w:r>
      <w:r w:rsidRPr="001233BD">
        <w:rPr>
          <w:lang w:val="fr-FR"/>
        </w:rPr>
        <w:t>, lire</w:t>
      </w:r>
      <w:r>
        <w:rPr>
          <w:lang w:val="fr-FR"/>
        </w:rPr>
        <w:t> </w:t>
      </w:r>
      <w:r w:rsidRPr="001233BD">
        <w:rPr>
          <w:lang w:val="fr-FR"/>
        </w:rPr>
        <w:t>:</w:t>
      </w:r>
    </w:p>
    <w:p w14:paraId="42745902" w14:textId="77777777" w:rsidR="003151DB" w:rsidRPr="001233BD" w:rsidRDefault="003151DB" w:rsidP="003151DB">
      <w:pPr>
        <w:kinsoku/>
        <w:overflowPunct/>
        <w:autoSpaceDE/>
        <w:autoSpaceDN/>
        <w:adjustRightInd/>
        <w:snapToGrid/>
        <w:spacing w:after="120"/>
        <w:ind w:left="2268" w:right="1134" w:hanging="1134"/>
        <w:jc w:val="both"/>
        <w:rPr>
          <w:noProof/>
        </w:rPr>
      </w:pPr>
      <w:r>
        <w:rPr>
          <w:lang w:val="fr-FR"/>
        </w:rPr>
        <w:t>« </w:t>
      </w:r>
      <w:r w:rsidRPr="001233BD">
        <w:rPr>
          <w:lang w:val="fr-FR"/>
        </w:rPr>
        <w:t>4.4.2</w:t>
      </w:r>
      <w:r w:rsidRPr="001233BD">
        <w:rPr>
          <w:lang w:val="fr-FR"/>
        </w:rPr>
        <w:tab/>
        <w:t>Carburant</w:t>
      </w:r>
    </w:p>
    <w:p w14:paraId="048773B4" w14:textId="77777777" w:rsidR="003151DB" w:rsidRPr="001233BD" w:rsidRDefault="003151DB" w:rsidP="003151DB">
      <w:pPr>
        <w:pStyle w:val="SingleTxtG"/>
        <w:ind w:left="2268"/>
        <w:rPr>
          <w:b/>
          <w:strike/>
          <w:noProof/>
        </w:rPr>
      </w:pPr>
      <w:r w:rsidRPr="001233BD">
        <w:rPr>
          <w:lang w:val="fr-FR"/>
        </w:rPr>
        <w:t>Le carburant d’essai doit être un carburant commercial couvert par les normes pertinentes, ou un carburant de référence comme spécifié à l’</w:t>
      </w:r>
      <w:r>
        <w:rPr>
          <w:lang w:val="fr-FR"/>
        </w:rPr>
        <w:t>annexe </w:t>
      </w:r>
      <w:r w:rsidRPr="001233BD">
        <w:rPr>
          <w:lang w:val="fr-FR"/>
        </w:rPr>
        <w:t>5 du présent Règlement.</w:t>
      </w:r>
    </w:p>
    <w:p w14:paraId="5B6E68ED" w14:textId="77777777" w:rsidR="003151DB" w:rsidRPr="001233BD" w:rsidRDefault="003151DB" w:rsidP="003151DB">
      <w:pPr>
        <w:kinsoku/>
        <w:overflowPunct/>
        <w:autoSpaceDE/>
        <w:autoSpaceDN/>
        <w:adjustRightInd/>
        <w:snapToGrid/>
        <w:spacing w:after="120"/>
        <w:ind w:left="2268" w:right="1134" w:hanging="1134"/>
        <w:jc w:val="both"/>
        <w:rPr>
          <w:b/>
          <w:strike/>
          <w:noProof/>
        </w:rPr>
      </w:pPr>
      <w:r w:rsidRPr="001233BD">
        <w:rPr>
          <w:lang w:val="fr-FR"/>
        </w:rPr>
        <w:t>4.4.2.1</w:t>
      </w:r>
      <w:r w:rsidRPr="001233BD">
        <w:rPr>
          <w:lang w:val="fr-FR"/>
        </w:rPr>
        <w:tab/>
        <w:t>Si le constructeur, conformément au paragraphe</w:t>
      </w:r>
      <w:r>
        <w:rPr>
          <w:lang w:val="fr-FR"/>
        </w:rPr>
        <w:t> </w:t>
      </w:r>
      <w:r w:rsidRPr="001233BD">
        <w:rPr>
          <w:lang w:val="fr-FR"/>
        </w:rPr>
        <w:t>4 du présent Règlement, a déclaré la capacité de satisfaire aux prescriptions du présent Règlement en utilisant les carburants commerciaux déclarés au paragraphe</w:t>
      </w:r>
      <w:r>
        <w:rPr>
          <w:lang w:val="fr-FR"/>
        </w:rPr>
        <w:t> </w:t>
      </w:r>
      <w:r w:rsidRPr="001233BD">
        <w:rPr>
          <w:lang w:val="fr-FR"/>
        </w:rPr>
        <w:t>3.2.2.2.1 de la première partie de l’annexe 1 du présent Règlement, les essais sont effectués en utilisant au moins l’un des c</w:t>
      </w:r>
      <w:r>
        <w:rPr>
          <w:lang w:val="fr-FR"/>
        </w:rPr>
        <w:t>arburants commerciaux déclarés. </w:t>
      </w:r>
      <w:r w:rsidRPr="001233BD">
        <w:rPr>
          <w:lang w:val="fr-FR"/>
        </w:rPr>
        <w:t>»</w:t>
      </w:r>
    </w:p>
    <w:p w14:paraId="35BC3034" w14:textId="77777777" w:rsidR="003151DB" w:rsidRPr="001233BD" w:rsidRDefault="003151DB" w:rsidP="003151DB">
      <w:pPr>
        <w:pStyle w:val="SingleTxtG"/>
        <w:keepNext/>
      </w:pPr>
      <w:r>
        <w:rPr>
          <w:i/>
          <w:iCs/>
          <w:lang w:val="fr-FR"/>
        </w:rPr>
        <w:t>Ajouter un nouveau paragraphe </w:t>
      </w:r>
      <w:r w:rsidRPr="001233BD">
        <w:rPr>
          <w:i/>
          <w:iCs/>
          <w:lang w:val="fr-FR"/>
        </w:rPr>
        <w:t>4.4.2.2</w:t>
      </w:r>
      <w:r>
        <w:rPr>
          <w:lang w:val="fr-FR"/>
        </w:rPr>
        <w:t>, libellé</w:t>
      </w:r>
      <w:r w:rsidRPr="006133D3">
        <w:rPr>
          <w:lang w:val="fr-FR"/>
        </w:rPr>
        <w:t xml:space="preserve"> comme suit</w:t>
      </w:r>
      <w:r w:rsidR="002D03AC">
        <w:rPr>
          <w:lang w:val="fr-FR"/>
        </w:rPr>
        <w:t> :</w:t>
      </w:r>
    </w:p>
    <w:p w14:paraId="0F920825" w14:textId="77777777" w:rsidR="003151DB" w:rsidRPr="001233BD" w:rsidRDefault="003151DB" w:rsidP="003151DB">
      <w:pPr>
        <w:keepNext/>
        <w:kinsoku/>
        <w:overflowPunct/>
        <w:autoSpaceDE/>
        <w:autoSpaceDN/>
        <w:adjustRightInd/>
        <w:snapToGrid/>
        <w:spacing w:after="120"/>
        <w:ind w:left="2268" w:right="1134" w:hanging="1134"/>
        <w:jc w:val="both"/>
      </w:pPr>
      <w:r w:rsidRPr="001233BD">
        <w:rPr>
          <w:lang w:val="fr-FR"/>
        </w:rPr>
        <w:t>«</w:t>
      </w:r>
      <w:r>
        <w:rPr>
          <w:lang w:val="fr-FR"/>
        </w:rPr>
        <w:t> </w:t>
      </w:r>
      <w:r w:rsidRPr="001233BD">
        <w:rPr>
          <w:lang w:val="fr-FR"/>
        </w:rPr>
        <w:t>4.4.2.2</w:t>
      </w:r>
      <w:r w:rsidRPr="001233BD">
        <w:rPr>
          <w:lang w:val="fr-FR"/>
        </w:rPr>
        <w:tab/>
        <w:t>Des échantillons de carburant sont prélevés. »</w:t>
      </w:r>
    </w:p>
    <w:p w14:paraId="704F3154" w14:textId="77777777" w:rsidR="003151DB" w:rsidRPr="001233BD" w:rsidRDefault="003151DB" w:rsidP="003151DB">
      <w:pPr>
        <w:pStyle w:val="SingleTxtG"/>
        <w:keepNext/>
        <w:rPr>
          <w:i/>
        </w:rPr>
      </w:pPr>
      <w:r w:rsidRPr="001233BD">
        <w:rPr>
          <w:i/>
          <w:iCs/>
          <w:lang w:val="fr-FR"/>
        </w:rPr>
        <w:t>Annexe</w:t>
      </w:r>
      <w:r w:rsidR="00DC0FD3">
        <w:rPr>
          <w:i/>
          <w:iCs/>
          <w:lang w:val="fr-FR"/>
        </w:rPr>
        <w:t> </w:t>
      </w:r>
      <w:r w:rsidRPr="001233BD">
        <w:rPr>
          <w:i/>
          <w:iCs/>
          <w:lang w:val="fr-FR"/>
        </w:rPr>
        <w:t>8</w:t>
      </w:r>
    </w:p>
    <w:p w14:paraId="29246512" w14:textId="77777777" w:rsidR="003151DB" w:rsidRPr="001233BD" w:rsidRDefault="003151DB" w:rsidP="003151DB">
      <w:pPr>
        <w:pStyle w:val="SingleTxtG"/>
        <w:rPr>
          <w:i/>
        </w:rPr>
      </w:pPr>
      <w:r w:rsidRPr="001233BD">
        <w:rPr>
          <w:i/>
          <w:iCs/>
          <w:lang w:val="fr-FR"/>
        </w:rPr>
        <w:t>Appendice</w:t>
      </w:r>
      <w:r w:rsidR="00DC0FD3">
        <w:rPr>
          <w:i/>
          <w:iCs/>
          <w:lang w:val="fr-FR"/>
        </w:rPr>
        <w:t> </w:t>
      </w:r>
      <w:r w:rsidRPr="001233BD">
        <w:rPr>
          <w:i/>
          <w:iCs/>
          <w:lang w:val="fr-FR"/>
        </w:rPr>
        <w:t>1</w:t>
      </w:r>
      <w:r w:rsidRPr="001233BD">
        <w:rPr>
          <w:lang w:val="fr-FR"/>
        </w:rPr>
        <w:t>,</w:t>
      </w:r>
    </w:p>
    <w:p w14:paraId="74461943" w14:textId="77777777" w:rsidR="003151DB" w:rsidRPr="001233BD" w:rsidRDefault="003151DB" w:rsidP="003151DB">
      <w:pPr>
        <w:pStyle w:val="SingleTxtG"/>
        <w:keepNext/>
      </w:pPr>
      <w:r w:rsidRPr="001233BD">
        <w:rPr>
          <w:i/>
          <w:iCs/>
          <w:lang w:val="fr-FR"/>
        </w:rPr>
        <w:t>Ajouter un nouveau paragraphe</w:t>
      </w:r>
      <w:r>
        <w:rPr>
          <w:i/>
          <w:iCs/>
          <w:lang w:val="fr-FR"/>
        </w:rPr>
        <w:t> </w:t>
      </w:r>
      <w:r w:rsidRPr="001233BD">
        <w:rPr>
          <w:i/>
          <w:iCs/>
          <w:lang w:val="fr-FR"/>
        </w:rPr>
        <w:t>A.1.4.2.1.1</w:t>
      </w:r>
      <w:r>
        <w:rPr>
          <w:lang w:val="fr-FR"/>
        </w:rPr>
        <w:t>, libellé comme suit </w:t>
      </w:r>
      <w:r w:rsidRPr="001233BD">
        <w:rPr>
          <w:lang w:val="fr-FR"/>
        </w:rPr>
        <w:t>:</w:t>
      </w:r>
    </w:p>
    <w:p w14:paraId="4044023F" w14:textId="77777777" w:rsidR="003151DB" w:rsidRPr="001233BD" w:rsidRDefault="003151DB" w:rsidP="003151DB">
      <w:pPr>
        <w:keepNext/>
        <w:kinsoku/>
        <w:overflowPunct/>
        <w:autoSpaceDE/>
        <w:autoSpaceDN/>
        <w:adjustRightInd/>
        <w:snapToGrid/>
        <w:spacing w:after="120"/>
        <w:ind w:left="2268" w:right="1134" w:hanging="1134"/>
        <w:jc w:val="both"/>
        <w:rPr>
          <w:noProof/>
          <w:kern w:val="32"/>
        </w:rPr>
      </w:pPr>
      <w:r w:rsidRPr="001233BD">
        <w:rPr>
          <w:lang w:val="fr-FR"/>
        </w:rPr>
        <w:t>«</w:t>
      </w:r>
      <w:r>
        <w:rPr>
          <w:lang w:val="fr-FR"/>
        </w:rPr>
        <w:t> </w:t>
      </w:r>
      <w:r w:rsidRPr="001233BD">
        <w:rPr>
          <w:lang w:val="fr-FR"/>
        </w:rPr>
        <w:t>A.1.4.2.1.1</w:t>
      </w:r>
      <w:r w:rsidRPr="001233BD">
        <w:rPr>
          <w:lang w:val="fr-FR"/>
        </w:rPr>
        <w:tab/>
        <w:t>Calcul des émissions spécifiques pour un carburant commercial déclaré</w:t>
      </w:r>
    </w:p>
    <w:p w14:paraId="0C16FBBD" w14:textId="77777777" w:rsidR="003151DB" w:rsidRPr="001233BD" w:rsidRDefault="003151DB" w:rsidP="003151DB">
      <w:pPr>
        <w:pStyle w:val="SingleTxtG"/>
        <w:ind w:left="2268"/>
        <w:rPr>
          <w:noProof/>
        </w:rPr>
      </w:pPr>
      <w:r w:rsidRPr="001233BD">
        <w:rPr>
          <w:lang w:val="fr-FR"/>
        </w:rPr>
        <w:tab/>
        <w:t>Si, dans le contexte de la présente annexe, un essai a été réalisé avec un carburant commercial déclaré conformément au point</w:t>
      </w:r>
      <w:r>
        <w:rPr>
          <w:lang w:val="fr-FR"/>
        </w:rPr>
        <w:t> </w:t>
      </w:r>
      <w:r w:rsidRPr="001233BD">
        <w:rPr>
          <w:lang w:val="fr-FR"/>
        </w:rPr>
        <w:t>3.2.2.2.1 de la première partie de l’annexe</w:t>
      </w:r>
      <w:r>
        <w:rPr>
          <w:lang w:val="fr-FR"/>
        </w:rPr>
        <w:t> </w:t>
      </w:r>
      <w:r w:rsidRPr="001233BD">
        <w:rPr>
          <w:lang w:val="fr-FR"/>
        </w:rPr>
        <w:t>1 du présent Règlement et si un facteur de correction de la puissance, conformément au point</w:t>
      </w:r>
      <w:r>
        <w:rPr>
          <w:lang w:val="fr-FR"/>
        </w:rPr>
        <w:t> </w:t>
      </w:r>
      <w:r w:rsidRPr="001233BD">
        <w:rPr>
          <w:lang w:val="fr-FR"/>
        </w:rPr>
        <w:t>3.2.2.2.2 de la première partie de l’annexe</w:t>
      </w:r>
      <w:r>
        <w:rPr>
          <w:lang w:val="fr-FR"/>
        </w:rPr>
        <w:t> </w:t>
      </w:r>
      <w:r w:rsidRPr="001233BD">
        <w:rPr>
          <w:lang w:val="fr-FR"/>
        </w:rPr>
        <w:t>1 du même Règlement, a été spécifié pour le carburant utilisé aux fins de l’essai, les émissions spécifiques e</w:t>
      </w:r>
      <w:r w:rsidRPr="001233BD">
        <w:rPr>
          <w:vertAlign w:val="subscript"/>
          <w:lang w:val="fr-FR"/>
        </w:rPr>
        <w:t>gas</w:t>
      </w:r>
      <w:r w:rsidRPr="001233BD">
        <w:rPr>
          <w:lang w:val="fr-FR"/>
        </w:rPr>
        <w:t xml:space="preserve"> (mg/kWh) doivent être calculées pour chaque fenêtre et chaque polluant en multipliant chaque émission spécifique par le facteur de correction de la puissance déclaré. »</w:t>
      </w:r>
    </w:p>
    <w:p w14:paraId="68C434C2" w14:textId="77777777" w:rsidR="003151DB" w:rsidRPr="001233BD" w:rsidRDefault="003151DB" w:rsidP="003151DB">
      <w:pPr>
        <w:pStyle w:val="SingleTxtG"/>
        <w:rPr>
          <w:i/>
        </w:rPr>
      </w:pPr>
      <w:r w:rsidRPr="001233BD">
        <w:rPr>
          <w:i/>
          <w:iCs/>
          <w:lang w:val="fr-FR"/>
        </w:rPr>
        <w:t>Appendice</w:t>
      </w:r>
      <w:r w:rsidR="00DC0FD3">
        <w:rPr>
          <w:i/>
          <w:iCs/>
          <w:lang w:val="fr-FR"/>
        </w:rPr>
        <w:t> </w:t>
      </w:r>
      <w:r w:rsidRPr="001233BD">
        <w:rPr>
          <w:i/>
          <w:iCs/>
          <w:lang w:val="fr-FR"/>
        </w:rPr>
        <w:t>4</w:t>
      </w:r>
      <w:r w:rsidRPr="001233BD">
        <w:rPr>
          <w:lang w:val="fr-FR"/>
        </w:rPr>
        <w:t>,</w:t>
      </w:r>
    </w:p>
    <w:p w14:paraId="4A28F208" w14:textId="77777777" w:rsidR="003151DB" w:rsidRPr="001233BD" w:rsidRDefault="003151DB" w:rsidP="003151DB">
      <w:pPr>
        <w:pStyle w:val="SingleTxtG"/>
        <w:keepNext/>
      </w:pPr>
      <w:r w:rsidRPr="001233BD">
        <w:rPr>
          <w:i/>
          <w:iCs/>
          <w:lang w:val="fr-FR"/>
        </w:rPr>
        <w:t>Ajouter un nouveau paragraphe A.4.2.1.1</w:t>
      </w:r>
      <w:r>
        <w:rPr>
          <w:lang w:val="fr-FR"/>
        </w:rPr>
        <w:t>, libellé comme suit </w:t>
      </w:r>
      <w:r w:rsidRPr="001233BD">
        <w:rPr>
          <w:lang w:val="fr-FR"/>
        </w:rPr>
        <w:t>:</w:t>
      </w:r>
    </w:p>
    <w:p w14:paraId="1FDA0AE7" w14:textId="77777777" w:rsidR="003151DB" w:rsidRPr="001233BD" w:rsidRDefault="003151DB" w:rsidP="003151DB">
      <w:pPr>
        <w:keepNext/>
        <w:kinsoku/>
        <w:overflowPunct/>
        <w:autoSpaceDE/>
        <w:autoSpaceDN/>
        <w:adjustRightInd/>
        <w:snapToGrid/>
        <w:spacing w:after="120"/>
        <w:ind w:left="2268" w:right="1134" w:hanging="1134"/>
        <w:jc w:val="both"/>
      </w:pPr>
      <w:r>
        <w:rPr>
          <w:lang w:val="fr-FR"/>
        </w:rPr>
        <w:t>« </w:t>
      </w:r>
      <w:r w:rsidRPr="001233BD">
        <w:rPr>
          <w:lang w:val="fr-FR"/>
        </w:rPr>
        <w:t>A.4.2.1.1</w:t>
      </w:r>
      <w:r w:rsidRPr="001233BD">
        <w:rPr>
          <w:lang w:val="fr-FR"/>
        </w:rPr>
        <w:tab/>
        <w:t>Si un carburant commercial, déclaré conformément au point 3.2.2.2.1 de la première partie de l’annexe</w:t>
      </w:r>
      <w:r>
        <w:rPr>
          <w:lang w:val="fr-FR"/>
        </w:rPr>
        <w:t> </w:t>
      </w:r>
      <w:r w:rsidRPr="001233BD">
        <w:rPr>
          <w:lang w:val="fr-FR"/>
        </w:rPr>
        <w:t>1 du présent Règlement, est utilisé et si un facteur de correction de la p</w:t>
      </w:r>
      <w:r>
        <w:rPr>
          <w:lang w:val="fr-FR"/>
        </w:rPr>
        <w:t>uissance, conformément au point </w:t>
      </w:r>
      <w:r w:rsidRPr="001233BD">
        <w:rPr>
          <w:lang w:val="fr-FR"/>
        </w:rPr>
        <w:t>3.2.2.2.2 de la première partie de l’annexe</w:t>
      </w:r>
      <w:r>
        <w:rPr>
          <w:lang w:val="fr-FR"/>
        </w:rPr>
        <w:t> </w:t>
      </w:r>
      <w:r w:rsidRPr="001233BD">
        <w:rPr>
          <w:lang w:val="fr-FR"/>
        </w:rPr>
        <w:t>1 du même Règlement, a été spécifié pour ledit carburant utilisé aux fins de l’essai, le signal de couple du module de gestion électronique doit être multiplié par le facteur de correction inversé avant d’être comparé à la courbe de couple maximal de référence obtenue avec le carburant visé.</w:t>
      </w:r>
      <w:r>
        <w:rPr>
          <w:lang w:val="fr-FR"/>
        </w:rPr>
        <w:t> »</w:t>
      </w:r>
    </w:p>
    <w:p w14:paraId="0AE10C46" w14:textId="77777777" w:rsidR="005F0207" w:rsidRPr="003151DB" w:rsidRDefault="003151DB" w:rsidP="003151DB">
      <w:pPr>
        <w:pStyle w:val="SingleTxtG"/>
        <w:spacing w:before="240" w:after="0"/>
        <w:jc w:val="center"/>
        <w:rPr>
          <w:u w:val="single"/>
        </w:rPr>
      </w:pPr>
      <w:r>
        <w:rPr>
          <w:u w:val="single"/>
        </w:rPr>
        <w:tab/>
      </w:r>
      <w:r>
        <w:rPr>
          <w:u w:val="single"/>
        </w:rPr>
        <w:tab/>
      </w:r>
      <w:r>
        <w:rPr>
          <w:u w:val="single"/>
        </w:rPr>
        <w:tab/>
      </w:r>
    </w:p>
    <w:sectPr w:rsidR="005F0207" w:rsidRPr="003151DB" w:rsidSect="003151DB">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F193A" w14:textId="77777777" w:rsidR="001D7479" w:rsidRDefault="001D7479"/>
  </w:endnote>
  <w:endnote w:type="continuationSeparator" w:id="0">
    <w:p w14:paraId="202F6345" w14:textId="77777777" w:rsidR="001D7479" w:rsidRDefault="001D7479">
      <w:pPr>
        <w:pStyle w:val="Footer"/>
      </w:pPr>
    </w:p>
  </w:endnote>
  <w:endnote w:type="continuationNotice" w:id="1">
    <w:p w14:paraId="012D4AC9" w14:textId="77777777" w:rsidR="001D7479" w:rsidRPr="00C451B9" w:rsidRDefault="001D7479"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8A44E" w14:textId="77777777" w:rsidR="003151DB" w:rsidRPr="003151DB" w:rsidRDefault="003151DB" w:rsidP="003151DB">
    <w:pPr>
      <w:pStyle w:val="Footer"/>
      <w:tabs>
        <w:tab w:val="right" w:pos="9638"/>
      </w:tabs>
    </w:pPr>
    <w:r w:rsidRPr="003151DB">
      <w:rPr>
        <w:b/>
        <w:sz w:val="18"/>
      </w:rPr>
      <w:fldChar w:fldCharType="begin"/>
    </w:r>
    <w:r w:rsidRPr="003151DB">
      <w:rPr>
        <w:b/>
        <w:sz w:val="18"/>
      </w:rPr>
      <w:instrText xml:space="preserve"> PAGE  \* MERGEFORMAT </w:instrText>
    </w:r>
    <w:r w:rsidRPr="003151DB">
      <w:rPr>
        <w:b/>
        <w:sz w:val="18"/>
      </w:rPr>
      <w:fldChar w:fldCharType="separate"/>
    </w:r>
    <w:r w:rsidRPr="003151DB">
      <w:rPr>
        <w:b/>
        <w:noProof/>
        <w:sz w:val="18"/>
      </w:rPr>
      <w:t>2</w:t>
    </w:r>
    <w:r w:rsidRPr="003151DB">
      <w:rPr>
        <w:b/>
        <w:sz w:val="18"/>
      </w:rPr>
      <w:fldChar w:fldCharType="end"/>
    </w:r>
    <w:r>
      <w:rPr>
        <w:b/>
        <w:sz w:val="18"/>
      </w:rPr>
      <w:tab/>
    </w:r>
    <w:r>
      <w:t>GE.19-00735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D983" w14:textId="77777777" w:rsidR="003151DB" w:rsidRPr="003151DB" w:rsidRDefault="003151DB" w:rsidP="003151DB">
    <w:pPr>
      <w:pStyle w:val="Footer"/>
      <w:tabs>
        <w:tab w:val="right" w:pos="9638"/>
      </w:tabs>
      <w:rPr>
        <w:b/>
        <w:sz w:val="18"/>
      </w:rPr>
    </w:pPr>
    <w:r>
      <w:t>GE.19-00735</w:t>
    </w:r>
    <w:r>
      <w:tab/>
    </w:r>
    <w:r w:rsidRPr="003151DB">
      <w:rPr>
        <w:b/>
        <w:sz w:val="18"/>
      </w:rPr>
      <w:fldChar w:fldCharType="begin"/>
    </w:r>
    <w:r w:rsidRPr="003151DB">
      <w:rPr>
        <w:b/>
        <w:sz w:val="18"/>
      </w:rPr>
      <w:instrText xml:space="preserve"> PAGE  \* MERGEFORMAT </w:instrText>
    </w:r>
    <w:r w:rsidRPr="003151DB">
      <w:rPr>
        <w:b/>
        <w:sz w:val="18"/>
      </w:rPr>
      <w:fldChar w:fldCharType="separate"/>
    </w:r>
    <w:r w:rsidRPr="003151DB">
      <w:rPr>
        <w:b/>
        <w:noProof/>
        <w:sz w:val="18"/>
      </w:rPr>
      <w:t>3</w:t>
    </w:r>
    <w:r w:rsidRPr="003151D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8501" w14:textId="77777777" w:rsidR="00467F2C" w:rsidRPr="003151DB" w:rsidRDefault="003151DB" w:rsidP="003151DB">
    <w:pPr>
      <w:pStyle w:val="Footer"/>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71EF4678" wp14:editId="036F4D2D">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00735  (</w:t>
    </w:r>
    <w:proofErr w:type="gramEnd"/>
    <w:r>
      <w:rPr>
        <w:sz w:val="20"/>
      </w:rPr>
      <w:t>F)    280319    100419</w:t>
    </w:r>
    <w:r>
      <w:rPr>
        <w:sz w:val="20"/>
      </w:rPr>
      <w:br/>
    </w:r>
    <w:r w:rsidRPr="003151DB">
      <w:rPr>
        <w:rFonts w:ascii="C39T30Lfz" w:hAnsi="C39T30Lfz"/>
        <w:sz w:val="56"/>
      </w:rPr>
      <w:t></w:t>
    </w:r>
    <w:r w:rsidRPr="003151DB">
      <w:rPr>
        <w:rFonts w:ascii="C39T30Lfz" w:hAnsi="C39T30Lfz"/>
        <w:sz w:val="56"/>
      </w:rPr>
      <w:t></w:t>
    </w:r>
    <w:r w:rsidRPr="003151DB">
      <w:rPr>
        <w:rFonts w:ascii="C39T30Lfz" w:hAnsi="C39T30Lfz"/>
        <w:sz w:val="56"/>
      </w:rPr>
      <w:t></w:t>
    </w:r>
    <w:r w:rsidRPr="003151DB">
      <w:rPr>
        <w:rFonts w:ascii="C39T30Lfz" w:hAnsi="C39T30Lfz"/>
        <w:sz w:val="56"/>
      </w:rPr>
      <w:t></w:t>
    </w:r>
    <w:r w:rsidRPr="003151DB">
      <w:rPr>
        <w:rFonts w:ascii="C39T30Lfz" w:hAnsi="C39T30Lfz"/>
        <w:sz w:val="56"/>
      </w:rPr>
      <w:t></w:t>
    </w:r>
    <w:r w:rsidRPr="003151DB">
      <w:rPr>
        <w:rFonts w:ascii="C39T30Lfz" w:hAnsi="C39T30Lfz"/>
        <w:sz w:val="56"/>
      </w:rPr>
      <w:t></w:t>
    </w:r>
    <w:r w:rsidRPr="003151DB">
      <w:rPr>
        <w:rFonts w:ascii="C39T30Lfz" w:hAnsi="C39T30Lfz"/>
        <w:sz w:val="56"/>
      </w:rPr>
      <w:t></w:t>
    </w:r>
    <w:r w:rsidRPr="003151DB">
      <w:rPr>
        <w:rFonts w:ascii="C39T30Lfz" w:hAnsi="C39T30Lfz"/>
        <w:sz w:val="56"/>
      </w:rPr>
      <w:t></w:t>
    </w:r>
    <w:r w:rsidRPr="003151DB">
      <w:rPr>
        <w:rFonts w:ascii="C39T30Lfz" w:hAnsi="C39T30Lfz"/>
        <w:sz w:val="56"/>
      </w:rPr>
      <w:t></w:t>
    </w:r>
    <w:r>
      <w:rPr>
        <w:noProof/>
        <w:sz w:val="20"/>
      </w:rPr>
      <w:drawing>
        <wp:anchor distT="0" distB="0" distL="114300" distR="114300" simplePos="0" relativeHeight="251658240" behindDoc="1" locked="0" layoutInCell="1" allowOverlap="1" wp14:anchorId="5FF07A42" wp14:editId="278F17AF">
          <wp:simplePos x="0" y="0"/>
          <wp:positionH relativeFrom="margin">
            <wp:posOffset>5489575</wp:posOffset>
          </wp:positionH>
          <wp:positionV relativeFrom="margin">
            <wp:posOffset>8891905</wp:posOffset>
          </wp:positionV>
          <wp:extent cx="638175" cy="638175"/>
          <wp:effectExtent l="0" t="0" r="9525" b="9525"/>
          <wp:wrapThrough wrapText="bothSides">
            <wp:wrapPolygon edited="0">
              <wp:start x="0" y="0"/>
              <wp:lineTo x="0" y="21278"/>
              <wp:lineTo x="21278" y="21278"/>
              <wp:lineTo x="21278" y="0"/>
              <wp:lineTo x="0" y="0"/>
            </wp:wrapPolygon>
          </wp:wrapThrough>
          <wp:docPr id="1" name="Image 1" descr="https://undocs.org/m2/QRCode.ashx?DS=E/ECE/324/Rev.1/Add.48/Rev.6/Amend.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8/Rev.6/Amend.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2D588" w14:textId="77777777" w:rsidR="001D7479" w:rsidRPr="00D27D5E" w:rsidRDefault="001D7479" w:rsidP="00D27D5E">
      <w:pPr>
        <w:tabs>
          <w:tab w:val="right" w:pos="2155"/>
        </w:tabs>
        <w:spacing w:after="80"/>
        <w:ind w:left="680"/>
        <w:rPr>
          <w:u w:val="single"/>
        </w:rPr>
      </w:pPr>
      <w:r>
        <w:rPr>
          <w:u w:val="single"/>
        </w:rPr>
        <w:tab/>
      </w:r>
    </w:p>
  </w:footnote>
  <w:footnote w:type="continuationSeparator" w:id="0">
    <w:p w14:paraId="133B6098" w14:textId="77777777" w:rsidR="001D7479" w:rsidRPr="00D171D4" w:rsidRDefault="001D7479" w:rsidP="00D171D4">
      <w:pPr>
        <w:tabs>
          <w:tab w:val="right" w:pos="2155"/>
        </w:tabs>
        <w:spacing w:after="80"/>
        <w:ind w:left="680"/>
        <w:rPr>
          <w:u w:val="single"/>
        </w:rPr>
      </w:pPr>
      <w:r w:rsidRPr="00D171D4">
        <w:rPr>
          <w:u w:val="single"/>
        </w:rPr>
        <w:tab/>
      </w:r>
    </w:p>
  </w:footnote>
  <w:footnote w:type="continuationNotice" w:id="1">
    <w:p w14:paraId="4CDE56BB" w14:textId="77777777" w:rsidR="001D7479" w:rsidRPr="00C451B9" w:rsidRDefault="001D7479" w:rsidP="00C451B9">
      <w:pPr>
        <w:spacing w:line="240" w:lineRule="auto"/>
        <w:rPr>
          <w:sz w:val="2"/>
          <w:szCs w:val="2"/>
        </w:rPr>
      </w:pPr>
    </w:p>
  </w:footnote>
  <w:footnote w:id="2">
    <w:p w14:paraId="378C6905" w14:textId="77777777" w:rsidR="003151DB" w:rsidRDefault="003151DB" w:rsidP="003151DB">
      <w:pPr>
        <w:pStyle w:val="FootnoteText"/>
      </w:pPr>
      <w:r>
        <w:tab/>
      </w:r>
      <w:r>
        <w:rPr>
          <w:rStyle w:val="FootnoteReference"/>
          <w:sz w:val="20"/>
        </w:rPr>
        <w:t>*</w:t>
      </w:r>
      <w:r>
        <w:rPr>
          <w:sz w:val="20"/>
        </w:rPr>
        <w:tab/>
      </w:r>
      <w:r w:rsidRPr="006133D3">
        <w:t>Anciens titres de l’Accord</w:t>
      </w:r>
      <w:r>
        <w:t> :</w:t>
      </w:r>
      <w:r w:rsidRPr="006133D3">
        <w:t xml:space="preserve"> </w:t>
      </w:r>
    </w:p>
    <w:p w14:paraId="20A5B37E" w14:textId="77777777" w:rsidR="003151DB" w:rsidRPr="00E53330" w:rsidRDefault="003151DB" w:rsidP="003151DB">
      <w:pPr>
        <w:pStyle w:val="FootnoteText"/>
      </w:pPr>
      <w:r>
        <w:tab/>
      </w:r>
      <w:r>
        <w:tab/>
      </w:r>
      <w:r w:rsidRPr="006133D3">
        <w:t>Accord concernant l’adoption de conditions uniformes d’homologation et la reconnaissance réciproque de l’homologation des équipements et pièces de véhicules à moteur, en date, à Genève, du 20 mars 1958 (version originale).</w:t>
      </w:r>
      <w:r>
        <w:br/>
      </w:r>
      <w:r w:rsidRPr="006133D3">
        <w:t>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w:t>
      </w:r>
      <w:r>
        <w:t> </w:t>
      </w:r>
      <w:r w:rsidRPr="006133D3">
        <w:t>octobre 1995 (Révision</w:t>
      </w:r>
      <w:r>
        <w:t> </w:t>
      </w:r>
      <w:r w:rsidRPr="006133D3">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73B8" w14:textId="481B78B6" w:rsidR="003151DB" w:rsidRPr="003151DB" w:rsidRDefault="003151DB">
    <w:pPr>
      <w:pStyle w:val="Header"/>
      <w:rPr>
        <w:lang w:val="en-US"/>
      </w:rPr>
    </w:pPr>
    <w:r>
      <w:fldChar w:fldCharType="begin"/>
    </w:r>
    <w:r w:rsidRPr="003151DB">
      <w:rPr>
        <w:lang w:val="en-US"/>
      </w:rPr>
      <w:instrText xml:space="preserve"> TITLE  \* MERGEFORMAT </w:instrText>
    </w:r>
    <w:r>
      <w:fldChar w:fldCharType="separate"/>
    </w:r>
    <w:r w:rsidR="004F3B82">
      <w:rPr>
        <w:lang w:val="en-US"/>
      </w:rPr>
      <w:t>E/ECE/324/Rev.1/Add.48/Rev.6/Amend.6</w:t>
    </w:r>
    <w:r>
      <w:fldChar w:fldCharType="end"/>
    </w:r>
    <w:r w:rsidRPr="003151DB">
      <w:rPr>
        <w:lang w:val="en-US"/>
      </w:rPr>
      <w:br/>
    </w:r>
    <w:r>
      <w:fldChar w:fldCharType="begin"/>
    </w:r>
    <w:r w:rsidRPr="003151DB">
      <w:rPr>
        <w:lang w:val="en-US"/>
      </w:rPr>
      <w:instrText xml:space="preserve"> KEYWORDS  \* MERGEFORMAT </w:instrText>
    </w:r>
    <w:r>
      <w:fldChar w:fldCharType="separate"/>
    </w:r>
    <w:r w:rsidR="004F3B82">
      <w:rPr>
        <w:lang w:val="en-US"/>
      </w:rPr>
      <w:t>E/ECE/TRANS/505/Rev.1/Add.48/Rev.6/Amend.6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B361C" w14:textId="6307C9FC" w:rsidR="003151DB" w:rsidRPr="003151DB" w:rsidRDefault="003151DB" w:rsidP="003151DB">
    <w:pPr>
      <w:pStyle w:val="Header"/>
      <w:jc w:val="right"/>
      <w:rPr>
        <w:lang w:val="en-US"/>
      </w:rPr>
    </w:pPr>
    <w:r>
      <w:fldChar w:fldCharType="begin"/>
    </w:r>
    <w:r w:rsidRPr="003151DB">
      <w:rPr>
        <w:lang w:val="en-US"/>
      </w:rPr>
      <w:instrText xml:space="preserve"> TITLE  \* MERGEFORMAT </w:instrText>
    </w:r>
    <w:r>
      <w:fldChar w:fldCharType="separate"/>
    </w:r>
    <w:r w:rsidR="004F3B82">
      <w:rPr>
        <w:lang w:val="en-US"/>
      </w:rPr>
      <w:t>E/ECE/324/Rev.1/Add.48/Rev.6/Amend.6</w:t>
    </w:r>
    <w:r>
      <w:fldChar w:fldCharType="end"/>
    </w:r>
    <w:r w:rsidRPr="003151DB">
      <w:rPr>
        <w:lang w:val="en-US"/>
      </w:rPr>
      <w:br/>
    </w:r>
    <w:r>
      <w:fldChar w:fldCharType="begin"/>
    </w:r>
    <w:r w:rsidRPr="003151DB">
      <w:rPr>
        <w:lang w:val="en-US"/>
      </w:rPr>
      <w:instrText xml:space="preserve"> KEYWORDS  \* MERGEFORMAT </w:instrText>
    </w:r>
    <w:r>
      <w:fldChar w:fldCharType="separate"/>
    </w:r>
    <w:r w:rsidR="004F3B82">
      <w:rPr>
        <w:lang w:val="en-US"/>
      </w:rPr>
      <w:t>E/ECE/TRANS/505/Rev.1/Add.48/Rev.6/Amend.6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79"/>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9474E"/>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479"/>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03AC"/>
    <w:rsid w:val="002D25CA"/>
    <w:rsid w:val="002D3DA4"/>
    <w:rsid w:val="002E2F5C"/>
    <w:rsid w:val="002F0C48"/>
    <w:rsid w:val="003016B7"/>
    <w:rsid w:val="0030754C"/>
    <w:rsid w:val="003151DB"/>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4F3B82"/>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E67D5"/>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C542E"/>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0FD3"/>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F7527D5"/>
  <w15:docId w15:val="{D841A307-4EC6-4255-971C-4CDFC743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0A7B-A3DA-44FB-9EB3-203CBF37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1389</Words>
  <Characters>7920</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E/ECE/324/Rev.1/Add.48/Rev.6/Amend.6</vt:lpstr>
      <vt:lpstr>E/ECE/324/Rev.1/Add.48/Rev.6/Amend.6</vt:lpstr>
    </vt:vector>
  </TitlesOfParts>
  <Company>CSD</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E/ECE/324/Rev.1/Add.48/Rev.6/Amend.6</dc:title>
  <dc:creator>Edith BOURION</dc:creator>
  <cp:keywords>E/ECE/TRANS/505/Rev.1/Add.48/Rev.6/Amend.6</cp:keywords>
  <cp:lastModifiedBy>Marie-Claude Collet</cp:lastModifiedBy>
  <cp:revision>3</cp:revision>
  <cp:lastPrinted>2019-04-23T17:26:00Z</cp:lastPrinted>
  <dcterms:created xsi:type="dcterms:W3CDTF">2019-04-23T17:26:00Z</dcterms:created>
  <dcterms:modified xsi:type="dcterms:W3CDTF">2019-04-23T17:26:00Z</dcterms:modified>
</cp:coreProperties>
</file>