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35938" w:rsidTr="00F837F0">
        <w:trPr>
          <w:trHeight w:hRule="exact" w:val="851"/>
        </w:trPr>
        <w:tc>
          <w:tcPr>
            <w:tcW w:w="9639" w:type="dxa"/>
            <w:gridSpan w:val="2"/>
            <w:tcBorders>
              <w:bottom w:val="single" w:sz="4" w:space="0" w:color="auto"/>
            </w:tcBorders>
            <w:shd w:val="clear" w:color="auto" w:fill="auto"/>
            <w:vAlign w:val="bottom"/>
          </w:tcPr>
          <w:p w:rsidR="000E1670" w:rsidRPr="00235938" w:rsidRDefault="000E1670" w:rsidP="000E1670">
            <w:pPr>
              <w:jc w:val="right"/>
              <w:rPr>
                <w:lang w:val="en-GB"/>
              </w:rPr>
            </w:pPr>
            <w:bookmarkStart w:id="0" w:name="_GoBack"/>
            <w:bookmarkEnd w:id="0"/>
            <w:r w:rsidRPr="00235938">
              <w:rPr>
                <w:sz w:val="40"/>
                <w:lang w:val="en-GB"/>
              </w:rPr>
              <w:t>E</w:t>
            </w:r>
            <w:r w:rsidRPr="00235938">
              <w:rPr>
                <w:lang w:val="en-GB"/>
              </w:rPr>
              <w:t>/ECE/324/Rev.1/Add.47/Rev.10/Amend.3−</w:t>
            </w:r>
            <w:r w:rsidRPr="00235938">
              <w:rPr>
                <w:sz w:val="40"/>
                <w:lang w:val="en-GB"/>
              </w:rPr>
              <w:t>E</w:t>
            </w:r>
            <w:r w:rsidRPr="00235938">
              <w:rPr>
                <w:lang w:val="en-GB"/>
              </w:rPr>
              <w:t>/ECE/TRANS/505/Rev.1/Add.47/Rev.10/Amend.3</w:t>
            </w:r>
          </w:p>
        </w:tc>
      </w:tr>
      <w:tr w:rsidR="00421A10" w:rsidRPr="00DB58B5" w:rsidTr="00F837F0">
        <w:trPr>
          <w:trHeight w:hRule="exact" w:val="2835"/>
        </w:trPr>
        <w:tc>
          <w:tcPr>
            <w:tcW w:w="6804" w:type="dxa"/>
            <w:tcBorders>
              <w:top w:val="single" w:sz="4" w:space="0" w:color="auto"/>
              <w:bottom w:val="single" w:sz="12" w:space="0" w:color="auto"/>
            </w:tcBorders>
            <w:shd w:val="clear" w:color="auto" w:fill="auto"/>
          </w:tcPr>
          <w:p w:rsidR="00421A10" w:rsidRPr="00235938"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0E1670" w:rsidP="00457676">
            <w:pPr>
              <w:spacing w:before="480" w:line="240" w:lineRule="exact"/>
            </w:pPr>
            <w:r>
              <w:t>28 octobre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CF1B8F" w:rsidP="0029791D">
      <w:pPr>
        <w:pStyle w:val="SingleTxtG"/>
        <w:jc w:val="left"/>
        <w:rPr>
          <w:b/>
          <w:sz w:val="24"/>
          <w:szCs w:val="24"/>
        </w:rPr>
      </w:pPr>
      <w:r>
        <w:t>(Révision </w:t>
      </w:r>
      <w:r w:rsidR="000E1670">
        <w:t>2</w:t>
      </w:r>
      <w:r w:rsidR="00421A10" w:rsidRPr="006549FF">
        <w:t>, comprenant les amen</w:t>
      </w:r>
      <w:r>
        <w:t>dements entrés en vigueur le 16 </w:t>
      </w:r>
      <w:r w:rsidR="00421A10"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CF1B8F">
        <w:t>Additif </w:t>
      </w:r>
      <w:r w:rsidR="000E1670">
        <w:t>47 </w:t>
      </w:r>
      <w:r w:rsidR="00421A10" w:rsidRPr="006549FF">
        <w:t>: Règlement</w:t>
      </w:r>
      <w:r w:rsidR="00421A10">
        <w:t xml:space="preserve"> </w:t>
      </w:r>
      <w:r w:rsidR="00421A10" w:rsidRPr="00B371BF">
        <w:t>n</w:t>
      </w:r>
      <w:r w:rsidR="00421A10" w:rsidRPr="00B371BF">
        <w:rPr>
          <w:vertAlign w:val="superscript"/>
        </w:rPr>
        <w:t>o</w:t>
      </w:r>
      <w:r w:rsidR="00421A10">
        <w:t> </w:t>
      </w:r>
      <w:r w:rsidR="000E1670">
        <w:t>48</w:t>
      </w:r>
    </w:p>
    <w:p w:rsidR="00421A10" w:rsidRPr="006549FF" w:rsidRDefault="0029791D" w:rsidP="0029791D">
      <w:pPr>
        <w:pStyle w:val="H1G"/>
      </w:pPr>
      <w:r>
        <w:tab/>
      </w:r>
      <w:r>
        <w:tab/>
      </w:r>
      <w:r w:rsidR="00421A10" w:rsidRPr="006549FF">
        <w:t>Rév</w:t>
      </w:r>
      <w:r w:rsidR="000E1670">
        <w:t>ision </w:t>
      </w:r>
      <w:r w:rsidR="000E1670" w:rsidRPr="000E1670">
        <w:t xml:space="preserve">10 </w:t>
      </w:r>
      <w:r w:rsidR="000E1670">
        <w:t>– Amendement </w:t>
      </w:r>
      <w:r w:rsidR="000E1670" w:rsidRPr="000E1670">
        <w:t>3</w:t>
      </w:r>
    </w:p>
    <w:p w:rsidR="00421A10" w:rsidRPr="0029791D" w:rsidRDefault="00421A10" w:rsidP="000E1670">
      <w:pPr>
        <w:pStyle w:val="SingleTxtG"/>
        <w:spacing w:after="0"/>
      </w:pPr>
      <w:r w:rsidRPr="004A7E44">
        <w:t>Comprenant</w:t>
      </w:r>
      <w:r w:rsidR="000E1670">
        <w:t xml:space="preserve"> </w:t>
      </w:r>
      <w:r w:rsidR="000E1670" w:rsidRPr="000E1670">
        <w:t xml:space="preserve">16 à la série 04 d’amendements </w:t>
      </w:r>
      <w:r w:rsidR="000E1670">
        <w:t>–</w:t>
      </w:r>
      <w:r w:rsidR="000E1670" w:rsidRPr="000E1670">
        <w:t xml:space="preserve"> Date d’entrée en vigueur : 8 octobre 2016</w:t>
      </w:r>
    </w:p>
    <w:p w:rsidR="00421A10" w:rsidRDefault="0029791D" w:rsidP="0029791D">
      <w:pPr>
        <w:pStyle w:val="H1G"/>
      </w:pPr>
      <w:r>
        <w:lastRenderedPageBreak/>
        <w:tab/>
      </w:r>
      <w:r>
        <w:tab/>
      </w:r>
      <w:r w:rsidR="000E1670" w:rsidRPr="000E1670">
        <w:t xml:space="preserve">Prescriptions uniformes relatives à l’homologation des véhicules </w:t>
      </w:r>
      <w:r w:rsidR="00222CFF">
        <w:br/>
      </w:r>
      <w:r w:rsidR="000E1670" w:rsidRPr="000E1670">
        <w:t xml:space="preserve">en ce qui concerne l’installation des dispositifs d’éclairage et </w:t>
      </w:r>
      <w:r w:rsidR="00222CFF">
        <w:br/>
      </w:r>
      <w:r w:rsidR="000E1670" w:rsidRPr="000E1670">
        <w:t>de signalisation lumineuse</w:t>
      </w:r>
    </w:p>
    <w:p w:rsidR="000E1670" w:rsidRDefault="000E1670" w:rsidP="000E1670">
      <w:pPr>
        <w:pStyle w:val="SingleTxtG"/>
        <w:ind w:firstLine="567"/>
      </w:pPr>
      <w:r w:rsidRPr="000E1670">
        <w:t xml:space="preserve">Le présent document est communiqué uniquement à titre d’information. Le texte </w:t>
      </w:r>
      <w:r w:rsidRPr="00CF1B8F">
        <w:rPr>
          <w:spacing w:val="-3"/>
        </w:rPr>
        <w:t>authentique</w:t>
      </w:r>
      <w:r w:rsidRPr="000E1670">
        <w:t>, juridiquement contraignant, est celui du document ECE/TRANS/WP.29/</w:t>
      </w:r>
      <w:r w:rsidR="00CF1B8F">
        <w:br/>
      </w:r>
      <w:r w:rsidRPr="000E1670">
        <w:t>2016/20.</w:t>
      </w:r>
    </w:p>
    <w:p w:rsidR="000E1670" w:rsidRPr="000E1670" w:rsidRDefault="000E1670" w:rsidP="000E1670">
      <w:pPr>
        <w:pStyle w:val="SingleTxtG"/>
      </w:pPr>
      <w:r w:rsidRPr="000E1670">
        <w:rPr>
          <w:i/>
        </w:rPr>
        <w:t>Paragraphe 6.2.9</w:t>
      </w:r>
      <w:r w:rsidRPr="000E1670">
        <w:t>, lire</w:t>
      </w:r>
      <w:r>
        <w:t> </w:t>
      </w:r>
      <w:r w:rsidRPr="000E1670">
        <w:t>:</w:t>
      </w:r>
    </w:p>
    <w:p w:rsidR="000E1670" w:rsidRPr="000E1670" w:rsidRDefault="000E1670" w:rsidP="000E1670">
      <w:pPr>
        <w:pStyle w:val="SingleTxtG"/>
      </w:pPr>
      <w:r w:rsidRPr="000E1670">
        <w:t>« 6.2.9</w:t>
      </w:r>
      <w:r w:rsidRPr="000E1670">
        <w:tab/>
      </w:r>
      <w:r>
        <w:tab/>
      </w:r>
      <w:r w:rsidRPr="000E1670">
        <w:t>Autres prescriptions</w:t>
      </w:r>
    </w:p>
    <w:p w:rsidR="000E1670" w:rsidRPr="000E1670" w:rsidRDefault="000E1670" w:rsidP="000E1670">
      <w:pPr>
        <w:pStyle w:val="SingleTxtG"/>
        <w:ind w:left="2268" w:hanging="1134"/>
      </w:pPr>
      <w:r>
        <w:tab/>
        <w:t>Les prescriptions du paragraphe </w:t>
      </w:r>
      <w:r w:rsidRPr="000E1670">
        <w:t>5.5.2 ne sont pas applicables aux feux de croisement.</w:t>
      </w:r>
    </w:p>
    <w:p w:rsidR="000E1670" w:rsidRPr="000E1670" w:rsidRDefault="000E1670" w:rsidP="000E1670">
      <w:pPr>
        <w:pStyle w:val="SingleTxtG"/>
        <w:ind w:left="2268" w:hanging="1134"/>
      </w:pPr>
      <w:r>
        <w:tab/>
      </w:r>
      <w:r w:rsidRPr="000E1670">
        <w:t>Les feux de croisement munis d’une source lumineuse ou d’un ou de plusieurs modules DEL produisant le faisceau de croisement principal et ayant un flux lumineux objectif total supérieur à 2 000 lm ne peuvent être installés que si un ou plusieurs nettoie-projecteurs conformes au Règlement n</w:t>
      </w:r>
      <w:r w:rsidRPr="000E1670">
        <w:rPr>
          <w:vertAlign w:val="superscript"/>
        </w:rPr>
        <w:t>o</w:t>
      </w:r>
      <w:r w:rsidRPr="000E1670">
        <w:t> 45</w:t>
      </w:r>
      <w:r w:rsidRPr="000E1670">
        <w:rPr>
          <w:vertAlign w:val="superscript"/>
        </w:rPr>
        <w:t>11</w:t>
      </w:r>
      <w:r w:rsidRPr="000E1670">
        <w:t xml:space="preserve"> le sont également.</w:t>
      </w:r>
    </w:p>
    <w:p w:rsidR="000E1670" w:rsidRPr="000E1670" w:rsidRDefault="000E1670" w:rsidP="000E1670">
      <w:pPr>
        <w:pStyle w:val="SingleTxtG"/>
        <w:ind w:left="2268" w:hanging="1134"/>
      </w:pPr>
      <w:r>
        <w:tab/>
      </w:r>
      <w:r w:rsidRPr="000E1670">
        <w:t xml:space="preserve">En ce qui concerne l’inclinaison verticale, les dispositions du paragraphe 6.2.6.2.2 ne s’appliquent pas aux feux de croisement munis d’une source lumineuse ou d’un ou de plusieurs modules DEL produisant le faisceau de croisement principal et ayant un flux </w:t>
      </w:r>
      <w:r>
        <w:t>lumineux objectif supérieur à 2 </w:t>
      </w:r>
      <w:r w:rsidRPr="000E1670">
        <w:t>000</w:t>
      </w:r>
      <w:r>
        <w:t> </w:t>
      </w:r>
      <w:r w:rsidRPr="000E1670">
        <w:t>lm.</w:t>
      </w:r>
    </w:p>
    <w:p w:rsidR="000E1670" w:rsidRPr="000E1670" w:rsidRDefault="000E1670" w:rsidP="000E1670">
      <w:pPr>
        <w:pStyle w:val="SingleTxtG"/>
        <w:ind w:left="2268" w:hanging="1134"/>
      </w:pPr>
      <w:r>
        <w:tab/>
      </w:r>
      <w:r w:rsidRPr="000E1670">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rsidR="000E1670" w:rsidRPr="000E1670" w:rsidRDefault="000E1670" w:rsidP="000E1670">
      <w:pPr>
        <w:pStyle w:val="SingleTxtG"/>
        <w:ind w:left="2268" w:hanging="1134"/>
      </w:pPr>
      <w:r>
        <w:tab/>
      </w:r>
      <w:r w:rsidRPr="000E1670">
        <w:t>… »</w:t>
      </w:r>
      <w:r>
        <w:t>.</w:t>
      </w:r>
    </w:p>
    <w:p w:rsidR="005F0207" w:rsidRPr="000E1670" w:rsidRDefault="000E1670" w:rsidP="000E1670">
      <w:pPr>
        <w:pStyle w:val="SingleTxtG"/>
        <w:spacing w:before="240" w:after="0"/>
        <w:jc w:val="center"/>
        <w:rPr>
          <w:u w:val="single"/>
        </w:rPr>
      </w:pPr>
      <w:r>
        <w:rPr>
          <w:u w:val="single"/>
        </w:rPr>
        <w:tab/>
      </w:r>
      <w:r>
        <w:rPr>
          <w:u w:val="single"/>
        </w:rPr>
        <w:tab/>
      </w:r>
      <w:r>
        <w:rPr>
          <w:u w:val="single"/>
        </w:rPr>
        <w:tab/>
      </w:r>
    </w:p>
    <w:sectPr w:rsidR="005F0207" w:rsidRPr="000E1670" w:rsidSect="000E1670">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0F8" w:rsidRDefault="008210F8"/>
  </w:endnote>
  <w:endnote w:type="continuationSeparator" w:id="0">
    <w:p w:rsidR="008210F8" w:rsidRDefault="008210F8">
      <w:pPr>
        <w:pStyle w:val="Footer"/>
      </w:pPr>
    </w:p>
  </w:endnote>
  <w:endnote w:type="continuationNotice" w:id="1">
    <w:p w:rsidR="008210F8" w:rsidRPr="00C451B9" w:rsidRDefault="008210F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70" w:rsidRPr="000E1670" w:rsidRDefault="000E1670" w:rsidP="000E1670">
    <w:pPr>
      <w:pStyle w:val="Footer"/>
      <w:tabs>
        <w:tab w:val="right" w:pos="9638"/>
      </w:tabs>
    </w:pPr>
    <w:r w:rsidRPr="000E1670">
      <w:rPr>
        <w:b/>
        <w:sz w:val="18"/>
      </w:rPr>
      <w:fldChar w:fldCharType="begin"/>
    </w:r>
    <w:r w:rsidRPr="000E1670">
      <w:rPr>
        <w:b/>
        <w:sz w:val="18"/>
      </w:rPr>
      <w:instrText xml:space="preserve"> PAGE  \* MERGEFORMAT </w:instrText>
    </w:r>
    <w:r w:rsidRPr="000E1670">
      <w:rPr>
        <w:b/>
        <w:sz w:val="18"/>
      </w:rPr>
      <w:fldChar w:fldCharType="separate"/>
    </w:r>
    <w:r w:rsidR="0064635C">
      <w:rPr>
        <w:b/>
        <w:noProof/>
        <w:sz w:val="18"/>
      </w:rPr>
      <w:t>2</w:t>
    </w:r>
    <w:r w:rsidRPr="000E1670">
      <w:rPr>
        <w:b/>
        <w:sz w:val="18"/>
      </w:rPr>
      <w:fldChar w:fldCharType="end"/>
    </w:r>
    <w:r>
      <w:rPr>
        <w:b/>
        <w:sz w:val="18"/>
      </w:rPr>
      <w:tab/>
    </w:r>
    <w:r>
      <w:t>GE.16-17863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70" w:rsidRPr="000E1670" w:rsidRDefault="000E1670" w:rsidP="000E1670">
    <w:pPr>
      <w:pStyle w:val="Footer"/>
      <w:tabs>
        <w:tab w:val="right" w:pos="9638"/>
      </w:tabs>
      <w:rPr>
        <w:b/>
        <w:sz w:val="18"/>
      </w:rPr>
    </w:pPr>
    <w:r>
      <w:t>GE.16-17863</w:t>
    </w:r>
    <w:r>
      <w:tab/>
    </w:r>
    <w:r w:rsidRPr="000E1670">
      <w:rPr>
        <w:b/>
        <w:sz w:val="18"/>
      </w:rPr>
      <w:fldChar w:fldCharType="begin"/>
    </w:r>
    <w:r w:rsidRPr="000E1670">
      <w:rPr>
        <w:b/>
        <w:sz w:val="18"/>
      </w:rPr>
      <w:instrText xml:space="preserve"> PAGE  \* MERGEFORMAT </w:instrText>
    </w:r>
    <w:r w:rsidRPr="000E1670">
      <w:rPr>
        <w:b/>
        <w:sz w:val="18"/>
      </w:rPr>
      <w:fldChar w:fldCharType="separate"/>
    </w:r>
    <w:r w:rsidR="00516F1C">
      <w:rPr>
        <w:b/>
        <w:noProof/>
        <w:sz w:val="18"/>
      </w:rPr>
      <w:t>3</w:t>
    </w:r>
    <w:r w:rsidRPr="000E16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95736C"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95736C" w:rsidP="00E97E2C">
    <w:pPr>
      <w:jc w:val="center"/>
      <w:rPr>
        <w:b/>
        <w:bCs/>
        <w:sz w:val="22"/>
      </w:rPr>
    </w:pPr>
    <w:r>
      <w:rPr>
        <w:noProof/>
        <w:lang w:eastAsia="fr-CH"/>
      </w:rPr>
      <w:drawing>
        <wp:inline distT="0" distB="0" distL="0" distR="0">
          <wp:extent cx="914400" cy="770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089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89646A">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rsidR="00CF1B8F">
      <w:t>oteur, en date, à Genève, du 20 </w:t>
    </w:r>
    <w:r w:rsidRPr="007817A7">
      <w:t>mars 1958.</w:t>
    </w:r>
  </w:p>
  <w:p w:rsidR="00CA0756" w:rsidRPr="000E1670" w:rsidRDefault="000E1670" w:rsidP="000E1670">
    <w:pPr>
      <w:pStyle w:val="Footer"/>
      <w:spacing w:before="120"/>
      <w:rPr>
        <w:sz w:val="20"/>
      </w:rPr>
    </w:pPr>
    <w:r>
      <w:rPr>
        <w:sz w:val="20"/>
      </w:rPr>
      <w:t>GE.16-</w:t>
    </w:r>
    <w:proofErr w:type="gramStart"/>
    <w:r>
      <w:rPr>
        <w:sz w:val="20"/>
      </w:rPr>
      <w:t>17863  (</w:t>
    </w:r>
    <w:proofErr w:type="gramEnd"/>
    <w:r>
      <w:rPr>
        <w:sz w:val="20"/>
      </w:rPr>
      <w:t>F)    131216    191216</w:t>
    </w:r>
    <w:r>
      <w:rPr>
        <w:sz w:val="20"/>
      </w:rPr>
      <w:br/>
    </w:r>
    <w:r w:rsidRPr="000E1670">
      <w:rPr>
        <w:rFonts w:ascii="C39T30Lfz" w:hAnsi="C39T30Lfz"/>
        <w:sz w:val="56"/>
      </w:rPr>
      <w:t></w:t>
    </w:r>
    <w:r w:rsidRPr="000E1670">
      <w:rPr>
        <w:rFonts w:ascii="C39T30Lfz" w:hAnsi="C39T30Lfz"/>
        <w:sz w:val="56"/>
      </w:rPr>
      <w:t></w:t>
    </w:r>
    <w:r w:rsidRPr="000E1670">
      <w:rPr>
        <w:rFonts w:ascii="C39T30Lfz" w:hAnsi="C39T30Lfz"/>
        <w:sz w:val="56"/>
      </w:rPr>
      <w:t></w:t>
    </w:r>
    <w:r w:rsidRPr="000E1670">
      <w:rPr>
        <w:rFonts w:ascii="C39T30Lfz" w:hAnsi="C39T30Lfz"/>
        <w:sz w:val="56"/>
      </w:rPr>
      <w:t></w:t>
    </w:r>
    <w:r w:rsidRPr="000E1670">
      <w:rPr>
        <w:rFonts w:ascii="C39T30Lfz" w:hAnsi="C39T30Lfz"/>
        <w:sz w:val="56"/>
      </w:rPr>
      <w:t></w:t>
    </w:r>
    <w:r w:rsidRPr="000E1670">
      <w:rPr>
        <w:rFonts w:ascii="C39T30Lfz" w:hAnsi="C39T30Lfz"/>
        <w:sz w:val="56"/>
      </w:rPr>
      <w:t></w:t>
    </w:r>
    <w:r w:rsidRPr="000E1670">
      <w:rPr>
        <w:rFonts w:ascii="C39T30Lfz" w:hAnsi="C39T30Lfz"/>
        <w:sz w:val="56"/>
      </w:rPr>
      <w:t></w:t>
    </w:r>
    <w:r w:rsidRPr="000E1670">
      <w:rPr>
        <w:rFonts w:ascii="C39T30Lfz" w:hAnsi="C39T30Lfz"/>
        <w:sz w:val="56"/>
      </w:rPr>
      <w:t></w:t>
    </w:r>
    <w:r w:rsidRPr="000E1670">
      <w:rPr>
        <w:rFonts w:ascii="C39T30Lfz" w:hAnsi="C39T30Lfz"/>
        <w:sz w:val="56"/>
      </w:rPr>
      <w:t></w:t>
    </w:r>
    <w:r w:rsidR="0095736C">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0F8" w:rsidRPr="00D27D5E" w:rsidRDefault="008210F8" w:rsidP="00D27D5E">
      <w:pPr>
        <w:tabs>
          <w:tab w:val="right" w:pos="2155"/>
        </w:tabs>
        <w:spacing w:after="80"/>
        <w:ind w:left="680"/>
        <w:rPr>
          <w:u w:val="single"/>
        </w:rPr>
      </w:pPr>
      <w:r>
        <w:rPr>
          <w:u w:val="single"/>
        </w:rPr>
        <w:tab/>
      </w:r>
    </w:p>
  </w:footnote>
  <w:footnote w:type="continuationSeparator" w:id="0">
    <w:p w:rsidR="008210F8" w:rsidRPr="00D171D4" w:rsidRDefault="008210F8" w:rsidP="00D171D4">
      <w:pPr>
        <w:tabs>
          <w:tab w:val="right" w:pos="2155"/>
        </w:tabs>
        <w:spacing w:after="80"/>
        <w:ind w:left="680"/>
        <w:rPr>
          <w:u w:val="single"/>
        </w:rPr>
      </w:pPr>
      <w:r w:rsidRPr="00D171D4">
        <w:rPr>
          <w:u w:val="single"/>
        </w:rPr>
        <w:tab/>
      </w:r>
    </w:p>
  </w:footnote>
  <w:footnote w:type="continuationNotice" w:id="1">
    <w:p w:rsidR="008210F8" w:rsidRPr="00C451B9" w:rsidRDefault="008210F8"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70" w:rsidRPr="00235938" w:rsidRDefault="000E1670">
    <w:pPr>
      <w:pStyle w:val="Header"/>
      <w:rPr>
        <w:lang w:val="en-GB"/>
      </w:rPr>
    </w:pPr>
    <w:r w:rsidRPr="00235938">
      <w:rPr>
        <w:lang w:val="en-GB"/>
      </w:rPr>
      <w:t>E/ECE/324/Rev.1/Add.47/Rev.10/Amend.3</w:t>
    </w:r>
    <w:r w:rsidRPr="00235938">
      <w:rPr>
        <w:lang w:val="en-GB"/>
      </w:rPr>
      <w:br/>
      <w:t>E/ECE/TRANS/505/Rev.1/Add.47/Rev.10/Amend.3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70" w:rsidRPr="00235938" w:rsidRDefault="000E1670" w:rsidP="000E1670">
    <w:pPr>
      <w:pStyle w:val="Header"/>
      <w:jc w:val="right"/>
      <w:rPr>
        <w:lang w:val="en-GB"/>
      </w:rPr>
    </w:pPr>
    <w:r w:rsidRPr="00235938">
      <w:rPr>
        <w:lang w:val="en-GB"/>
      </w:rPr>
      <w:t>E/ECE/324/Rev.1/Add.47/Rev.10/Amend.3</w:t>
    </w:r>
    <w:r w:rsidRPr="00235938">
      <w:rPr>
        <w:lang w:val="en-GB"/>
      </w:rPr>
      <w:br/>
      <w:t>E/ECE/TRANS/505/Rev.1/Add.47/Rev.10/Amend.3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6A" w:rsidRDefault="0089646A" w:rsidP="00F837F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F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1670"/>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2CFF"/>
    <w:rsid w:val="00224B8B"/>
    <w:rsid w:val="00225A8C"/>
    <w:rsid w:val="00230ED3"/>
    <w:rsid w:val="00231A7F"/>
    <w:rsid w:val="0023593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6F1C"/>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635C"/>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10F8"/>
    <w:rsid w:val="008245B7"/>
    <w:rsid w:val="0082755E"/>
    <w:rsid w:val="00831A18"/>
    <w:rsid w:val="00837345"/>
    <w:rsid w:val="00844750"/>
    <w:rsid w:val="00851A74"/>
    <w:rsid w:val="00853AB8"/>
    <w:rsid w:val="00854C34"/>
    <w:rsid w:val="0085586A"/>
    <w:rsid w:val="00856DB2"/>
    <w:rsid w:val="00895DE5"/>
    <w:rsid w:val="0089646A"/>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36C"/>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1B8F"/>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27E9"/>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37F0"/>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516F1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6F1C"/>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E/ECE/324/Rev.1/Add.47/Rev.10/Amend.3</vt:lpstr>
      <vt:lpstr>E/ECE/324/Rev</vt:lpstr>
    </vt:vector>
  </TitlesOfParts>
  <Company>CSD</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E/ECE/324/Rev.1/Add.47/Rev.10/Amend.3</dc:title>
  <dc:subject/>
  <dc:creator>Bourion</dc:creator>
  <cp:keywords/>
  <dc:description/>
  <cp:lastModifiedBy>Olivia Braud</cp:lastModifiedBy>
  <cp:revision>2</cp:revision>
  <cp:lastPrinted>2016-12-19T10:09:00Z</cp:lastPrinted>
  <dcterms:created xsi:type="dcterms:W3CDTF">2018-08-22T12:08:00Z</dcterms:created>
  <dcterms:modified xsi:type="dcterms:W3CDTF">2018-08-22T12:08:00Z</dcterms:modified>
</cp:coreProperties>
</file>