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CA2CCD" w14:paraId="473DF6C9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84159C" w14:textId="77777777" w:rsidR="00A00E16" w:rsidRPr="00A00E16" w:rsidRDefault="00A00E16" w:rsidP="00A00E16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A00E16">
              <w:rPr>
                <w:sz w:val="40"/>
                <w:lang w:val="en-US"/>
              </w:rPr>
              <w:t>E</w:t>
            </w:r>
            <w:r w:rsidRPr="00A00E16">
              <w:rPr>
                <w:lang w:val="en-US"/>
              </w:rPr>
              <w:t>/ECE/324/Rev.1/Add.45/Rev.6/Amend.3−</w:t>
            </w:r>
            <w:r w:rsidRPr="00A00E16">
              <w:rPr>
                <w:sz w:val="40"/>
                <w:lang w:val="en-US"/>
              </w:rPr>
              <w:t>E</w:t>
            </w:r>
            <w:r w:rsidRPr="00A00E16">
              <w:rPr>
                <w:lang w:val="en-US"/>
              </w:rPr>
              <w:t>/ECE/TRANS/505/Rev.1/Add.45/Rev.6/Amend.3</w:t>
            </w:r>
          </w:p>
        </w:tc>
      </w:tr>
      <w:tr w:rsidR="00421A10" w:rsidRPr="00DB58B5" w14:paraId="4F5BE6F7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315330" w14:textId="77777777" w:rsidR="00421A10" w:rsidRPr="00A00E16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512DEF" w14:textId="77777777" w:rsidR="00421A10" w:rsidRPr="00DB58B5" w:rsidRDefault="00A00E16" w:rsidP="00A27C92">
            <w:pPr>
              <w:spacing w:before="480" w:line="240" w:lineRule="exact"/>
            </w:pPr>
            <w:r>
              <w:t>10 août 2018</w:t>
            </w:r>
          </w:p>
        </w:tc>
      </w:tr>
    </w:tbl>
    <w:p w14:paraId="13B873F7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2645833A" w14:textId="77777777" w:rsidR="00421A10" w:rsidRPr="00583D68" w:rsidRDefault="0029791D" w:rsidP="0029791D">
      <w:pPr>
        <w:pStyle w:val="H1G"/>
      </w:pPr>
      <w:r>
        <w:tab/>
      </w:r>
      <w:r>
        <w:tab/>
      </w:r>
      <w:r w:rsidR="00A00E16" w:rsidRPr="00A00E16">
        <w:t>Concernant l’adoption de Règlements techniques harmonisés de l’ONU applicables aux véhicules à roues et aux équipements et pièces susceptibles d’être montés ou utilisés sur les véhicules à roues et les conditions de reconnaissance réciproque des homologations délivrées conformément à ces Règlements</w:t>
      </w:r>
      <w:r w:rsidR="00A00E16" w:rsidRPr="00A00E16">
        <w:rPr>
          <w:b w:val="0"/>
          <w:sz w:val="20"/>
        </w:rPr>
        <w:footnoteReference w:customMarkFollows="1" w:id="2"/>
        <w:t>*</w:t>
      </w:r>
    </w:p>
    <w:p w14:paraId="53C82043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A00E16" w:rsidRPr="00A00E16">
        <w:t>3, comprenant les amendements entrés en vigueur le 14</w:t>
      </w:r>
      <w:r w:rsidR="00A00E16">
        <w:t> </w:t>
      </w:r>
      <w:r w:rsidR="00A00E16" w:rsidRPr="00A00E16">
        <w:t>septembre 2017</w:t>
      </w:r>
      <w:r w:rsidRPr="006549FF">
        <w:t>)</w:t>
      </w:r>
    </w:p>
    <w:p w14:paraId="3F8A7C29" w14:textId="77777777" w:rsidR="00421A10" w:rsidRPr="006549FF" w:rsidRDefault="0029791D" w:rsidP="0029791D">
      <w:pPr>
        <w:jc w:val="center"/>
      </w:pPr>
      <w:r>
        <w:t>_______________</w:t>
      </w:r>
    </w:p>
    <w:p w14:paraId="3ECA1839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A00E16">
        <w:t>45 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A00E16">
        <w:t>46</w:t>
      </w:r>
    </w:p>
    <w:p w14:paraId="6A1008B0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A00E16" w:rsidRPr="00CE33A9">
        <w:t xml:space="preserve">6 </w:t>
      </w:r>
      <w:r w:rsidR="00A00E16">
        <w:t>− </w:t>
      </w:r>
      <w:r w:rsidR="00A00E16" w:rsidRPr="00CE33A9">
        <w:t>Amendement</w:t>
      </w:r>
      <w:r w:rsidR="00A00E16">
        <w:t> </w:t>
      </w:r>
      <w:r w:rsidR="00A00E16" w:rsidRPr="00CE33A9">
        <w:t>3</w:t>
      </w:r>
    </w:p>
    <w:p w14:paraId="042A3ACE" w14:textId="77777777" w:rsidR="00421A10" w:rsidRPr="004A7E44" w:rsidRDefault="00A00E16" w:rsidP="0029791D">
      <w:pPr>
        <w:pStyle w:val="SingleTxtG"/>
        <w:spacing w:after="0"/>
      </w:pPr>
      <w:r w:rsidRPr="00A00E16">
        <w:t>C</w:t>
      </w:r>
      <w:r w:rsidRPr="00A00E16">
        <w:rPr>
          <w:lang w:val="fr-FR"/>
        </w:rPr>
        <w:t>omplément 5 à la série 04 d’amendements</w:t>
      </w:r>
      <w:r w:rsidRPr="00A00E16">
        <w:t xml:space="preserve"> </w:t>
      </w:r>
      <w:r>
        <w:t>− </w:t>
      </w:r>
      <w:r w:rsidRPr="00A00E16">
        <w:t>Date d’entrée en vigueur : 19 juillet 2018</w:t>
      </w:r>
    </w:p>
    <w:p w14:paraId="631EB5C5" w14:textId="77777777" w:rsidR="00421A10" w:rsidRDefault="0029791D" w:rsidP="0029791D">
      <w:pPr>
        <w:pStyle w:val="H1G"/>
      </w:pPr>
      <w:r>
        <w:tab/>
      </w:r>
      <w:r>
        <w:tab/>
      </w:r>
      <w:r w:rsidR="00A00E16" w:rsidRPr="00A00E16">
        <w:t>Prescriptions uniformes relatives à l’homologation des systèmes de</w:t>
      </w:r>
      <w:r w:rsidR="00A00E16">
        <w:t> </w:t>
      </w:r>
      <w:r w:rsidR="00A00E16" w:rsidRPr="00A00E16">
        <w:t>vision indirecte et des véhicules à moteur en ce qui concerne le</w:t>
      </w:r>
      <w:r w:rsidR="00A00E16">
        <w:t> </w:t>
      </w:r>
      <w:r w:rsidR="00A00E16" w:rsidRPr="00A00E16">
        <w:t>montage de ces systèmes</w:t>
      </w:r>
    </w:p>
    <w:p w14:paraId="2C30249A" w14:textId="77777777" w:rsidR="00A00E16" w:rsidRDefault="00A00E16" w:rsidP="00A00E16">
      <w:pPr>
        <w:pStyle w:val="SingleTxtG"/>
        <w:jc w:val="left"/>
      </w:pPr>
      <w:r w:rsidRPr="00A00E16">
        <w:t>Le présent document est communiqué uniquement à titre d’information. Le texte authentique, juridiquement contraignant, est celui du document ECE/TRANS/WP.29/2017/113.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1EC5D6" wp14:editId="3B988426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07029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1FFBA48C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0293000" wp14:editId="57233DC6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E4458F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EC5D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42A07029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1FFBA48C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0293000" wp14:editId="57233DC6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E4458F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DF90036" w14:textId="77777777" w:rsidR="00A00E16" w:rsidRPr="00EA2232" w:rsidRDefault="00A00E16" w:rsidP="00A00E16">
      <w:pPr>
        <w:pStyle w:val="SingleTxtG"/>
        <w:keepNext/>
        <w:keepLines/>
        <w:rPr>
          <w:szCs w:val="24"/>
        </w:rPr>
      </w:pPr>
      <w:r>
        <w:br w:type="page"/>
      </w:r>
      <w:r>
        <w:rPr>
          <w:i/>
          <w:iCs/>
          <w:lang w:val="fr-FR"/>
        </w:rPr>
        <w:lastRenderedPageBreak/>
        <w:t>Paragraphe 6.3.3.2</w:t>
      </w:r>
      <w:r>
        <w:rPr>
          <w:lang w:val="fr-FR"/>
        </w:rPr>
        <w:t>, remplacer « paragraphe 6.1.3 » par « paragraphe 6.1.1.3 ».</w:t>
      </w:r>
    </w:p>
    <w:p w14:paraId="6489F068" w14:textId="77777777" w:rsidR="00A00E16" w:rsidRPr="00EA2232" w:rsidRDefault="00A00E16" w:rsidP="00A00E16">
      <w:pPr>
        <w:pStyle w:val="SingleTxtG"/>
        <w:keepNext/>
        <w:keepLines/>
        <w:rPr>
          <w:rFonts w:eastAsia="MS Mincho"/>
          <w:bCs/>
          <w:spacing w:val="-2"/>
        </w:rPr>
      </w:pPr>
      <w:r>
        <w:rPr>
          <w:i/>
          <w:iCs/>
          <w:lang w:val="fr-FR"/>
        </w:rPr>
        <w:t>Paragraphe 16.1.3.1</w:t>
      </w:r>
      <w:r>
        <w:rPr>
          <w:lang w:val="fr-FR"/>
        </w:rPr>
        <w:t>, lire :</w:t>
      </w:r>
    </w:p>
    <w:p w14:paraId="1AD8A8FD" w14:textId="77777777" w:rsidR="00A00E16" w:rsidRPr="00EA2232" w:rsidRDefault="00A00E16" w:rsidP="00A00E16">
      <w:pPr>
        <w:pStyle w:val="SingleTxtG"/>
        <w:rPr>
          <w:bCs/>
          <w:iCs/>
        </w:rPr>
      </w:pPr>
      <w:r>
        <w:rPr>
          <w:lang w:val="fr-FR"/>
        </w:rPr>
        <w:t>« 16.1.3.1</w:t>
      </w:r>
      <w:r>
        <w:rPr>
          <w:lang w:val="fr-FR"/>
        </w:rPr>
        <w:tab/>
        <w:t>Facteur de grossissement</w:t>
      </w:r>
    </w:p>
    <w:p w14:paraId="04D7B846" w14:textId="77777777" w:rsidR="00A00E16" w:rsidRPr="00EA2232" w:rsidRDefault="00A00E16" w:rsidP="00A00E16">
      <w:pPr>
        <w:pStyle w:val="SingleTxtG"/>
        <w:ind w:left="2268"/>
        <w:rPr>
          <w:bCs/>
          <w:iCs/>
        </w:rPr>
      </w:pPr>
      <w:r>
        <w:rPr>
          <w:lang w:val="fr-FR"/>
        </w:rPr>
        <w:t>Les facteurs de grossissement minimal et moyen du CMS dans les directions horizontale et verticale ne doivent pas être inférieurs aux facteurs de grossissement indiqués ci-après :</w:t>
      </w:r>
    </w:p>
    <w:p w14:paraId="62C4F80B" w14:textId="77777777" w:rsidR="00A00E16" w:rsidRPr="00EA2232" w:rsidRDefault="00A00E16" w:rsidP="00A00E16">
      <w:pPr>
        <w:pStyle w:val="SingleTxtG"/>
        <w:ind w:left="2268"/>
        <w:rPr>
          <w:bCs/>
          <w:iCs/>
        </w:rPr>
      </w:pPr>
      <w:r>
        <w:rPr>
          <w:lang w:val="fr-FR"/>
        </w:rPr>
        <w:t>… »</w:t>
      </w:r>
    </w:p>
    <w:p w14:paraId="396CBB0D" w14:textId="77777777" w:rsidR="00A00E16" w:rsidRDefault="00A00E16" w:rsidP="00A00E16">
      <w:pPr>
        <w:pStyle w:val="SingleTxtG"/>
        <w:rPr>
          <w:i/>
          <w:iCs/>
          <w:lang w:val="fr-FR"/>
        </w:rPr>
      </w:pPr>
      <w:r>
        <w:rPr>
          <w:i/>
          <w:iCs/>
          <w:lang w:val="fr-FR"/>
        </w:rPr>
        <w:t xml:space="preserve">Annexe 4 </w:t>
      </w:r>
    </w:p>
    <w:p w14:paraId="1B50C1A2" w14:textId="77777777" w:rsidR="00A00E16" w:rsidRPr="00EA2232" w:rsidRDefault="00A00E16" w:rsidP="00A00E16">
      <w:pPr>
        <w:pStyle w:val="SingleTxtG"/>
        <w:rPr>
          <w:szCs w:val="24"/>
        </w:rPr>
      </w:pPr>
      <w:r>
        <w:rPr>
          <w:i/>
          <w:iCs/>
          <w:lang w:val="fr-FR"/>
        </w:rPr>
        <w:t>Point 4</w:t>
      </w:r>
      <w:r w:rsidRPr="00502407">
        <w:rPr>
          <w:iCs/>
          <w:lang w:val="fr-FR"/>
        </w:rPr>
        <w:t>,</w:t>
      </w:r>
      <w:r w:rsidRPr="00502407">
        <w:rPr>
          <w:lang w:val="fr-FR"/>
        </w:rPr>
        <w:t xml:space="preserve"> </w:t>
      </w:r>
      <w:r>
        <w:rPr>
          <w:lang w:val="fr-FR"/>
        </w:rPr>
        <w:t>lire (en conservant inchangé l’appel de note de bas de page </w:t>
      </w:r>
      <w:r w:rsidRPr="00EA2232">
        <w:rPr>
          <w:lang w:val="fr-FR"/>
        </w:rPr>
        <w:t>2</w:t>
      </w:r>
      <w:r>
        <w:rPr>
          <w:lang w:val="fr-FR"/>
        </w:rPr>
        <w:t>) :</w:t>
      </w:r>
    </w:p>
    <w:p w14:paraId="04212A83" w14:textId="77777777" w:rsidR="00A00E16" w:rsidRPr="00EA2232" w:rsidRDefault="00A00E16" w:rsidP="00A00E16">
      <w:pPr>
        <w:spacing w:after="120"/>
        <w:ind w:left="1134" w:right="1134"/>
        <w:jc w:val="both"/>
        <w:rPr>
          <w:lang w:eastAsia="ar-SA"/>
        </w:rPr>
      </w:pPr>
      <w:r w:rsidRPr="00E94662">
        <w:rPr>
          <w:spacing w:val="-3"/>
          <w:lang w:val="fr-FR"/>
        </w:rPr>
        <w:t>« 4.</w:t>
      </w:r>
      <w:r w:rsidRPr="00E94662">
        <w:rPr>
          <w:spacing w:val="-3"/>
          <w:lang w:val="fr-FR"/>
        </w:rPr>
        <w:tab/>
      </w:r>
      <w:r>
        <w:rPr>
          <w:spacing w:val="-3"/>
          <w:lang w:val="fr-FR"/>
        </w:rPr>
        <w:tab/>
      </w:r>
      <w:r w:rsidRPr="00E94662">
        <w:rPr>
          <w:spacing w:val="-3"/>
          <w:lang w:val="fr-FR"/>
        </w:rPr>
        <w:t>Catégorie de véhicule : (M</w:t>
      </w:r>
      <w:r w:rsidRPr="00E94662">
        <w:rPr>
          <w:spacing w:val="-3"/>
          <w:vertAlign w:val="subscript"/>
          <w:lang w:val="fr-FR"/>
        </w:rPr>
        <w:t>1</w:t>
      </w:r>
      <w:r w:rsidRPr="00E94662">
        <w:rPr>
          <w:spacing w:val="-3"/>
          <w:lang w:val="fr-FR"/>
        </w:rPr>
        <w:t>, M</w:t>
      </w:r>
      <w:r w:rsidRPr="00E94662">
        <w:rPr>
          <w:spacing w:val="-3"/>
          <w:vertAlign w:val="subscript"/>
          <w:lang w:val="fr-FR"/>
        </w:rPr>
        <w:t>2</w:t>
      </w:r>
      <w:r w:rsidRPr="00E94662">
        <w:rPr>
          <w:spacing w:val="-3"/>
          <w:lang w:val="fr-FR"/>
        </w:rPr>
        <w:t>, M</w:t>
      </w:r>
      <w:r w:rsidRPr="00E94662">
        <w:rPr>
          <w:spacing w:val="-3"/>
          <w:vertAlign w:val="subscript"/>
          <w:lang w:val="fr-FR"/>
        </w:rPr>
        <w:t>3</w:t>
      </w:r>
      <w:r w:rsidRPr="00E94662">
        <w:rPr>
          <w:spacing w:val="-3"/>
          <w:lang w:val="fr-FR"/>
        </w:rPr>
        <w:t>, N</w:t>
      </w:r>
      <w:r w:rsidRPr="00E94662">
        <w:rPr>
          <w:spacing w:val="-3"/>
          <w:vertAlign w:val="subscript"/>
          <w:lang w:val="fr-FR"/>
        </w:rPr>
        <w:t>1</w:t>
      </w:r>
      <w:r w:rsidRPr="00E94662">
        <w:rPr>
          <w:spacing w:val="-3"/>
          <w:lang w:val="fr-FR"/>
        </w:rPr>
        <w:t>, N</w:t>
      </w:r>
      <w:r w:rsidRPr="00E94662">
        <w:rPr>
          <w:spacing w:val="-3"/>
          <w:vertAlign w:val="subscript"/>
          <w:lang w:val="fr-FR"/>
        </w:rPr>
        <w:t>2</w:t>
      </w:r>
      <w:r w:rsidRPr="00E94662">
        <w:rPr>
          <w:spacing w:val="-3"/>
          <w:lang w:val="fr-FR"/>
        </w:rPr>
        <w:t xml:space="preserve"> ≤ 7,5 t, N</w:t>
      </w:r>
      <w:r w:rsidRPr="00E94662">
        <w:rPr>
          <w:spacing w:val="-3"/>
          <w:vertAlign w:val="subscript"/>
          <w:lang w:val="fr-FR"/>
        </w:rPr>
        <w:t>2</w:t>
      </w:r>
      <w:r w:rsidRPr="00E94662">
        <w:rPr>
          <w:spacing w:val="-3"/>
          <w:lang w:val="fr-FR"/>
        </w:rPr>
        <w:t xml:space="preserve"> &gt; 7,5 t, N</w:t>
      </w:r>
      <w:r w:rsidRPr="00E94662">
        <w:rPr>
          <w:spacing w:val="-3"/>
          <w:vertAlign w:val="subscript"/>
          <w:lang w:val="fr-FR"/>
        </w:rPr>
        <w:t>3</w:t>
      </w:r>
      <w:r w:rsidRPr="00E94662">
        <w:rPr>
          <w:spacing w:val="-3"/>
          <w:lang w:val="fr-FR"/>
        </w:rPr>
        <w:t>, L)</w:t>
      </w:r>
      <w:r w:rsidRPr="00E94662">
        <w:rPr>
          <w:spacing w:val="-3"/>
          <w:vertAlign w:val="superscript"/>
          <w:lang w:val="fr-FR"/>
        </w:rPr>
        <w:t>2</w:t>
      </w:r>
      <w:r w:rsidRPr="00E94662">
        <w:rPr>
          <w:spacing w:val="-3"/>
          <w:lang w:val="fr-FR"/>
        </w:rPr>
        <w:t>. »</w:t>
      </w:r>
    </w:p>
    <w:p w14:paraId="0768A215" w14:textId="77777777" w:rsidR="005F0207" w:rsidRPr="00A00E16" w:rsidRDefault="00A00E16" w:rsidP="00A00E1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A00E16" w:rsidSect="00A00E1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399DD" w14:textId="77777777" w:rsidR="00B4180F" w:rsidRDefault="00B4180F"/>
  </w:endnote>
  <w:endnote w:type="continuationSeparator" w:id="0">
    <w:p w14:paraId="6E6A4D72" w14:textId="77777777" w:rsidR="00B4180F" w:rsidRDefault="00B4180F">
      <w:pPr>
        <w:pStyle w:val="Footer"/>
      </w:pPr>
    </w:p>
  </w:endnote>
  <w:endnote w:type="continuationNotice" w:id="1">
    <w:p w14:paraId="06FEE915" w14:textId="77777777" w:rsidR="00B4180F" w:rsidRPr="00C451B9" w:rsidRDefault="00B4180F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0A7D4" w14:textId="77777777" w:rsidR="00A00E16" w:rsidRPr="00A00E16" w:rsidRDefault="00A00E16" w:rsidP="00A00E16">
    <w:pPr>
      <w:pStyle w:val="Footer"/>
      <w:tabs>
        <w:tab w:val="right" w:pos="9638"/>
      </w:tabs>
    </w:pPr>
    <w:r w:rsidRPr="00A00E16">
      <w:rPr>
        <w:b/>
        <w:sz w:val="18"/>
      </w:rPr>
      <w:fldChar w:fldCharType="begin"/>
    </w:r>
    <w:r w:rsidRPr="00A00E16">
      <w:rPr>
        <w:b/>
        <w:sz w:val="18"/>
      </w:rPr>
      <w:instrText xml:space="preserve"> PAGE  \* MERGEFORMAT </w:instrText>
    </w:r>
    <w:r w:rsidRPr="00A00E16">
      <w:rPr>
        <w:b/>
        <w:sz w:val="18"/>
      </w:rPr>
      <w:fldChar w:fldCharType="separate"/>
    </w:r>
    <w:r w:rsidRPr="00A00E16">
      <w:rPr>
        <w:b/>
        <w:noProof/>
        <w:sz w:val="18"/>
      </w:rPr>
      <w:t>2</w:t>
    </w:r>
    <w:r w:rsidRPr="00A00E16">
      <w:rPr>
        <w:b/>
        <w:sz w:val="18"/>
      </w:rPr>
      <w:fldChar w:fldCharType="end"/>
    </w:r>
    <w:r>
      <w:rPr>
        <w:b/>
        <w:sz w:val="18"/>
      </w:rPr>
      <w:tab/>
    </w:r>
    <w:r>
      <w:t>GE.18-13184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9FB84" w14:textId="77777777" w:rsidR="00A00E16" w:rsidRPr="00A00E16" w:rsidRDefault="00A00E16" w:rsidP="00A00E16">
    <w:pPr>
      <w:pStyle w:val="Footer"/>
      <w:tabs>
        <w:tab w:val="right" w:pos="9638"/>
      </w:tabs>
      <w:rPr>
        <w:b/>
        <w:sz w:val="18"/>
      </w:rPr>
    </w:pPr>
    <w:r>
      <w:t>GE.18-13184</w:t>
    </w:r>
    <w:r>
      <w:tab/>
    </w:r>
    <w:r w:rsidRPr="00A00E16">
      <w:rPr>
        <w:b/>
        <w:sz w:val="18"/>
      </w:rPr>
      <w:fldChar w:fldCharType="begin"/>
    </w:r>
    <w:r w:rsidRPr="00A00E16">
      <w:rPr>
        <w:b/>
        <w:sz w:val="18"/>
      </w:rPr>
      <w:instrText xml:space="preserve"> PAGE  \* MERGEFORMAT </w:instrText>
    </w:r>
    <w:r w:rsidRPr="00A00E16">
      <w:rPr>
        <w:b/>
        <w:sz w:val="18"/>
      </w:rPr>
      <w:fldChar w:fldCharType="separate"/>
    </w:r>
    <w:r w:rsidRPr="00A00E16">
      <w:rPr>
        <w:b/>
        <w:noProof/>
        <w:sz w:val="18"/>
      </w:rPr>
      <w:t>3</w:t>
    </w:r>
    <w:r w:rsidRPr="00A00E1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8024D" w14:textId="77777777" w:rsidR="00467F2C" w:rsidRPr="00A00E16" w:rsidRDefault="00A00E16" w:rsidP="00A00E16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7216" behindDoc="0" locked="0" layoutInCell="1" allowOverlap="1" wp14:anchorId="22EACB2A" wp14:editId="2480CEE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13184  (</w:t>
    </w:r>
    <w:proofErr w:type="gramEnd"/>
    <w:r>
      <w:rPr>
        <w:sz w:val="20"/>
      </w:rPr>
      <w:t>F)    290319    100419</w:t>
    </w:r>
    <w:r>
      <w:rPr>
        <w:sz w:val="20"/>
      </w:rPr>
      <w:br/>
    </w:r>
    <w:r w:rsidRPr="00A00E16">
      <w:rPr>
        <w:rFonts w:ascii="C39T30Lfz" w:hAnsi="C39T30Lfz"/>
        <w:sz w:val="56"/>
      </w:rPr>
      <w:t></w:t>
    </w:r>
    <w:r w:rsidRPr="00A00E16">
      <w:rPr>
        <w:rFonts w:ascii="C39T30Lfz" w:hAnsi="C39T30Lfz"/>
        <w:sz w:val="56"/>
      </w:rPr>
      <w:t></w:t>
    </w:r>
    <w:r w:rsidRPr="00A00E16">
      <w:rPr>
        <w:rFonts w:ascii="C39T30Lfz" w:hAnsi="C39T30Lfz"/>
        <w:sz w:val="56"/>
      </w:rPr>
      <w:t></w:t>
    </w:r>
    <w:r w:rsidRPr="00A00E16">
      <w:rPr>
        <w:rFonts w:ascii="C39T30Lfz" w:hAnsi="C39T30Lfz"/>
        <w:sz w:val="56"/>
      </w:rPr>
      <w:t></w:t>
    </w:r>
    <w:r w:rsidRPr="00A00E16">
      <w:rPr>
        <w:rFonts w:ascii="C39T30Lfz" w:hAnsi="C39T30Lfz"/>
        <w:sz w:val="56"/>
      </w:rPr>
      <w:t></w:t>
    </w:r>
    <w:r w:rsidRPr="00A00E16">
      <w:rPr>
        <w:rFonts w:ascii="C39T30Lfz" w:hAnsi="C39T30Lfz"/>
        <w:sz w:val="56"/>
      </w:rPr>
      <w:t></w:t>
    </w:r>
    <w:r w:rsidRPr="00A00E16">
      <w:rPr>
        <w:rFonts w:ascii="C39T30Lfz" w:hAnsi="C39T30Lfz"/>
        <w:sz w:val="56"/>
      </w:rPr>
      <w:t></w:t>
    </w:r>
    <w:r w:rsidRPr="00A00E16">
      <w:rPr>
        <w:rFonts w:ascii="C39T30Lfz" w:hAnsi="C39T30Lfz"/>
        <w:sz w:val="56"/>
      </w:rPr>
      <w:t></w:t>
    </w:r>
    <w:r w:rsidRPr="00A00E16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7C8DE95A" wp14:editId="6B3E0A7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Through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hrough>
          <wp:docPr id="1" name="Image 1" descr="https://undocs.org/m2/QRCode.ashx?DS=E/ECE/324/Rev.1/Add.45/Rev.6/Amend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45/Rev.6/Amend.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284BD" w14:textId="77777777" w:rsidR="00B4180F" w:rsidRPr="00D27D5E" w:rsidRDefault="00B4180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66B6FE" w14:textId="77777777" w:rsidR="00B4180F" w:rsidRPr="00D171D4" w:rsidRDefault="00B4180F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17A31C80" w14:textId="77777777" w:rsidR="00B4180F" w:rsidRPr="00C451B9" w:rsidRDefault="00B4180F" w:rsidP="00C451B9">
      <w:pPr>
        <w:spacing w:line="240" w:lineRule="auto"/>
        <w:rPr>
          <w:sz w:val="2"/>
          <w:szCs w:val="2"/>
        </w:rPr>
      </w:pPr>
    </w:p>
  </w:footnote>
  <w:footnote w:id="2">
    <w:p w14:paraId="46238EDB" w14:textId="77777777" w:rsidR="00A00E16" w:rsidRPr="001D1995" w:rsidRDefault="00A00E16" w:rsidP="00A00E16">
      <w:pPr>
        <w:pStyle w:val="FootnoteText"/>
      </w:pPr>
      <w:r>
        <w:tab/>
      </w:r>
      <w:r w:rsidRPr="00EA2232">
        <w:rPr>
          <w:rStyle w:val="FootnoteReference"/>
          <w:sz w:val="20"/>
        </w:rPr>
        <w:t>*</w:t>
      </w:r>
      <w:r w:rsidRPr="00EA2232">
        <w:rPr>
          <w:sz w:val="20"/>
        </w:rPr>
        <w:tab/>
      </w:r>
      <w:r w:rsidRPr="001D1995">
        <w:t>Anciens titres de l</w:t>
      </w:r>
      <w:r>
        <w:t>’</w:t>
      </w:r>
      <w:r w:rsidRPr="001D1995">
        <w:t>Accord :</w:t>
      </w:r>
    </w:p>
    <w:p w14:paraId="5D2C407F" w14:textId="77777777" w:rsidR="00A00E16" w:rsidRPr="001D1995" w:rsidRDefault="00A00E16" w:rsidP="00A00E16">
      <w:pPr>
        <w:pStyle w:val="FootnoteText"/>
        <w:rPr>
          <w:sz w:val="20"/>
        </w:rPr>
      </w:pPr>
      <w:r w:rsidRPr="001D1995">
        <w:tab/>
      </w:r>
      <w:r w:rsidRPr="001D1995">
        <w:tab/>
      </w:r>
      <w:r w:rsidRPr="001D1995">
        <w:rPr>
          <w:spacing w:val="-4"/>
        </w:rPr>
        <w:t>Accord concernant l</w:t>
      </w:r>
      <w:r>
        <w:rPr>
          <w:spacing w:val="-4"/>
        </w:rPr>
        <w:t>’</w:t>
      </w:r>
      <w:r w:rsidRPr="001D1995">
        <w:rPr>
          <w:spacing w:val="-4"/>
        </w:rPr>
        <w:t>adoption de conditions uniformes d</w:t>
      </w:r>
      <w:r>
        <w:rPr>
          <w:spacing w:val="-4"/>
        </w:rPr>
        <w:t>’</w:t>
      </w:r>
      <w:r w:rsidRPr="001D1995">
        <w:rPr>
          <w:spacing w:val="-4"/>
        </w:rPr>
        <w:t>homologation et la reconnaissance réciproque de l</w:t>
      </w:r>
      <w:r>
        <w:rPr>
          <w:spacing w:val="-4"/>
        </w:rPr>
        <w:t>’</w:t>
      </w:r>
      <w:r w:rsidRPr="001D1995">
        <w:rPr>
          <w:spacing w:val="-4"/>
        </w:rPr>
        <w:t>homologation des équipements et pièces de véhicules à moteur, en date, à Genève, du 20 mars 1958 (version originale)</w:t>
      </w:r>
      <w:r>
        <w:rPr>
          <w:spacing w:val="-4"/>
        </w:rPr>
        <w:t> ;</w:t>
      </w:r>
    </w:p>
    <w:p w14:paraId="05B33948" w14:textId="77777777" w:rsidR="00A00E16" w:rsidRPr="00EA2232" w:rsidRDefault="00A00E16" w:rsidP="00A00E16">
      <w:pPr>
        <w:pStyle w:val="FootnoteText"/>
      </w:pPr>
      <w:r w:rsidRPr="001D1995">
        <w:tab/>
      </w:r>
      <w:r w:rsidRPr="001D1995">
        <w:tab/>
        <w:t>Accord concernant l</w:t>
      </w:r>
      <w:r>
        <w:t>’</w:t>
      </w:r>
      <w:r w:rsidRPr="001D1995">
        <w:t>adoption de prescriptions techniques uniformes applicables aux véhicules à roues, aux équipements et aux pièces susceptibles d</w:t>
      </w:r>
      <w:r>
        <w:t>’</w:t>
      </w:r>
      <w:r w:rsidRPr="001D1995">
        <w:t>être montés ou utilisés sur un véhicule à roues et les conditions de reconnaissance réciproque des homologations délivrées conformément à ces prescriptions, en date, à Genève, du 5 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B0707" w14:textId="6A74B798" w:rsidR="00A00E16" w:rsidRPr="00A00E16" w:rsidRDefault="00A00E16">
    <w:pPr>
      <w:pStyle w:val="Header"/>
      <w:rPr>
        <w:lang w:val="en-US"/>
      </w:rPr>
    </w:pPr>
    <w:r>
      <w:fldChar w:fldCharType="begin"/>
    </w:r>
    <w:r w:rsidRPr="00A00E16">
      <w:rPr>
        <w:lang w:val="en-US"/>
      </w:rPr>
      <w:instrText xml:space="preserve"> TITLE  \* MERGEFORMAT </w:instrText>
    </w:r>
    <w:r>
      <w:fldChar w:fldCharType="separate"/>
    </w:r>
    <w:r w:rsidR="00F04257">
      <w:rPr>
        <w:lang w:val="en-US"/>
      </w:rPr>
      <w:t>E/ECE/324/Rev.1/Add.45/Rev.6/Amend.3</w:t>
    </w:r>
    <w:r>
      <w:fldChar w:fldCharType="end"/>
    </w:r>
    <w:r w:rsidRPr="00A00E16">
      <w:rPr>
        <w:lang w:val="en-US"/>
      </w:rPr>
      <w:br/>
    </w:r>
    <w:r>
      <w:fldChar w:fldCharType="begin"/>
    </w:r>
    <w:r w:rsidRPr="00A00E16">
      <w:rPr>
        <w:lang w:val="en-US"/>
      </w:rPr>
      <w:instrText xml:space="preserve"> KEYWORDS  \* MERGEFORMAT </w:instrText>
    </w:r>
    <w:r>
      <w:fldChar w:fldCharType="separate"/>
    </w:r>
    <w:r w:rsidR="00F04257">
      <w:rPr>
        <w:lang w:val="en-US"/>
      </w:rPr>
      <w:t>E/ECE/TRANS/505/Rev.1/Add.45/Rev.6/Amend.3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767B" w14:textId="390E8CDF" w:rsidR="00A00E16" w:rsidRPr="00A00E16" w:rsidRDefault="00A00E16" w:rsidP="00A00E16">
    <w:pPr>
      <w:pStyle w:val="Header"/>
      <w:jc w:val="right"/>
      <w:rPr>
        <w:lang w:val="en-US"/>
      </w:rPr>
    </w:pPr>
    <w:r>
      <w:fldChar w:fldCharType="begin"/>
    </w:r>
    <w:r w:rsidRPr="00A00E16">
      <w:rPr>
        <w:lang w:val="en-US"/>
      </w:rPr>
      <w:instrText xml:space="preserve"> TITLE  \* MERGEFORMAT </w:instrText>
    </w:r>
    <w:r>
      <w:fldChar w:fldCharType="separate"/>
    </w:r>
    <w:r w:rsidR="00F04257">
      <w:rPr>
        <w:lang w:val="en-US"/>
      </w:rPr>
      <w:t>E/ECE/324/Rev.1/Add.45/Rev.6/Amend.3</w:t>
    </w:r>
    <w:r>
      <w:fldChar w:fldCharType="end"/>
    </w:r>
    <w:r w:rsidRPr="00A00E16">
      <w:rPr>
        <w:lang w:val="en-US"/>
      </w:rPr>
      <w:br/>
    </w:r>
    <w:r>
      <w:fldChar w:fldCharType="begin"/>
    </w:r>
    <w:r w:rsidRPr="00A00E16">
      <w:rPr>
        <w:lang w:val="en-US"/>
      </w:rPr>
      <w:instrText xml:space="preserve"> KEYWORDS  \* MERGEFORMAT </w:instrText>
    </w:r>
    <w:r>
      <w:fldChar w:fldCharType="separate"/>
    </w:r>
    <w:r w:rsidR="00F04257">
      <w:rPr>
        <w:lang w:val="en-US"/>
      </w:rPr>
      <w:t>E/ECE/TRANS/505/Rev.1/Add.45/Rev.6/Amend.3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0F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1B4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0E16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180F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A2CCD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4257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E2DA949"/>
  <w15:docId w15:val="{CDDA8BCB-8335-44F8-AE78-2EF2B7FF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E/ECE/324/Rev.1/Add.45/Rev.6/Amend.3</vt:lpstr>
      <vt:lpstr>E/ECE/324/Rev</vt:lpstr>
    </vt:vector>
  </TitlesOfParts>
  <Company>CSD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E/ECE/324/Rev.1/Add.45/Rev.6/Amend.3</dc:title>
  <dc:creator>Edith BOURION</dc:creator>
  <cp:keywords>E/ECE/TRANS/505/Rev.1/Add.45/Rev.6/Amend.3</cp:keywords>
  <cp:lastModifiedBy>Marie-Claude Collet</cp:lastModifiedBy>
  <cp:revision>3</cp:revision>
  <cp:lastPrinted>2019-04-23T16:40:00Z</cp:lastPrinted>
  <dcterms:created xsi:type="dcterms:W3CDTF">2019-04-23T16:40:00Z</dcterms:created>
  <dcterms:modified xsi:type="dcterms:W3CDTF">2019-04-23T16:40:00Z</dcterms:modified>
</cp:coreProperties>
</file>