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32A7B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4C98" w:rsidRPr="00832A7B" w:rsidRDefault="00764C98" w:rsidP="00764C98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832A7B">
              <w:rPr>
                <w:sz w:val="40"/>
                <w:lang w:val="en-GB"/>
              </w:rPr>
              <w:t>E</w:t>
            </w:r>
            <w:r w:rsidRPr="00832A7B">
              <w:rPr>
                <w:lang w:val="en-GB"/>
              </w:rPr>
              <w:t>/ECE/324/Rev.1/Add.44/Rev.2/Amend.5−</w:t>
            </w:r>
            <w:r w:rsidRPr="00832A7B">
              <w:rPr>
                <w:sz w:val="40"/>
                <w:lang w:val="en-GB"/>
              </w:rPr>
              <w:t>E</w:t>
            </w:r>
            <w:r w:rsidRPr="00832A7B">
              <w:rPr>
                <w:lang w:val="en-GB"/>
              </w:rPr>
              <w:t>/ECE/TRANS/505/Rev.1/Add.44/Rev.2/Amend.5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32A7B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64C98" w:rsidP="00A27C92">
            <w:pPr>
              <w:spacing w:before="480" w:line="240" w:lineRule="exact"/>
            </w:pPr>
            <w:r>
              <w:t>6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2D5419" w:rsidRPr="00F861CF">
        <w:t xml:space="preserve">Concernant l’adoption de Règlements techniques harmonisés </w:t>
      </w:r>
      <w:r w:rsidR="002D5419">
        <w:br/>
      </w:r>
      <w:r w:rsidR="002D5419" w:rsidRPr="00F861CF">
        <w:t xml:space="preserve">de l’ONU applicables aux véhicules à roues et aux équipements </w:t>
      </w:r>
      <w:r w:rsidR="002D5419">
        <w:br/>
      </w:r>
      <w:r w:rsidR="002D5419" w:rsidRPr="00F861CF">
        <w:t>et pièces susceptibles d’être montés ou utilisés sur les véhicules à roues et les conditions de reconnaissance réciproque des homologations délivrées conformément à ces Règlements</w:t>
      </w:r>
      <w:r w:rsidR="00E83F72" w:rsidRPr="002D5419">
        <w:rPr>
          <w:b w:val="0"/>
          <w:sz w:val="20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64C98">
        <w:t>3,</w:t>
      </w:r>
      <w:r w:rsidRPr="006549FF">
        <w:t xml:space="preserve"> comprenant les amen</w:t>
      </w:r>
      <w:r>
        <w:t>dements entrés en vigueur le</w:t>
      </w:r>
      <w:r w:rsidR="00764C98">
        <w:t xml:space="preserve">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64C98">
        <w:t>44 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64C98">
        <w:t>45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F7AB3">
        <w:t>2 − Amendement 5</w:t>
      </w:r>
    </w:p>
    <w:p w:rsidR="00421A10" w:rsidRPr="0029791D" w:rsidRDefault="00596663" w:rsidP="0029791D">
      <w:pPr>
        <w:pStyle w:val="SingleTxtG"/>
      </w:pPr>
      <w:r w:rsidRPr="005905DA">
        <w:rPr>
          <w:spacing w:val="-2"/>
        </w:rPr>
        <w:t>Complément</w:t>
      </w:r>
      <w:r w:rsidR="005003A0">
        <w:rPr>
          <w:spacing w:val="-2"/>
        </w:rPr>
        <w:t xml:space="preserve"> </w:t>
      </w:r>
      <w:r w:rsidRPr="005905DA">
        <w:rPr>
          <w:spacing w:val="-2"/>
        </w:rPr>
        <w:t>11 à la série 01 d</w:t>
      </w:r>
      <w:r>
        <w:rPr>
          <w:spacing w:val="-2"/>
        </w:rPr>
        <w:t>’</w:t>
      </w:r>
      <w:r w:rsidRPr="005905DA">
        <w:rPr>
          <w:spacing w:val="-2"/>
        </w:rPr>
        <w:t>amendements – Date d</w:t>
      </w:r>
      <w:r>
        <w:rPr>
          <w:spacing w:val="-2"/>
        </w:rPr>
        <w:t>’</w:t>
      </w:r>
      <w:r w:rsidRPr="005905DA">
        <w:rPr>
          <w:spacing w:val="-2"/>
        </w:rPr>
        <w:t>entrée en vigueur : 10 octobre 2017</w:t>
      </w:r>
    </w:p>
    <w:p w:rsidR="00596663" w:rsidRPr="005905DA" w:rsidRDefault="0029791D" w:rsidP="00596663">
      <w:pPr>
        <w:pStyle w:val="H1G"/>
        <w:spacing w:before="120" w:after="120" w:line="240" w:lineRule="exact"/>
      </w:pPr>
      <w:r>
        <w:tab/>
      </w:r>
      <w:r>
        <w:tab/>
      </w:r>
      <w:r w:rsidR="00421A10" w:rsidRPr="007619D3">
        <w:t xml:space="preserve">Prescriptions uniformes relatives </w:t>
      </w:r>
      <w:r w:rsidR="00596663" w:rsidRPr="005905DA">
        <w:t>à l</w:t>
      </w:r>
      <w:r w:rsidR="00596663">
        <w:t>’</w:t>
      </w:r>
      <w:r w:rsidR="00E83F72">
        <w:t>homologation des nettoie</w:t>
      </w:r>
      <w:r w:rsidR="00E83F72">
        <w:noBreakHyphen/>
      </w:r>
      <w:r w:rsidR="00596663" w:rsidRPr="005905DA">
        <w:t>projecteurs et des véhicules a</w:t>
      </w:r>
      <w:r w:rsidR="00E83F72">
        <w:t>̀ moteur en ce qui concerne les nettoie-</w:t>
      </w:r>
      <w:r w:rsidR="00596663" w:rsidRPr="005905DA">
        <w:t>projecteurs</w:t>
      </w:r>
    </w:p>
    <w:p w:rsidR="00421A10" w:rsidRPr="00E83F72" w:rsidRDefault="00596663" w:rsidP="00E83F72">
      <w:pPr>
        <w:pStyle w:val="SingleTxtG"/>
        <w:ind w:firstLine="567"/>
        <w:rPr>
          <w:spacing w:val="-2"/>
        </w:rPr>
      </w:pPr>
      <w:r w:rsidRPr="00E83F72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 w:rsidR="00E83F72" w:rsidRPr="00E83F72">
        <w:rPr>
          <w:spacing w:val="-2"/>
          <w:lang w:eastAsia="en-GB"/>
        </w:rPr>
        <w:t xml:space="preserve"> </w:t>
      </w:r>
      <w:r w:rsidRPr="00E83F72">
        <w:rPr>
          <w:spacing w:val="-2"/>
          <w:lang w:eastAsia="en-GB"/>
        </w:rPr>
        <w:t>ECE/TRANS/WP.29/2017/27 (1622394).</w:t>
      </w:r>
    </w:p>
    <w:p w:rsidR="005003A0" w:rsidRPr="005905DA" w:rsidRDefault="00442E31" w:rsidP="00825864">
      <w:pPr>
        <w:pStyle w:val="SingleTxtG"/>
        <w:keepNext/>
        <w:rPr>
          <w:b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6418032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5.3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ByneA2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F72">
        <w:br w:type="page"/>
      </w:r>
      <w:r w:rsidR="005003A0" w:rsidRPr="005905DA">
        <w:rPr>
          <w:i/>
        </w:rPr>
        <w:lastRenderedPageBreak/>
        <w:t>Paragraphe 2.2.1</w:t>
      </w:r>
      <w:r w:rsidR="005003A0" w:rsidRPr="00825864">
        <w:t>, l</w:t>
      </w:r>
      <w:r w:rsidR="005003A0" w:rsidRPr="005905DA">
        <w:t>ire :</w:t>
      </w:r>
    </w:p>
    <w:p w:rsidR="005003A0" w:rsidRPr="005905DA" w:rsidRDefault="00825864" w:rsidP="00825864">
      <w:pPr>
        <w:pStyle w:val="SingleTxtG"/>
        <w:ind w:left="2268" w:hanging="1134"/>
        <w:rPr>
          <w:iCs/>
        </w:rPr>
      </w:pPr>
      <w:r>
        <w:t>« 2.2.1</w:t>
      </w:r>
      <w:r w:rsidR="005003A0" w:rsidRPr="005905DA">
        <w:tab/>
        <w:t>La marque de fabrique ou de commerce </w:t>
      </w:r>
      <w:r w:rsidR="005003A0" w:rsidRPr="005905DA">
        <w:rPr>
          <w:iCs/>
        </w:rPr>
        <w:t>:</w:t>
      </w:r>
    </w:p>
    <w:p w:rsidR="005003A0" w:rsidRPr="005905DA" w:rsidRDefault="005003A0" w:rsidP="005003A0">
      <w:pPr>
        <w:pStyle w:val="SingleTxtG"/>
        <w:tabs>
          <w:tab w:val="left" w:pos="2268"/>
        </w:tabs>
        <w:ind w:left="2835" w:hanging="567"/>
      </w:pPr>
      <w:r w:rsidRPr="005905DA">
        <w:t>a)</w:t>
      </w:r>
      <w:r w:rsidRPr="005905DA">
        <w:tab/>
        <w:t>Des nettoie-projecteurs portant la même marque de fabrique ou de commerce, mais produits par des fabricants différents doivent être considérés comme étant de types différents </w:t>
      </w:r>
      <w:r w:rsidRPr="005905DA">
        <w:rPr>
          <w:bCs/>
        </w:rPr>
        <w:t>;</w:t>
      </w:r>
    </w:p>
    <w:p w:rsidR="005003A0" w:rsidRPr="005905DA" w:rsidRDefault="005003A0" w:rsidP="005003A0">
      <w:pPr>
        <w:pStyle w:val="SingleTxtG"/>
        <w:tabs>
          <w:tab w:val="left" w:pos="2268"/>
        </w:tabs>
        <w:ind w:left="2835" w:hanging="567"/>
      </w:pPr>
      <w:r w:rsidRPr="005905DA">
        <w:rPr>
          <w:bCs/>
        </w:rPr>
        <w:t>b)</w:t>
      </w:r>
      <w:r w:rsidRPr="005905DA">
        <w:rPr>
          <w:bCs/>
        </w:rPr>
        <w:tab/>
        <w:t xml:space="preserve">Des nettoie-projecteurs </w:t>
      </w:r>
      <w:r w:rsidRPr="005905DA">
        <w:t>produits par le même fabricant et ne différant entre eux que par la marque de fabrique ou de commerce doivent être considérés comme étant du même type. ».</w:t>
      </w:r>
    </w:p>
    <w:p w:rsidR="005003A0" w:rsidRPr="005905DA" w:rsidRDefault="005003A0" w:rsidP="002F2A0C">
      <w:pPr>
        <w:pStyle w:val="SingleTxtG"/>
        <w:keepNext/>
      </w:pPr>
      <w:r w:rsidRPr="005905DA">
        <w:rPr>
          <w:i/>
        </w:rPr>
        <w:t>Ajouter un nouveau paragraphe 3.3.9</w:t>
      </w:r>
      <w:r w:rsidRPr="005905DA">
        <w:t>, libellé comme suit :</w:t>
      </w:r>
    </w:p>
    <w:p w:rsidR="005003A0" w:rsidRPr="005905DA" w:rsidRDefault="002F2A0C" w:rsidP="005003A0">
      <w:pPr>
        <w:pStyle w:val="SingleTxtG"/>
        <w:ind w:left="2268" w:hanging="1134"/>
      </w:pPr>
      <w:r>
        <w:t>« 3.3.9</w:t>
      </w:r>
      <w:r>
        <w:tab/>
      </w:r>
      <w:r w:rsidR="005003A0" w:rsidRPr="005905DA">
        <w:t>Lorsqu</w:t>
      </w:r>
      <w:r w:rsidR="005003A0">
        <w:t>’</w:t>
      </w:r>
      <w:r w:rsidR="005003A0" w:rsidRPr="005905DA">
        <w:t>il s</w:t>
      </w:r>
      <w:r w:rsidR="005003A0">
        <w:t>’</w:t>
      </w:r>
      <w:r w:rsidR="005003A0" w:rsidRPr="005905DA">
        <w:t>agit d</w:t>
      </w:r>
      <w:r w:rsidR="005003A0">
        <w:t>’</w:t>
      </w:r>
      <w:r w:rsidR="005003A0" w:rsidRPr="005905DA">
        <w:t>un type de nettoie-projecteur ne différant d</w:t>
      </w:r>
      <w:r w:rsidR="005003A0">
        <w:t>’</w:t>
      </w:r>
      <w:r w:rsidR="005003A0" w:rsidRPr="005905DA">
        <w:t xml:space="preserve">un type homologué antérieurement que par la marque de fabrique ou de commerce, il suffit de présenter : </w:t>
      </w:r>
    </w:p>
    <w:p w:rsidR="005003A0" w:rsidRPr="005905DA" w:rsidRDefault="002F2A0C" w:rsidP="005003A0">
      <w:pPr>
        <w:pStyle w:val="SingleTxtG"/>
        <w:ind w:left="2268" w:hanging="1134"/>
      </w:pPr>
      <w:r>
        <w:t>3.3.9.1</w:t>
      </w:r>
      <w:r>
        <w:tab/>
      </w:r>
      <w:r w:rsidR="005003A0" w:rsidRPr="005905DA">
        <w:t>Une déclaration du fabricant du nettoie-projecteur précisant que, sauf quant à la marque de fabrique ou de commerce, le type soumis est identique au type déjà homologué (identifié par son code d</w:t>
      </w:r>
      <w:r w:rsidR="005003A0">
        <w:t>’</w:t>
      </w:r>
      <w:r w:rsidR="005003A0" w:rsidRPr="005905DA">
        <w:t>homologation) et provient du même fabricant ;</w:t>
      </w:r>
    </w:p>
    <w:p w:rsidR="005003A0" w:rsidRPr="005905DA" w:rsidRDefault="005003A0" w:rsidP="005003A0">
      <w:pPr>
        <w:pStyle w:val="SingleTxtG"/>
        <w:ind w:left="2268" w:hanging="1134"/>
      </w:pPr>
      <w:r w:rsidRPr="005905DA">
        <w:t>3.3.9.2</w:t>
      </w:r>
      <w:r w:rsidRPr="005905DA">
        <w:tab/>
        <w:t>Deux échantillons portant la nouvelle marque de fabrique ou de commerce, ou un document équivalent. ».</w:t>
      </w:r>
    </w:p>
    <w:p w:rsidR="005F0207" w:rsidRPr="005003A0" w:rsidRDefault="005003A0" w:rsidP="005003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003A0" w:rsidSect="00764C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FA" w:rsidRDefault="001469FA"/>
  </w:endnote>
  <w:endnote w:type="continuationSeparator" w:id="0">
    <w:p w:rsidR="001469FA" w:rsidRDefault="001469FA">
      <w:pPr>
        <w:pStyle w:val="Footer"/>
      </w:pPr>
    </w:p>
  </w:endnote>
  <w:endnote w:type="continuationNotice" w:id="1">
    <w:p w:rsidR="001469FA" w:rsidRPr="00C451B9" w:rsidRDefault="001469F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98" w:rsidRPr="00764C98" w:rsidRDefault="00764C98" w:rsidP="00764C98">
    <w:pPr>
      <w:pStyle w:val="Footer"/>
      <w:tabs>
        <w:tab w:val="right" w:pos="9638"/>
      </w:tabs>
    </w:pPr>
    <w:r w:rsidRPr="00764C98">
      <w:rPr>
        <w:b/>
        <w:sz w:val="18"/>
      </w:rPr>
      <w:fldChar w:fldCharType="begin"/>
    </w:r>
    <w:r w:rsidRPr="00764C98">
      <w:rPr>
        <w:b/>
        <w:sz w:val="18"/>
      </w:rPr>
      <w:instrText xml:space="preserve"> PAGE  \* MERGEFORMAT </w:instrText>
    </w:r>
    <w:r w:rsidRPr="00764C98">
      <w:rPr>
        <w:b/>
        <w:sz w:val="18"/>
      </w:rPr>
      <w:fldChar w:fldCharType="separate"/>
    </w:r>
    <w:r w:rsidR="00EA7271">
      <w:rPr>
        <w:b/>
        <w:noProof/>
        <w:sz w:val="18"/>
      </w:rPr>
      <w:t>2</w:t>
    </w:r>
    <w:r w:rsidRPr="00764C98">
      <w:rPr>
        <w:b/>
        <w:sz w:val="18"/>
      </w:rPr>
      <w:fldChar w:fldCharType="end"/>
    </w:r>
    <w:r>
      <w:rPr>
        <w:b/>
        <w:sz w:val="18"/>
      </w:rPr>
      <w:tab/>
    </w:r>
    <w:r>
      <w:t>GE.17-21786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98" w:rsidRPr="00764C98" w:rsidRDefault="00764C98" w:rsidP="00764C98">
    <w:pPr>
      <w:pStyle w:val="Footer"/>
      <w:tabs>
        <w:tab w:val="right" w:pos="9638"/>
      </w:tabs>
      <w:rPr>
        <w:b/>
        <w:sz w:val="18"/>
      </w:rPr>
    </w:pPr>
    <w:r>
      <w:t>GE.17-21786</w:t>
    </w:r>
    <w:r>
      <w:tab/>
    </w:r>
    <w:r w:rsidRPr="00764C98">
      <w:rPr>
        <w:b/>
        <w:sz w:val="18"/>
      </w:rPr>
      <w:fldChar w:fldCharType="begin"/>
    </w:r>
    <w:r w:rsidRPr="00764C98">
      <w:rPr>
        <w:b/>
        <w:sz w:val="18"/>
      </w:rPr>
      <w:instrText xml:space="preserve"> PAGE  \* MERGEFORMAT </w:instrText>
    </w:r>
    <w:r w:rsidRPr="00764C98">
      <w:rPr>
        <w:b/>
        <w:sz w:val="18"/>
      </w:rPr>
      <w:fldChar w:fldCharType="separate"/>
    </w:r>
    <w:r w:rsidR="00C10F53">
      <w:rPr>
        <w:b/>
        <w:noProof/>
        <w:sz w:val="18"/>
      </w:rPr>
      <w:t>1</w:t>
    </w:r>
    <w:r w:rsidRPr="00764C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64C98" w:rsidRDefault="00764C98" w:rsidP="00764C9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21786  (</w:t>
    </w:r>
    <w:proofErr w:type="gramEnd"/>
    <w:r>
      <w:rPr>
        <w:sz w:val="20"/>
      </w:rPr>
      <w:t>F)</w:t>
    </w:r>
    <w:r w:rsidR="002C0578">
      <w:rPr>
        <w:sz w:val="20"/>
      </w:rPr>
      <w:t xml:space="preserve">    020218    050218</w:t>
    </w:r>
    <w:r>
      <w:rPr>
        <w:sz w:val="20"/>
      </w:rPr>
      <w:br/>
    </w:r>
    <w:r w:rsidRPr="00764C98">
      <w:rPr>
        <w:rFonts w:ascii="C39T30Lfz" w:hAnsi="C39T30Lfz"/>
        <w:sz w:val="56"/>
      </w:rPr>
      <w:t></w:t>
    </w:r>
    <w:r w:rsidRPr="00764C98">
      <w:rPr>
        <w:rFonts w:ascii="C39T30Lfz" w:hAnsi="C39T30Lfz"/>
        <w:sz w:val="56"/>
      </w:rPr>
      <w:t></w:t>
    </w:r>
    <w:r w:rsidRPr="00764C98">
      <w:rPr>
        <w:rFonts w:ascii="C39T30Lfz" w:hAnsi="C39T30Lfz"/>
        <w:sz w:val="56"/>
      </w:rPr>
      <w:t></w:t>
    </w:r>
    <w:r w:rsidRPr="00764C98">
      <w:rPr>
        <w:rFonts w:ascii="C39T30Lfz" w:hAnsi="C39T30Lfz"/>
        <w:sz w:val="56"/>
      </w:rPr>
      <w:t></w:t>
    </w:r>
    <w:r w:rsidRPr="00764C98">
      <w:rPr>
        <w:rFonts w:ascii="C39T30Lfz" w:hAnsi="C39T30Lfz"/>
        <w:sz w:val="56"/>
      </w:rPr>
      <w:t></w:t>
    </w:r>
    <w:r w:rsidRPr="00764C98">
      <w:rPr>
        <w:rFonts w:ascii="C39T30Lfz" w:hAnsi="C39T30Lfz"/>
        <w:sz w:val="56"/>
      </w:rPr>
      <w:t></w:t>
    </w:r>
    <w:r w:rsidRPr="00764C98">
      <w:rPr>
        <w:rFonts w:ascii="C39T30Lfz" w:hAnsi="C39T30Lfz"/>
        <w:sz w:val="56"/>
      </w:rPr>
      <w:t></w:t>
    </w:r>
    <w:r w:rsidRPr="00764C98">
      <w:rPr>
        <w:rFonts w:ascii="C39T30Lfz" w:hAnsi="C39T30Lfz"/>
        <w:sz w:val="56"/>
      </w:rPr>
      <w:t></w:t>
    </w:r>
    <w:r w:rsidRPr="00764C9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4/Rev.2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4/Rev.2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FA" w:rsidRPr="00D27D5E" w:rsidRDefault="001469F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69FA" w:rsidRPr="00D171D4" w:rsidRDefault="001469F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469FA" w:rsidRPr="00C451B9" w:rsidRDefault="001469FA" w:rsidP="00C451B9">
      <w:pPr>
        <w:spacing w:line="240" w:lineRule="auto"/>
        <w:rPr>
          <w:sz w:val="2"/>
          <w:szCs w:val="2"/>
        </w:rPr>
      </w:pPr>
    </w:p>
  </w:footnote>
  <w:footnote w:id="2">
    <w:p w:rsidR="00E83F72" w:rsidRPr="005905DA" w:rsidRDefault="00E83F72" w:rsidP="00E83F72">
      <w:pPr>
        <w:pStyle w:val="FootnoteText"/>
      </w:pPr>
      <w:r w:rsidRPr="005905DA">
        <w:tab/>
      </w:r>
      <w:r w:rsidRPr="005905DA">
        <w:rPr>
          <w:sz w:val="20"/>
        </w:rPr>
        <w:t>*</w:t>
      </w:r>
      <w:r w:rsidRPr="005905DA">
        <w:rPr>
          <w:sz w:val="20"/>
        </w:rPr>
        <w:tab/>
      </w:r>
      <w:r w:rsidRPr="005905DA">
        <w:t>Anciens titres de l</w:t>
      </w:r>
      <w:r w:rsidR="00825864">
        <w:t>’</w:t>
      </w:r>
      <w:r w:rsidRPr="005905DA">
        <w:t>Accord</w:t>
      </w:r>
      <w:r>
        <w:t> </w:t>
      </w:r>
      <w:r w:rsidRPr="005905DA">
        <w:t>:</w:t>
      </w:r>
    </w:p>
    <w:p w:rsidR="00E83F72" w:rsidRPr="005905DA" w:rsidRDefault="00E83F72" w:rsidP="00E83F72">
      <w:pPr>
        <w:pStyle w:val="FootnoteText"/>
      </w:pPr>
      <w:r w:rsidRPr="005905DA">
        <w:tab/>
      </w:r>
      <w:r w:rsidRPr="005905DA">
        <w:tab/>
        <w:t>Accord concernant l</w:t>
      </w:r>
      <w:r w:rsidR="00825864">
        <w:t>’</w:t>
      </w:r>
      <w:r w:rsidRPr="005905DA">
        <w:t>adoption de conditions uniformes d</w:t>
      </w:r>
      <w:r w:rsidR="00825864">
        <w:t>’</w:t>
      </w:r>
      <w:r w:rsidRPr="005905DA">
        <w:t>homologation et la reconnaissance réciproque de l</w:t>
      </w:r>
      <w:r w:rsidR="00825864">
        <w:t>’</w:t>
      </w:r>
      <w:r w:rsidRPr="005905DA">
        <w:t xml:space="preserve">homologation des équipements et pièces de véhicules </w:t>
      </w:r>
      <w:r w:rsidR="00825864">
        <w:t>à moteur, en date, à Genève, du </w:t>
      </w:r>
      <w:r w:rsidRPr="005905DA">
        <w:t>20 mars 1958 (version originale)</w:t>
      </w:r>
      <w:r>
        <w:t> </w:t>
      </w:r>
      <w:r w:rsidRPr="005905DA">
        <w:t>;</w:t>
      </w:r>
    </w:p>
    <w:p w:rsidR="00E83F72" w:rsidRPr="005905DA" w:rsidRDefault="00E83F72" w:rsidP="00E83F72">
      <w:pPr>
        <w:pStyle w:val="FootnoteText"/>
      </w:pPr>
      <w:r w:rsidRPr="005905DA">
        <w:tab/>
      </w:r>
      <w:r w:rsidRPr="005905DA">
        <w:tab/>
        <w:t>Accord concernant l</w:t>
      </w:r>
      <w:r w:rsidR="00825864">
        <w:t>’</w:t>
      </w:r>
      <w:r w:rsidRPr="005905DA">
        <w:t>adoption de prescriptions techniques uniformes applicables aux véhicules à roues, aux équipements et aux pièces susceptibles d</w:t>
      </w:r>
      <w:r w:rsidR="00825864">
        <w:t>’</w:t>
      </w:r>
      <w:r w:rsidRPr="005905DA">
        <w:t>être montés ou utilisés sur un véhicule à roues et les conditions de reconnaissance réciproque des homologations délivrées conformément à ces prescriptions, en date, à Genève, du 5 octobre</w:t>
      </w:r>
      <w:r w:rsidR="00825864">
        <w:t xml:space="preserve"> </w:t>
      </w:r>
      <w:r w:rsidRPr="005905DA">
        <w:t>1995 (révision</w:t>
      </w:r>
      <w:r w:rsidR="00825864">
        <w:t xml:space="preserve"> </w:t>
      </w:r>
      <w:r w:rsidRPr="005905DA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98" w:rsidRPr="00832A7B" w:rsidRDefault="00EA7271">
    <w:pPr>
      <w:pStyle w:val="Header"/>
      <w:rPr>
        <w:lang w:val="en-GB"/>
      </w:rPr>
    </w:pPr>
    <w:r>
      <w:fldChar w:fldCharType="begin"/>
    </w:r>
    <w:r w:rsidRPr="00832A7B">
      <w:rPr>
        <w:lang w:val="en-GB"/>
      </w:rPr>
      <w:instrText xml:space="preserve"> TITLE  \* MERGEFORMAT </w:instrText>
    </w:r>
    <w:r>
      <w:fldChar w:fldCharType="separate"/>
    </w:r>
    <w:r w:rsidRPr="00832A7B">
      <w:rPr>
        <w:lang w:val="en-GB"/>
      </w:rPr>
      <w:t>E/ECE/324/Rev.1/Add.44/Rev.2/Amend.5</w:t>
    </w:r>
    <w:r>
      <w:fldChar w:fldCharType="end"/>
    </w:r>
    <w:r w:rsidR="00764C98" w:rsidRPr="00832A7B">
      <w:rPr>
        <w:lang w:val="en-GB"/>
      </w:rPr>
      <w:br/>
    </w:r>
    <w:r>
      <w:fldChar w:fldCharType="begin"/>
    </w:r>
    <w:r w:rsidRPr="00832A7B">
      <w:rPr>
        <w:lang w:val="en-GB"/>
      </w:rPr>
      <w:instrText xml:space="preserve"> KEYWORDS  \* MERGEFORMAT </w:instrText>
    </w:r>
    <w:r>
      <w:fldChar w:fldCharType="separate"/>
    </w:r>
    <w:r w:rsidRPr="00832A7B">
      <w:rPr>
        <w:lang w:val="en-GB"/>
      </w:rPr>
      <w:t>E/ECE/TRANS/505/Rev.1/Add.44/Rev.2/Amend.5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98" w:rsidRPr="00832A7B" w:rsidRDefault="00EA7271" w:rsidP="00764C98">
    <w:pPr>
      <w:pStyle w:val="Header"/>
      <w:jc w:val="right"/>
      <w:rPr>
        <w:lang w:val="en-GB"/>
      </w:rPr>
    </w:pPr>
    <w:r>
      <w:fldChar w:fldCharType="begin"/>
    </w:r>
    <w:r w:rsidRPr="00832A7B">
      <w:rPr>
        <w:lang w:val="en-GB"/>
      </w:rPr>
      <w:instrText xml:space="preserve"> TITLE  \* MERGEFORMAT </w:instrText>
    </w:r>
    <w:r>
      <w:fldChar w:fldCharType="separate"/>
    </w:r>
    <w:r w:rsidRPr="00832A7B">
      <w:rPr>
        <w:lang w:val="en-GB"/>
      </w:rPr>
      <w:t>E/ECE/324/Rev.1/Add.44/Rev.2/Amend.5</w:t>
    </w:r>
    <w:r>
      <w:fldChar w:fldCharType="end"/>
    </w:r>
    <w:r w:rsidR="00764C98" w:rsidRPr="00832A7B">
      <w:rPr>
        <w:lang w:val="en-GB"/>
      </w:rPr>
      <w:br/>
    </w:r>
    <w:r>
      <w:fldChar w:fldCharType="begin"/>
    </w:r>
    <w:r w:rsidRPr="00832A7B">
      <w:rPr>
        <w:lang w:val="en-GB"/>
      </w:rPr>
      <w:instrText xml:space="preserve"> KEYWORDS  \* MERGEFORMAT </w:instrText>
    </w:r>
    <w:r>
      <w:fldChar w:fldCharType="separate"/>
    </w:r>
    <w:r w:rsidRPr="00832A7B">
      <w:rPr>
        <w:lang w:val="en-GB"/>
      </w:rPr>
      <w:t>E/ECE/TRANS/505/Rev.1/Add.44/Rev.2/Amend.5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469FA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0578"/>
    <w:rsid w:val="002D25CA"/>
    <w:rsid w:val="002D3DA4"/>
    <w:rsid w:val="002D5419"/>
    <w:rsid w:val="002E2F5C"/>
    <w:rsid w:val="002F0C48"/>
    <w:rsid w:val="002F2A0C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173B"/>
    <w:rsid w:val="003D6C68"/>
    <w:rsid w:val="003E01D0"/>
    <w:rsid w:val="003E49B9"/>
    <w:rsid w:val="003E5E5B"/>
    <w:rsid w:val="003E5F12"/>
    <w:rsid w:val="003E786C"/>
    <w:rsid w:val="003F2A89"/>
    <w:rsid w:val="003F4A54"/>
    <w:rsid w:val="003F7AB3"/>
    <w:rsid w:val="003F7B62"/>
    <w:rsid w:val="0040144C"/>
    <w:rsid w:val="004067AE"/>
    <w:rsid w:val="00410521"/>
    <w:rsid w:val="00413BB0"/>
    <w:rsid w:val="004159D0"/>
    <w:rsid w:val="00416AC6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03A0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96663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61EE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4C98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5864"/>
    <w:rsid w:val="0082755E"/>
    <w:rsid w:val="00831A18"/>
    <w:rsid w:val="00832A7B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53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3F72"/>
    <w:rsid w:val="00E84A82"/>
    <w:rsid w:val="00E85025"/>
    <w:rsid w:val="00E9483E"/>
    <w:rsid w:val="00E96710"/>
    <w:rsid w:val="00E97E2C"/>
    <w:rsid w:val="00EA3B1D"/>
    <w:rsid w:val="00EA7271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8C447ADE-F641-487E-830B-CF45EE4E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596663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E/ECE/324/Rev.1/Add.44/Rev.2/Amend.5</vt:lpstr>
      <vt:lpstr>E/ECE/324/Rev.1/Add.44/Rev.2/Amend.5</vt:lpstr>
    </vt:vector>
  </TitlesOfParts>
  <Company>CSD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E/ECE/324/Rev.1/Add.44/Rev.2/Amend.5</dc:title>
  <dc:creator>Nicolas MORIN</dc:creator>
  <cp:keywords>E/ECE/TRANS/505/Rev.1/Add.44/Rev.2/Amend.5</cp:keywords>
  <cp:lastModifiedBy>Olivia Braud</cp:lastModifiedBy>
  <cp:revision>2</cp:revision>
  <cp:lastPrinted>2018-02-05T08:40:00Z</cp:lastPrinted>
  <dcterms:created xsi:type="dcterms:W3CDTF">2018-08-22T11:58:00Z</dcterms:created>
  <dcterms:modified xsi:type="dcterms:W3CDTF">2018-08-22T11:58:00Z</dcterms:modified>
</cp:coreProperties>
</file>