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416169" w:rsidRPr="00B928BB" w:rsidTr="00A20E61">
        <w:trPr>
          <w:trHeight w:hRule="exact" w:val="851"/>
        </w:trPr>
        <w:tc>
          <w:tcPr>
            <w:tcW w:w="1276" w:type="dxa"/>
            <w:tcBorders>
              <w:bottom w:val="single" w:sz="4" w:space="0" w:color="auto"/>
            </w:tcBorders>
          </w:tcPr>
          <w:p w:rsidR="00416169" w:rsidRPr="00DB58B5" w:rsidRDefault="00416169" w:rsidP="00416169">
            <w:bookmarkStart w:id="0" w:name="_GoBack"/>
            <w:bookmarkEnd w:id="0"/>
          </w:p>
        </w:tc>
        <w:tc>
          <w:tcPr>
            <w:tcW w:w="8363" w:type="dxa"/>
            <w:gridSpan w:val="2"/>
            <w:tcBorders>
              <w:bottom w:val="single" w:sz="4" w:space="0" w:color="auto"/>
            </w:tcBorders>
            <w:vAlign w:val="bottom"/>
          </w:tcPr>
          <w:p w:rsidR="00416169" w:rsidRPr="00B928BB" w:rsidRDefault="00416169" w:rsidP="00416169">
            <w:pPr>
              <w:jc w:val="right"/>
              <w:rPr>
                <w:lang w:val="en-GB"/>
              </w:rPr>
            </w:pPr>
            <w:r w:rsidRPr="00B928BB">
              <w:rPr>
                <w:sz w:val="40"/>
                <w:lang w:val="en-GB"/>
              </w:rPr>
              <w:t>E</w:t>
            </w:r>
            <w:r w:rsidRPr="00B928BB">
              <w:rPr>
                <w:lang w:val="en-GB"/>
              </w:rPr>
              <w:t>/ECE/324/Rev.1/Add.40/Rev.2/Amend.4−</w:t>
            </w:r>
            <w:r w:rsidRPr="00B928BB">
              <w:rPr>
                <w:sz w:val="40"/>
                <w:lang w:val="en-GB"/>
              </w:rPr>
              <w:t>E</w:t>
            </w:r>
            <w:r w:rsidRPr="00B928BB">
              <w:rPr>
                <w:lang w:val="en-GB"/>
              </w:rPr>
              <w:t>/ECE/TRANS/505/Rev.1/Add.40/Rev.2/Amend.4</w:t>
            </w:r>
          </w:p>
        </w:tc>
      </w:tr>
      <w:tr w:rsidR="0080236C" w:rsidRPr="00DB58B5" w:rsidTr="002443B1">
        <w:trPr>
          <w:trHeight w:hRule="exact" w:val="2835"/>
        </w:trPr>
        <w:tc>
          <w:tcPr>
            <w:tcW w:w="1276" w:type="dxa"/>
            <w:tcBorders>
              <w:top w:val="single" w:sz="4" w:space="0" w:color="auto"/>
              <w:bottom w:val="single" w:sz="12" w:space="0" w:color="auto"/>
            </w:tcBorders>
          </w:tcPr>
          <w:p w:rsidR="0080236C" w:rsidRPr="00B928BB" w:rsidRDefault="0080236C" w:rsidP="002443B1">
            <w:pPr>
              <w:spacing w:before="120"/>
              <w:jc w:val="center"/>
              <w:rPr>
                <w:lang w:val="en-GB"/>
              </w:rPr>
            </w:pPr>
          </w:p>
        </w:tc>
        <w:tc>
          <w:tcPr>
            <w:tcW w:w="5528" w:type="dxa"/>
            <w:tcBorders>
              <w:top w:val="single" w:sz="4" w:space="0" w:color="auto"/>
              <w:bottom w:val="single" w:sz="12" w:space="0" w:color="auto"/>
            </w:tcBorders>
          </w:tcPr>
          <w:p w:rsidR="0080236C" w:rsidRPr="00B928BB" w:rsidRDefault="0080236C" w:rsidP="002443B1">
            <w:pPr>
              <w:spacing w:before="120" w:line="420" w:lineRule="exact"/>
              <w:rPr>
                <w:b/>
                <w:sz w:val="40"/>
                <w:szCs w:val="40"/>
                <w:lang w:val="en-GB"/>
              </w:rPr>
            </w:pPr>
          </w:p>
        </w:tc>
        <w:tc>
          <w:tcPr>
            <w:tcW w:w="2835" w:type="dxa"/>
            <w:tcBorders>
              <w:top w:val="single" w:sz="4" w:space="0" w:color="auto"/>
              <w:bottom w:val="single" w:sz="12" w:space="0" w:color="auto"/>
            </w:tcBorders>
          </w:tcPr>
          <w:p w:rsidR="00416169" w:rsidRPr="00B928BB" w:rsidRDefault="00416169" w:rsidP="00416169">
            <w:pPr>
              <w:spacing w:before="240" w:line="240" w:lineRule="exact"/>
              <w:rPr>
                <w:lang w:val="en-GB"/>
              </w:rPr>
            </w:pPr>
          </w:p>
          <w:p w:rsidR="00416169" w:rsidRPr="00DB58B5" w:rsidRDefault="00416169" w:rsidP="00416169">
            <w:pPr>
              <w:spacing w:line="240" w:lineRule="exact"/>
            </w:pPr>
            <w:r>
              <w:t>28 octobre 2016</w:t>
            </w:r>
          </w:p>
        </w:tc>
      </w:tr>
    </w:tbl>
    <w:p w:rsidR="00416169" w:rsidRPr="00416169" w:rsidRDefault="00416169" w:rsidP="00416169">
      <w:pPr>
        <w:pStyle w:val="HChG"/>
        <w:spacing w:after="120"/>
        <w:rPr>
          <w:lang w:val="fr-FR"/>
        </w:rPr>
      </w:pPr>
      <w:bookmarkStart w:id="1" w:name="_Toc340666199"/>
      <w:bookmarkStart w:id="2" w:name="_Toc340745062"/>
      <w:r>
        <w:rPr>
          <w:lang w:val="fr-FR"/>
        </w:rPr>
        <w:tab/>
      </w:r>
      <w:r>
        <w:rPr>
          <w:lang w:val="fr-FR"/>
        </w:rPr>
        <w:tab/>
      </w:r>
      <w:r w:rsidRPr="00416169">
        <w:rPr>
          <w:lang w:val="fr-FR"/>
        </w:rPr>
        <w:t>A</w:t>
      </w:r>
      <w:bookmarkEnd w:id="1"/>
      <w:bookmarkEnd w:id="2"/>
      <w:r w:rsidRPr="00416169">
        <w:rPr>
          <w:lang w:val="fr-FR"/>
        </w:rPr>
        <w:t>ccord</w:t>
      </w:r>
    </w:p>
    <w:p w:rsidR="00416169" w:rsidRPr="00416169" w:rsidRDefault="00416169" w:rsidP="00416169">
      <w:pPr>
        <w:pStyle w:val="H1G"/>
        <w:spacing w:after="120"/>
        <w:rPr>
          <w:lang w:val="fr-FR"/>
        </w:rPr>
      </w:pPr>
      <w:r w:rsidRPr="00416169">
        <w:rPr>
          <w:lang w:val="fr-FR"/>
        </w:rPr>
        <w:tab/>
      </w:r>
      <w:r w:rsidRPr="00416169">
        <w:rPr>
          <w:lang w:val="fr-FR"/>
        </w:rPr>
        <w:tab/>
        <w:t xml:space="preserve">Concernant l’adoption de prescriptions techniques uniformes applicables aux véhicules à roues, aux équipements et aux pièces susceptibles d’être montés ou utilisés sur un véhicule à roues </w:t>
      </w:r>
      <w:r>
        <w:rPr>
          <w:lang w:val="fr-FR"/>
        </w:rPr>
        <w:br/>
      </w:r>
      <w:r w:rsidRPr="00416169">
        <w:rPr>
          <w:lang w:val="fr-FR"/>
        </w:rPr>
        <w:t>et les conditions de reconnaissance réciproque des homologations délivrées conformément à ces prescriptions</w:t>
      </w:r>
      <w:r w:rsidRPr="00416169">
        <w:rPr>
          <w:b w:val="0"/>
          <w:lang w:val="fr-FR"/>
        </w:rPr>
        <w:footnoteReference w:customMarkFollows="1" w:id="2"/>
        <w:t>*</w:t>
      </w:r>
    </w:p>
    <w:p w:rsidR="00416169" w:rsidRDefault="00416169" w:rsidP="00416169">
      <w:pPr>
        <w:pStyle w:val="SingleTxtG"/>
        <w:rPr>
          <w:lang w:val="fr-FR"/>
        </w:rPr>
      </w:pPr>
      <w:r w:rsidRPr="00416169">
        <w:rPr>
          <w:lang w:val="fr-FR"/>
        </w:rPr>
        <w:t>(Ré</w:t>
      </w:r>
      <w:r>
        <w:rPr>
          <w:lang w:val="fr-FR"/>
        </w:rPr>
        <w:t>vision </w:t>
      </w:r>
      <w:r w:rsidRPr="00416169">
        <w:rPr>
          <w:lang w:val="fr-FR"/>
        </w:rPr>
        <w:t>2, comprenant les amendements entrés en vigueur le 16 octobre 1995)</w:t>
      </w:r>
    </w:p>
    <w:p w:rsidR="00416169" w:rsidRPr="00416169" w:rsidRDefault="00416169" w:rsidP="00416169">
      <w:pPr>
        <w:pStyle w:val="H1G"/>
        <w:spacing w:before="120" w:after="120"/>
        <w:ind w:left="0" w:right="0" w:firstLine="0"/>
        <w:jc w:val="center"/>
      </w:pPr>
      <w:r>
        <w:t>_________</w:t>
      </w:r>
    </w:p>
    <w:p w:rsidR="00416169" w:rsidRPr="00416169" w:rsidRDefault="00416169" w:rsidP="00416169">
      <w:pPr>
        <w:pStyle w:val="H1G"/>
        <w:spacing w:before="240"/>
        <w:rPr>
          <w:lang w:val="fr-FR"/>
        </w:rPr>
      </w:pPr>
      <w:r w:rsidRPr="00416169">
        <w:rPr>
          <w:lang w:val="fr-FR"/>
        </w:rPr>
        <w:tab/>
      </w:r>
      <w:r w:rsidRPr="00416169">
        <w:rPr>
          <w:lang w:val="fr-FR"/>
        </w:rPr>
        <w:tab/>
        <w:t>Additif 40 </w:t>
      </w:r>
      <w:r>
        <w:rPr>
          <w:lang w:val="fr-FR"/>
        </w:rPr>
        <w:t>–</w:t>
      </w:r>
      <w:r w:rsidRPr="00416169">
        <w:rPr>
          <w:lang w:val="fr-FR"/>
        </w:rPr>
        <w:t xml:space="preserve"> Règlement </w:t>
      </w:r>
      <w:r w:rsidRPr="00416169">
        <w:rPr>
          <w:rFonts w:eastAsia="MS Mincho"/>
          <w:szCs w:val="22"/>
          <w:lang w:val="fr-FR"/>
        </w:rPr>
        <w:t>n</w:t>
      </w:r>
      <w:r w:rsidRPr="00416169">
        <w:rPr>
          <w:rFonts w:eastAsia="MS Mincho"/>
          <w:szCs w:val="22"/>
          <w:vertAlign w:val="superscript"/>
          <w:lang w:val="fr-FR"/>
        </w:rPr>
        <w:t>o</w:t>
      </w:r>
      <w:r w:rsidRPr="00416169">
        <w:rPr>
          <w:lang w:val="fr-FR"/>
        </w:rPr>
        <w:t> 41</w:t>
      </w:r>
    </w:p>
    <w:p w:rsidR="00416169" w:rsidRPr="00416169" w:rsidRDefault="00416169" w:rsidP="00416169">
      <w:pPr>
        <w:pStyle w:val="H1G"/>
        <w:spacing w:before="240"/>
        <w:rPr>
          <w:lang w:val="fr-FR"/>
        </w:rPr>
      </w:pPr>
      <w:r w:rsidRPr="00416169">
        <w:rPr>
          <w:lang w:val="fr-FR"/>
        </w:rPr>
        <w:tab/>
      </w:r>
      <w:r w:rsidRPr="00416169">
        <w:rPr>
          <w:lang w:val="fr-FR"/>
        </w:rPr>
        <w:tab/>
        <w:t xml:space="preserve">Révision 2 </w:t>
      </w:r>
      <w:r>
        <w:rPr>
          <w:lang w:val="fr-FR"/>
        </w:rPr>
        <w:t>–</w:t>
      </w:r>
      <w:r w:rsidRPr="00416169">
        <w:rPr>
          <w:lang w:val="fr-FR"/>
        </w:rPr>
        <w:t xml:space="preserve"> Amendement 4</w:t>
      </w:r>
    </w:p>
    <w:p w:rsidR="00416169" w:rsidRPr="00416169" w:rsidRDefault="00416169" w:rsidP="00416169">
      <w:pPr>
        <w:pStyle w:val="SingleTxtG"/>
        <w:rPr>
          <w:lang w:val="fr-FR"/>
        </w:rPr>
      </w:pPr>
      <w:r w:rsidRPr="00416169">
        <w:rPr>
          <w:lang w:val="fr-FR"/>
        </w:rPr>
        <w:t xml:space="preserve">Complément 4 à la série 04 d’amendements </w:t>
      </w:r>
      <w:r>
        <w:rPr>
          <w:lang w:val="fr-FR"/>
        </w:rPr>
        <w:t>–</w:t>
      </w:r>
      <w:r w:rsidRPr="00416169">
        <w:rPr>
          <w:lang w:val="fr-FR"/>
        </w:rPr>
        <w:t xml:space="preserve"> Date d’entrée en vigueur : 8 octobre 2016</w:t>
      </w:r>
    </w:p>
    <w:p w:rsidR="00416169" w:rsidRPr="00416169" w:rsidRDefault="00416169" w:rsidP="00416169">
      <w:pPr>
        <w:pStyle w:val="H1G"/>
        <w:rPr>
          <w:lang w:val="fr-FR"/>
        </w:rPr>
      </w:pPr>
      <w:r w:rsidRPr="00416169">
        <w:rPr>
          <w:lang w:val="fr-FR"/>
        </w:rPr>
        <w:tab/>
      </w:r>
      <w:r w:rsidRPr="00416169">
        <w:rPr>
          <w:lang w:val="fr-FR"/>
        </w:rPr>
        <w:tab/>
        <w:t xml:space="preserve">Prescriptions uniformes relatives à l’homologation des motocycles </w:t>
      </w:r>
      <w:r>
        <w:rPr>
          <w:lang w:val="fr-FR"/>
        </w:rPr>
        <w:br/>
      </w:r>
      <w:r w:rsidRPr="00416169">
        <w:rPr>
          <w:lang w:val="fr-FR"/>
        </w:rPr>
        <w:t>en ce qui concerne le bruit</w:t>
      </w:r>
    </w:p>
    <w:p w:rsidR="00416169" w:rsidRPr="00416169" w:rsidRDefault="00416169" w:rsidP="00416169">
      <w:pPr>
        <w:pStyle w:val="SingleTxtG"/>
        <w:ind w:firstLine="567"/>
        <w:rPr>
          <w:lang w:val="fr-FR"/>
        </w:rPr>
      </w:pPr>
      <w:r w:rsidRPr="00416169">
        <w:rPr>
          <w:lang w:val="fr-FR"/>
        </w:rPr>
        <w:t>Ce document est un outil de documentation. Le texte authentique et contraignant juridique est : ECE/TRANS/WP.29/2016/3.</w:t>
      </w:r>
    </w:p>
    <w:p w:rsidR="00416169" w:rsidRPr="00416169" w:rsidRDefault="00416169" w:rsidP="00416169">
      <w:pPr>
        <w:pStyle w:val="H1G"/>
        <w:spacing w:before="120" w:after="120"/>
        <w:ind w:left="0" w:right="0" w:firstLine="0"/>
        <w:jc w:val="center"/>
      </w:pPr>
      <w:r w:rsidRPr="00416169">
        <w:rPr>
          <w:noProof/>
        </w:rPr>
        <w:lastRenderedPageBreak/>
        <w:drawing>
          <wp:anchor distT="0" distB="137160" distL="114300" distR="114300" simplePos="0" relativeHeight="251659264" behindDoc="0" locked="0" layoutInCell="1" allowOverlap="1" wp14:anchorId="640EA54F" wp14:editId="20E8AE6E">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t>_________</w:t>
      </w:r>
    </w:p>
    <w:p w:rsidR="00416169" w:rsidRPr="00526FD0" w:rsidRDefault="00416169" w:rsidP="00416169">
      <w:pPr>
        <w:pStyle w:val="SingleTxtG"/>
        <w:jc w:val="center"/>
        <w:rPr>
          <w:b/>
          <w:sz w:val="24"/>
          <w:szCs w:val="24"/>
          <w:lang w:val="fr-FR"/>
        </w:rPr>
      </w:pPr>
      <w:r w:rsidRPr="00526FD0">
        <w:rPr>
          <w:b/>
          <w:sz w:val="24"/>
          <w:szCs w:val="24"/>
          <w:lang w:val="fr-FR"/>
        </w:rPr>
        <w:t>Nations Unies</w:t>
      </w:r>
    </w:p>
    <w:p w:rsidR="00416169" w:rsidRPr="00416169" w:rsidRDefault="00416169" w:rsidP="00416169">
      <w:pPr>
        <w:pStyle w:val="SingleTxtG"/>
        <w:rPr>
          <w:lang w:val="fr-FR"/>
        </w:rPr>
      </w:pPr>
      <w:r w:rsidRPr="00416169">
        <w:rPr>
          <w:i/>
          <w:lang w:val="fr-FR"/>
        </w:rPr>
        <w:t>Paragraph</w:t>
      </w:r>
      <w:r>
        <w:rPr>
          <w:i/>
          <w:lang w:val="fr-FR"/>
        </w:rPr>
        <w:t>e </w:t>
      </w:r>
      <w:r w:rsidRPr="00416169">
        <w:rPr>
          <w:i/>
          <w:lang w:val="fr-FR"/>
        </w:rPr>
        <w:t>2.13, tableau</w:t>
      </w:r>
      <w:r w:rsidRPr="00416169">
        <w:rPr>
          <w:lang w:val="fr-FR"/>
        </w:rPr>
        <w:t>, lire :</w:t>
      </w:r>
    </w:p>
    <w:p w:rsidR="00416169" w:rsidRPr="00416169" w:rsidRDefault="00416169" w:rsidP="00416169">
      <w:pPr>
        <w:pStyle w:val="SingleTxtG"/>
        <w:rPr>
          <w:lang w:val="fr-FR"/>
        </w:rPr>
      </w:pPr>
      <w:r w:rsidRPr="00416169">
        <w:rPr>
          <w:lang w:val="fr-FR"/>
        </w:rPr>
        <w:t>« </w:t>
      </w:r>
    </w:p>
    <w:tbl>
      <w:tblPr>
        <w:tblW w:w="7370" w:type="dxa"/>
        <w:tblInd w:w="1134" w:type="dxa"/>
        <w:tblLayout w:type="fixed"/>
        <w:tblCellMar>
          <w:left w:w="0" w:type="dxa"/>
          <w:right w:w="0" w:type="dxa"/>
        </w:tblCellMar>
        <w:tblLook w:val="01E0" w:firstRow="1" w:lastRow="1" w:firstColumn="1" w:lastColumn="1" w:noHBand="0" w:noVBand="0"/>
      </w:tblPr>
      <w:tblGrid>
        <w:gridCol w:w="1221"/>
        <w:gridCol w:w="945"/>
        <w:gridCol w:w="2937"/>
        <w:gridCol w:w="2267"/>
      </w:tblGrid>
      <w:tr w:rsidR="00416169" w:rsidRPr="00416169" w:rsidTr="00416169">
        <w:trPr>
          <w:tblHeader/>
        </w:trPr>
        <w:tc>
          <w:tcPr>
            <w:tcW w:w="1221" w:type="dxa"/>
            <w:tcBorders>
              <w:top w:val="single" w:sz="4" w:space="0" w:color="auto"/>
              <w:bottom w:val="single" w:sz="12" w:space="0" w:color="auto"/>
            </w:tcBorders>
            <w:shd w:val="clear" w:color="auto" w:fill="auto"/>
            <w:tcMar>
              <w:top w:w="0" w:type="dxa"/>
              <w:left w:w="0" w:type="dxa"/>
              <w:bottom w:w="0" w:type="dxa"/>
              <w:right w:w="108" w:type="dxa"/>
            </w:tcMar>
            <w:vAlign w:val="bottom"/>
            <w:hideMark/>
          </w:tcPr>
          <w:p w:rsidR="00416169" w:rsidRPr="00416169" w:rsidRDefault="00416169" w:rsidP="00416169">
            <w:pPr>
              <w:spacing w:before="80" w:after="80" w:line="200" w:lineRule="exact"/>
              <w:ind w:right="113"/>
              <w:rPr>
                <w:i/>
                <w:sz w:val="16"/>
                <w:lang w:val="fr-FR"/>
              </w:rPr>
            </w:pPr>
            <w:r w:rsidRPr="00416169">
              <w:rPr>
                <w:i/>
                <w:sz w:val="16"/>
                <w:lang w:val="fr-FR"/>
              </w:rPr>
              <w:t>Symbole</w:t>
            </w:r>
          </w:p>
        </w:tc>
        <w:tc>
          <w:tcPr>
            <w:tcW w:w="945" w:type="dxa"/>
            <w:tcBorders>
              <w:top w:val="single" w:sz="4" w:space="0" w:color="auto"/>
              <w:bottom w:val="single" w:sz="12" w:space="0" w:color="auto"/>
            </w:tcBorders>
            <w:shd w:val="clear" w:color="auto" w:fill="auto"/>
            <w:tcMar>
              <w:top w:w="0" w:type="dxa"/>
              <w:left w:w="0" w:type="dxa"/>
              <w:bottom w:w="0" w:type="dxa"/>
              <w:right w:w="108" w:type="dxa"/>
            </w:tcMar>
            <w:vAlign w:val="bottom"/>
            <w:hideMark/>
          </w:tcPr>
          <w:p w:rsidR="00416169" w:rsidRPr="00416169" w:rsidRDefault="00416169" w:rsidP="00416169">
            <w:pPr>
              <w:spacing w:before="80" w:after="80" w:line="200" w:lineRule="exact"/>
              <w:ind w:right="113"/>
              <w:rPr>
                <w:i/>
                <w:sz w:val="16"/>
                <w:lang w:val="fr-FR"/>
              </w:rPr>
            </w:pPr>
            <w:r w:rsidRPr="00416169">
              <w:rPr>
                <w:i/>
                <w:sz w:val="16"/>
                <w:lang w:val="fr-FR"/>
              </w:rPr>
              <w:t>Unité</w:t>
            </w:r>
          </w:p>
        </w:tc>
        <w:tc>
          <w:tcPr>
            <w:tcW w:w="2937" w:type="dxa"/>
            <w:tcBorders>
              <w:top w:val="single" w:sz="4" w:space="0" w:color="auto"/>
              <w:bottom w:val="single" w:sz="12" w:space="0" w:color="auto"/>
            </w:tcBorders>
            <w:shd w:val="clear" w:color="auto" w:fill="auto"/>
            <w:tcMar>
              <w:top w:w="0" w:type="dxa"/>
              <w:left w:w="0" w:type="dxa"/>
              <w:bottom w:w="0" w:type="dxa"/>
              <w:right w:w="108" w:type="dxa"/>
            </w:tcMar>
            <w:vAlign w:val="bottom"/>
            <w:hideMark/>
          </w:tcPr>
          <w:p w:rsidR="00416169" w:rsidRPr="00416169" w:rsidRDefault="00416169" w:rsidP="00416169">
            <w:pPr>
              <w:spacing w:before="80" w:after="80" w:line="200" w:lineRule="exact"/>
              <w:ind w:right="113"/>
              <w:rPr>
                <w:i/>
                <w:sz w:val="16"/>
                <w:lang w:val="fr-FR"/>
              </w:rPr>
            </w:pPr>
            <w:r w:rsidRPr="00416169">
              <w:rPr>
                <w:i/>
                <w:sz w:val="16"/>
                <w:lang w:val="fr-FR"/>
              </w:rPr>
              <w:t>Signification</w:t>
            </w:r>
          </w:p>
        </w:tc>
        <w:tc>
          <w:tcPr>
            <w:tcW w:w="2267" w:type="dxa"/>
            <w:tcBorders>
              <w:top w:val="single" w:sz="4" w:space="0" w:color="auto"/>
              <w:bottom w:val="single" w:sz="12" w:space="0" w:color="auto"/>
            </w:tcBorders>
            <w:shd w:val="clear" w:color="auto" w:fill="auto"/>
            <w:tcMar>
              <w:top w:w="0" w:type="dxa"/>
              <w:left w:w="0" w:type="dxa"/>
              <w:bottom w:w="0" w:type="dxa"/>
              <w:right w:w="108" w:type="dxa"/>
            </w:tcMar>
            <w:vAlign w:val="bottom"/>
            <w:hideMark/>
          </w:tcPr>
          <w:p w:rsidR="00416169" w:rsidRPr="00416169" w:rsidRDefault="00416169" w:rsidP="00416169">
            <w:pPr>
              <w:spacing w:before="80" w:after="80" w:line="200" w:lineRule="exact"/>
              <w:ind w:right="113"/>
              <w:rPr>
                <w:i/>
                <w:sz w:val="16"/>
                <w:lang w:val="fr-FR"/>
              </w:rPr>
            </w:pPr>
            <w:r w:rsidRPr="00416169">
              <w:rPr>
                <w:i/>
                <w:sz w:val="16"/>
                <w:lang w:val="fr-FR"/>
              </w:rPr>
              <w:t>Référence</w:t>
            </w:r>
          </w:p>
        </w:tc>
      </w:tr>
      <w:tr w:rsidR="00416169" w:rsidRPr="00416169" w:rsidTr="00416169">
        <w:trPr>
          <w:trHeight w:hRule="exact" w:val="113"/>
          <w:tblHeader/>
        </w:trPr>
        <w:tc>
          <w:tcPr>
            <w:tcW w:w="1221" w:type="dxa"/>
            <w:tcBorders>
              <w:top w:val="single" w:sz="12" w:space="0" w:color="auto"/>
            </w:tcBorders>
            <w:shd w:val="clear" w:color="auto" w:fill="auto"/>
            <w:tcMar>
              <w:top w:w="0" w:type="dxa"/>
              <w:left w:w="0" w:type="dxa"/>
              <w:bottom w:w="0" w:type="dxa"/>
              <w:right w:w="108" w:type="dxa"/>
            </w:tcMar>
          </w:tcPr>
          <w:p w:rsidR="00416169" w:rsidRPr="00416169" w:rsidRDefault="00416169" w:rsidP="00416169">
            <w:pPr>
              <w:spacing w:before="40" w:after="120"/>
              <w:ind w:right="113"/>
              <w:rPr>
                <w:lang w:val="fr-FR"/>
              </w:rPr>
            </w:pPr>
          </w:p>
        </w:tc>
        <w:tc>
          <w:tcPr>
            <w:tcW w:w="945" w:type="dxa"/>
            <w:tcBorders>
              <w:top w:val="single" w:sz="12" w:space="0" w:color="auto"/>
            </w:tcBorders>
            <w:shd w:val="clear" w:color="auto" w:fill="auto"/>
            <w:tcMar>
              <w:top w:w="0" w:type="dxa"/>
              <w:left w:w="0" w:type="dxa"/>
              <w:bottom w:w="0" w:type="dxa"/>
              <w:right w:w="108" w:type="dxa"/>
            </w:tcMar>
          </w:tcPr>
          <w:p w:rsidR="00416169" w:rsidRPr="00416169" w:rsidRDefault="00416169" w:rsidP="00416169">
            <w:pPr>
              <w:spacing w:before="40" w:after="120"/>
              <w:ind w:right="113"/>
              <w:rPr>
                <w:lang w:val="fr-FR"/>
              </w:rPr>
            </w:pPr>
          </w:p>
        </w:tc>
        <w:tc>
          <w:tcPr>
            <w:tcW w:w="2937" w:type="dxa"/>
            <w:tcBorders>
              <w:top w:val="single" w:sz="12" w:space="0" w:color="auto"/>
            </w:tcBorders>
            <w:shd w:val="clear" w:color="auto" w:fill="auto"/>
            <w:tcMar>
              <w:top w:w="0" w:type="dxa"/>
              <w:left w:w="0" w:type="dxa"/>
              <w:bottom w:w="0" w:type="dxa"/>
              <w:right w:w="108" w:type="dxa"/>
            </w:tcMar>
          </w:tcPr>
          <w:p w:rsidR="00416169" w:rsidRPr="00416169" w:rsidRDefault="00416169" w:rsidP="00416169">
            <w:pPr>
              <w:spacing w:before="40" w:after="120"/>
              <w:ind w:right="113"/>
              <w:rPr>
                <w:lang w:val="fr-FR"/>
              </w:rPr>
            </w:pPr>
          </w:p>
        </w:tc>
        <w:tc>
          <w:tcPr>
            <w:tcW w:w="2267" w:type="dxa"/>
            <w:tcBorders>
              <w:top w:val="single" w:sz="12" w:space="0" w:color="auto"/>
            </w:tcBorders>
            <w:shd w:val="clear" w:color="auto" w:fill="auto"/>
            <w:tcMar>
              <w:top w:w="0" w:type="dxa"/>
              <w:left w:w="0" w:type="dxa"/>
              <w:bottom w:w="0" w:type="dxa"/>
              <w:right w:w="108" w:type="dxa"/>
            </w:tcMar>
          </w:tcPr>
          <w:p w:rsidR="00416169" w:rsidRPr="00416169" w:rsidRDefault="00416169" w:rsidP="00416169">
            <w:pPr>
              <w:spacing w:before="40" w:after="120"/>
              <w:ind w:right="113"/>
              <w:rPr>
                <w:lang w:val="fr-FR"/>
              </w:rPr>
            </w:pPr>
          </w:p>
        </w:tc>
      </w:tr>
      <w:tr w:rsidR="00416169" w:rsidRPr="00416169" w:rsidTr="00416169">
        <w:tc>
          <w:tcPr>
            <w:tcW w:w="1221" w:type="dxa"/>
            <w:shd w:val="clear" w:color="auto" w:fill="auto"/>
            <w:tcMar>
              <w:top w:w="0" w:type="dxa"/>
              <w:left w:w="0" w:type="dxa"/>
              <w:bottom w:w="0" w:type="dxa"/>
              <w:right w:w="108" w:type="dxa"/>
            </w:tcMar>
          </w:tcPr>
          <w:p w:rsidR="00416169" w:rsidRPr="00416169" w:rsidRDefault="00416169" w:rsidP="00416169">
            <w:pPr>
              <w:spacing w:before="40" w:after="120"/>
              <w:ind w:right="113"/>
              <w:rPr>
                <w:lang w:val="fr-FR"/>
              </w:rPr>
            </w:pPr>
            <w:r w:rsidRPr="00416169">
              <w:rPr>
                <w:lang w:val="fr-FR"/>
              </w:rPr>
              <w:t>…</w:t>
            </w:r>
          </w:p>
        </w:tc>
        <w:tc>
          <w:tcPr>
            <w:tcW w:w="945" w:type="dxa"/>
            <w:shd w:val="clear" w:color="auto" w:fill="auto"/>
            <w:tcMar>
              <w:top w:w="0" w:type="dxa"/>
              <w:left w:w="0" w:type="dxa"/>
              <w:bottom w:w="0" w:type="dxa"/>
              <w:right w:w="108" w:type="dxa"/>
            </w:tcMar>
          </w:tcPr>
          <w:p w:rsidR="00416169" w:rsidRPr="00416169" w:rsidRDefault="00416169" w:rsidP="00416169">
            <w:pPr>
              <w:spacing w:before="40" w:after="120"/>
              <w:ind w:right="113"/>
              <w:rPr>
                <w:lang w:val="fr-FR"/>
              </w:rPr>
            </w:pPr>
            <w:r w:rsidRPr="00416169">
              <w:rPr>
                <w:lang w:val="fr-FR"/>
              </w:rPr>
              <w:t>…</w:t>
            </w:r>
          </w:p>
        </w:tc>
        <w:tc>
          <w:tcPr>
            <w:tcW w:w="2937" w:type="dxa"/>
            <w:shd w:val="clear" w:color="auto" w:fill="auto"/>
            <w:tcMar>
              <w:top w:w="0" w:type="dxa"/>
              <w:left w:w="0" w:type="dxa"/>
              <w:bottom w:w="0" w:type="dxa"/>
              <w:right w:w="108" w:type="dxa"/>
            </w:tcMar>
          </w:tcPr>
          <w:p w:rsidR="00416169" w:rsidRPr="00416169" w:rsidRDefault="00416169" w:rsidP="00416169">
            <w:pPr>
              <w:spacing w:before="40" w:after="120"/>
              <w:ind w:right="113"/>
              <w:rPr>
                <w:lang w:val="fr-FR"/>
              </w:rPr>
            </w:pPr>
            <w:r w:rsidRPr="00416169">
              <w:rPr>
                <w:lang w:val="fr-FR"/>
              </w:rPr>
              <w:t>…</w:t>
            </w:r>
          </w:p>
        </w:tc>
        <w:tc>
          <w:tcPr>
            <w:tcW w:w="2267" w:type="dxa"/>
            <w:shd w:val="clear" w:color="auto" w:fill="auto"/>
            <w:tcMar>
              <w:top w:w="0" w:type="dxa"/>
              <w:left w:w="0" w:type="dxa"/>
              <w:bottom w:w="0" w:type="dxa"/>
              <w:right w:w="108" w:type="dxa"/>
            </w:tcMar>
          </w:tcPr>
          <w:p w:rsidR="00416169" w:rsidRPr="00416169" w:rsidRDefault="00416169" w:rsidP="00416169">
            <w:pPr>
              <w:spacing w:before="40" w:after="120"/>
              <w:ind w:right="113"/>
              <w:rPr>
                <w:lang w:val="fr-FR"/>
              </w:rPr>
            </w:pPr>
            <w:r w:rsidRPr="00416169">
              <w:rPr>
                <w:lang w:val="fr-FR"/>
              </w:rPr>
              <w:t>…</w:t>
            </w:r>
          </w:p>
        </w:tc>
      </w:tr>
      <w:tr w:rsidR="00416169" w:rsidRPr="00416169" w:rsidTr="00416169">
        <w:tc>
          <w:tcPr>
            <w:tcW w:w="1221" w:type="dxa"/>
            <w:shd w:val="clear" w:color="auto" w:fill="auto"/>
            <w:tcMar>
              <w:top w:w="0" w:type="dxa"/>
              <w:left w:w="0" w:type="dxa"/>
              <w:bottom w:w="0" w:type="dxa"/>
              <w:right w:w="108" w:type="dxa"/>
            </w:tcMar>
            <w:hideMark/>
          </w:tcPr>
          <w:p w:rsidR="00416169" w:rsidRPr="00416169" w:rsidRDefault="00416169" w:rsidP="00416169">
            <w:pPr>
              <w:spacing w:before="40" w:after="120"/>
              <w:ind w:right="113"/>
              <w:rPr>
                <w:lang w:val="fr-FR"/>
              </w:rPr>
            </w:pPr>
            <w:r w:rsidRPr="00416169">
              <w:rPr>
                <w:lang w:val="fr-FR"/>
              </w:rPr>
              <w:t xml:space="preserve">L </w:t>
            </w:r>
          </w:p>
        </w:tc>
        <w:tc>
          <w:tcPr>
            <w:tcW w:w="945" w:type="dxa"/>
            <w:shd w:val="clear" w:color="auto" w:fill="auto"/>
            <w:tcMar>
              <w:top w:w="0" w:type="dxa"/>
              <w:left w:w="0" w:type="dxa"/>
              <w:bottom w:w="0" w:type="dxa"/>
              <w:right w:w="108" w:type="dxa"/>
            </w:tcMar>
            <w:hideMark/>
          </w:tcPr>
          <w:p w:rsidR="00416169" w:rsidRPr="00416169" w:rsidRDefault="00416169" w:rsidP="00416169">
            <w:pPr>
              <w:spacing w:before="40" w:after="120"/>
              <w:ind w:right="113"/>
              <w:rPr>
                <w:lang w:val="fr-FR"/>
              </w:rPr>
            </w:pPr>
            <w:proofErr w:type="gramStart"/>
            <w:r w:rsidRPr="00416169">
              <w:rPr>
                <w:lang w:val="fr-FR"/>
              </w:rPr>
              <w:t>dB</w:t>
            </w:r>
            <w:proofErr w:type="gramEnd"/>
            <w:r w:rsidRPr="00416169">
              <w:rPr>
                <w:lang w:val="fr-FR"/>
              </w:rPr>
              <w:t>(A)</w:t>
            </w:r>
          </w:p>
        </w:tc>
        <w:tc>
          <w:tcPr>
            <w:tcW w:w="2937" w:type="dxa"/>
            <w:shd w:val="clear" w:color="auto" w:fill="auto"/>
            <w:tcMar>
              <w:top w:w="0" w:type="dxa"/>
              <w:left w:w="0" w:type="dxa"/>
              <w:bottom w:w="0" w:type="dxa"/>
              <w:right w:w="108" w:type="dxa"/>
            </w:tcMar>
            <w:hideMark/>
          </w:tcPr>
          <w:p w:rsidR="00416169" w:rsidRPr="00416169" w:rsidRDefault="00416169" w:rsidP="00416169">
            <w:pPr>
              <w:spacing w:before="40" w:after="120"/>
              <w:ind w:right="113"/>
              <w:rPr>
                <w:lang w:val="fr-FR"/>
              </w:rPr>
            </w:pPr>
            <w:proofErr w:type="gramStart"/>
            <w:r w:rsidRPr="00416169">
              <w:rPr>
                <w:lang w:val="fr-FR"/>
              </w:rPr>
              <w:t>niveau</w:t>
            </w:r>
            <w:proofErr w:type="gramEnd"/>
            <w:r w:rsidRPr="00416169">
              <w:rPr>
                <w:lang w:val="fr-FR"/>
              </w:rPr>
              <w:t xml:space="preserve"> de pression acoustique</w:t>
            </w:r>
          </w:p>
        </w:tc>
        <w:tc>
          <w:tcPr>
            <w:tcW w:w="2267" w:type="dxa"/>
            <w:shd w:val="clear" w:color="auto" w:fill="auto"/>
            <w:tcMar>
              <w:top w:w="0" w:type="dxa"/>
              <w:left w:w="0" w:type="dxa"/>
              <w:bottom w:w="0" w:type="dxa"/>
              <w:right w:w="108" w:type="dxa"/>
            </w:tcMar>
            <w:hideMark/>
          </w:tcPr>
          <w:p w:rsidR="00416169" w:rsidRPr="00416169" w:rsidRDefault="00416169" w:rsidP="00416169">
            <w:pPr>
              <w:spacing w:before="40" w:after="120"/>
              <w:ind w:right="113"/>
              <w:rPr>
                <w:lang w:val="fr-FR"/>
              </w:rPr>
            </w:pPr>
            <w:r w:rsidRPr="00416169">
              <w:rPr>
                <w:lang w:val="fr-FR"/>
              </w:rPr>
              <w:t>Annexe</w:t>
            </w:r>
            <w:r>
              <w:rPr>
                <w:lang w:val="fr-FR"/>
              </w:rPr>
              <w:t xml:space="preserve"> 3 – </w:t>
            </w:r>
            <w:r w:rsidRPr="00416169">
              <w:rPr>
                <w:lang w:val="fr-FR"/>
              </w:rPr>
              <w:t>1.4.1</w:t>
            </w:r>
          </w:p>
        </w:tc>
      </w:tr>
      <w:tr w:rsidR="00416169" w:rsidRPr="00416169" w:rsidTr="00416169">
        <w:tc>
          <w:tcPr>
            <w:tcW w:w="1221" w:type="dxa"/>
            <w:shd w:val="clear" w:color="auto" w:fill="auto"/>
            <w:tcMar>
              <w:top w:w="0" w:type="dxa"/>
              <w:left w:w="0" w:type="dxa"/>
              <w:bottom w:w="0" w:type="dxa"/>
              <w:right w:w="108" w:type="dxa"/>
            </w:tcMar>
          </w:tcPr>
          <w:p w:rsidR="00416169" w:rsidRPr="00416169" w:rsidRDefault="00416169" w:rsidP="00416169">
            <w:pPr>
              <w:spacing w:before="40" w:after="120"/>
              <w:ind w:right="113"/>
              <w:rPr>
                <w:lang w:val="fr-FR"/>
              </w:rPr>
            </w:pPr>
            <w:r w:rsidRPr="00416169">
              <w:rPr>
                <w:lang w:val="fr-FR"/>
              </w:rPr>
              <w:t>L</w:t>
            </w:r>
            <w:r w:rsidRPr="00416169">
              <w:rPr>
                <w:vertAlign w:val="subscript"/>
                <w:lang w:val="fr-FR"/>
              </w:rPr>
              <w:t xml:space="preserve"> wot(i)</w:t>
            </w:r>
          </w:p>
        </w:tc>
        <w:tc>
          <w:tcPr>
            <w:tcW w:w="945" w:type="dxa"/>
            <w:shd w:val="clear" w:color="auto" w:fill="auto"/>
            <w:tcMar>
              <w:top w:w="0" w:type="dxa"/>
              <w:left w:w="0" w:type="dxa"/>
              <w:bottom w:w="0" w:type="dxa"/>
              <w:right w:w="108" w:type="dxa"/>
            </w:tcMar>
          </w:tcPr>
          <w:p w:rsidR="00416169" w:rsidRPr="00416169" w:rsidRDefault="00416169" w:rsidP="00416169">
            <w:pPr>
              <w:spacing w:before="40" w:after="120"/>
              <w:ind w:right="113"/>
              <w:rPr>
                <w:lang w:val="fr-FR"/>
              </w:rPr>
            </w:pPr>
            <w:proofErr w:type="gramStart"/>
            <w:r w:rsidRPr="00416169">
              <w:rPr>
                <w:lang w:val="fr-FR"/>
              </w:rPr>
              <w:t>dB</w:t>
            </w:r>
            <w:proofErr w:type="gramEnd"/>
            <w:r w:rsidRPr="00416169">
              <w:rPr>
                <w:lang w:val="fr-FR"/>
              </w:rPr>
              <w:t>(A)</w:t>
            </w:r>
          </w:p>
        </w:tc>
        <w:tc>
          <w:tcPr>
            <w:tcW w:w="2937" w:type="dxa"/>
            <w:shd w:val="clear" w:color="auto" w:fill="auto"/>
            <w:tcMar>
              <w:top w:w="0" w:type="dxa"/>
              <w:left w:w="0" w:type="dxa"/>
              <w:bottom w:w="0" w:type="dxa"/>
              <w:right w:w="108" w:type="dxa"/>
            </w:tcMar>
          </w:tcPr>
          <w:p w:rsidR="00416169" w:rsidRPr="00416169" w:rsidRDefault="00416169" w:rsidP="00416169">
            <w:pPr>
              <w:spacing w:before="40" w:after="120"/>
              <w:ind w:right="113"/>
              <w:rPr>
                <w:lang w:val="fr-FR"/>
              </w:rPr>
            </w:pPr>
            <w:r w:rsidRPr="00416169">
              <w:rPr>
                <w:lang w:val="fr-FR"/>
              </w:rPr>
              <w:t>L à pleins gaz</w:t>
            </w:r>
          </w:p>
        </w:tc>
        <w:tc>
          <w:tcPr>
            <w:tcW w:w="2267" w:type="dxa"/>
            <w:shd w:val="clear" w:color="auto" w:fill="auto"/>
            <w:tcMar>
              <w:top w:w="0" w:type="dxa"/>
              <w:left w:w="0" w:type="dxa"/>
              <w:bottom w:w="0" w:type="dxa"/>
              <w:right w:w="108" w:type="dxa"/>
            </w:tcMar>
          </w:tcPr>
          <w:p w:rsidR="00416169" w:rsidRPr="00416169" w:rsidRDefault="00416169" w:rsidP="00416169">
            <w:pPr>
              <w:spacing w:before="40" w:after="120"/>
              <w:ind w:right="113"/>
              <w:rPr>
                <w:lang w:val="fr-FR"/>
              </w:rPr>
            </w:pPr>
            <w:r w:rsidRPr="00416169">
              <w:rPr>
                <w:lang w:val="fr-FR"/>
              </w:rPr>
              <w:t>Annexe 3 – 1.4.6</w:t>
            </w:r>
          </w:p>
        </w:tc>
      </w:tr>
      <w:tr w:rsidR="00416169" w:rsidRPr="00416169" w:rsidTr="00416169">
        <w:tc>
          <w:tcPr>
            <w:tcW w:w="1221" w:type="dxa"/>
            <w:tcBorders>
              <w:bottom w:val="single" w:sz="12" w:space="0" w:color="auto"/>
            </w:tcBorders>
            <w:shd w:val="clear" w:color="auto" w:fill="auto"/>
            <w:tcMar>
              <w:top w:w="0" w:type="dxa"/>
              <w:left w:w="0" w:type="dxa"/>
              <w:bottom w:w="0" w:type="dxa"/>
              <w:right w:w="108" w:type="dxa"/>
            </w:tcMar>
          </w:tcPr>
          <w:p w:rsidR="00416169" w:rsidRPr="00416169" w:rsidRDefault="00416169" w:rsidP="00416169">
            <w:pPr>
              <w:spacing w:before="40" w:after="120"/>
              <w:ind w:right="113"/>
              <w:rPr>
                <w:lang w:val="fr-FR"/>
              </w:rPr>
            </w:pPr>
            <w:r w:rsidRPr="00416169">
              <w:rPr>
                <w:lang w:val="fr-FR"/>
              </w:rPr>
              <w:t>...</w:t>
            </w:r>
          </w:p>
        </w:tc>
        <w:tc>
          <w:tcPr>
            <w:tcW w:w="945" w:type="dxa"/>
            <w:tcBorders>
              <w:bottom w:val="single" w:sz="12" w:space="0" w:color="auto"/>
            </w:tcBorders>
            <w:shd w:val="clear" w:color="auto" w:fill="auto"/>
            <w:tcMar>
              <w:top w:w="0" w:type="dxa"/>
              <w:left w:w="0" w:type="dxa"/>
              <w:bottom w:w="0" w:type="dxa"/>
              <w:right w:w="108" w:type="dxa"/>
            </w:tcMar>
          </w:tcPr>
          <w:p w:rsidR="00416169" w:rsidRPr="00416169" w:rsidRDefault="00416169" w:rsidP="00416169">
            <w:pPr>
              <w:spacing w:before="40" w:after="120"/>
              <w:ind w:right="113"/>
              <w:rPr>
                <w:lang w:val="fr-FR"/>
              </w:rPr>
            </w:pPr>
            <w:r w:rsidRPr="00416169">
              <w:rPr>
                <w:lang w:val="fr-FR"/>
              </w:rPr>
              <w:t>…</w:t>
            </w:r>
          </w:p>
        </w:tc>
        <w:tc>
          <w:tcPr>
            <w:tcW w:w="2937" w:type="dxa"/>
            <w:tcBorders>
              <w:bottom w:val="single" w:sz="12" w:space="0" w:color="auto"/>
            </w:tcBorders>
            <w:shd w:val="clear" w:color="auto" w:fill="auto"/>
            <w:tcMar>
              <w:top w:w="0" w:type="dxa"/>
              <w:left w:w="0" w:type="dxa"/>
              <w:bottom w:w="0" w:type="dxa"/>
              <w:right w:w="108" w:type="dxa"/>
            </w:tcMar>
          </w:tcPr>
          <w:p w:rsidR="00416169" w:rsidRPr="00416169" w:rsidRDefault="00416169" w:rsidP="00416169">
            <w:pPr>
              <w:spacing w:before="40" w:after="120"/>
              <w:ind w:right="113"/>
              <w:rPr>
                <w:lang w:val="fr-FR"/>
              </w:rPr>
            </w:pPr>
            <w:r w:rsidRPr="00416169">
              <w:rPr>
                <w:lang w:val="fr-FR"/>
              </w:rPr>
              <w:t>…</w:t>
            </w:r>
          </w:p>
        </w:tc>
        <w:tc>
          <w:tcPr>
            <w:tcW w:w="2267" w:type="dxa"/>
            <w:tcBorders>
              <w:bottom w:val="single" w:sz="12" w:space="0" w:color="auto"/>
            </w:tcBorders>
            <w:shd w:val="clear" w:color="auto" w:fill="auto"/>
            <w:tcMar>
              <w:top w:w="0" w:type="dxa"/>
              <w:left w:w="0" w:type="dxa"/>
              <w:bottom w:w="0" w:type="dxa"/>
              <w:right w:w="108" w:type="dxa"/>
            </w:tcMar>
          </w:tcPr>
          <w:p w:rsidR="00416169" w:rsidRPr="00416169" w:rsidRDefault="00416169" w:rsidP="00416169">
            <w:pPr>
              <w:spacing w:before="40" w:after="120"/>
              <w:ind w:right="113"/>
              <w:rPr>
                <w:lang w:val="fr-FR"/>
              </w:rPr>
            </w:pPr>
            <w:r w:rsidRPr="00416169">
              <w:rPr>
                <w:lang w:val="fr-FR"/>
              </w:rPr>
              <w:t>…</w:t>
            </w:r>
          </w:p>
        </w:tc>
      </w:tr>
    </w:tbl>
    <w:p w:rsidR="00416169" w:rsidRPr="00416169" w:rsidRDefault="00416169" w:rsidP="00416169">
      <w:pPr>
        <w:pStyle w:val="SingleTxtG"/>
        <w:spacing w:after="240"/>
        <w:jc w:val="right"/>
        <w:rPr>
          <w:lang w:val="fr-FR"/>
        </w:rPr>
      </w:pPr>
      <w:r w:rsidRPr="00416169">
        <w:rPr>
          <w:i/>
          <w:lang w:val="fr-FR"/>
        </w:rPr>
        <w:tab/>
      </w:r>
      <w:r w:rsidRPr="00416169">
        <w:t>»</w:t>
      </w:r>
      <w:r>
        <w:t>.</w:t>
      </w:r>
    </w:p>
    <w:p w:rsidR="00416169" w:rsidRPr="00416169" w:rsidRDefault="00416169" w:rsidP="00416169">
      <w:pPr>
        <w:pStyle w:val="SingleTxtG"/>
        <w:rPr>
          <w:lang w:val="fr-FR"/>
        </w:rPr>
      </w:pPr>
      <w:r w:rsidRPr="00416169">
        <w:rPr>
          <w:i/>
          <w:lang w:val="fr-FR"/>
        </w:rPr>
        <w:t>Paragraphe</w:t>
      </w:r>
      <w:r>
        <w:rPr>
          <w:i/>
          <w:lang w:val="fr-FR"/>
        </w:rPr>
        <w:t> </w:t>
      </w:r>
      <w:r w:rsidRPr="00416169">
        <w:rPr>
          <w:i/>
          <w:lang w:val="fr-FR"/>
        </w:rPr>
        <w:t>8.2</w:t>
      </w:r>
      <w:r w:rsidRPr="00416169">
        <w:rPr>
          <w:lang w:val="fr-FR"/>
        </w:rPr>
        <w:t>, lire :</w:t>
      </w:r>
    </w:p>
    <w:p w:rsidR="00416169" w:rsidRPr="00416169" w:rsidRDefault="00416169" w:rsidP="00416169">
      <w:pPr>
        <w:pStyle w:val="SingleTxtG"/>
        <w:ind w:left="2268" w:hanging="1134"/>
        <w:rPr>
          <w:lang w:val="fr-FR"/>
        </w:rPr>
      </w:pPr>
      <w:r w:rsidRPr="00416169">
        <w:rPr>
          <w:lang w:val="fr-FR"/>
        </w:rPr>
        <w:t>« 8.2</w:t>
      </w:r>
      <w:r w:rsidRPr="00416169">
        <w:rPr>
          <w:lang w:val="fr-FR"/>
        </w:rPr>
        <w:tab/>
      </w:r>
      <w:r>
        <w:rPr>
          <w:lang w:val="fr-FR"/>
        </w:rPr>
        <w:tab/>
      </w:r>
      <w:r w:rsidRPr="00416169">
        <w:rPr>
          <w:lang w:val="fr-FR"/>
        </w:rPr>
        <w:t>Afin de vérifier que les conditions énoncées ci-dessus sont remplies, un échantillon de motocycle est prélevé sur la chaîne de production du type homologué conformément au présent Règlement. Les valeurs du niveau sonore relevées et traitées (L</w:t>
      </w:r>
      <w:r w:rsidRPr="00416169">
        <w:rPr>
          <w:vertAlign w:val="subscript"/>
          <w:lang w:val="fr-FR"/>
        </w:rPr>
        <w:t>urban</w:t>
      </w:r>
      <w:r w:rsidRPr="00416169">
        <w:rPr>
          <w:lang w:val="fr-FR"/>
        </w:rPr>
        <w:t xml:space="preserve"> et L</w:t>
      </w:r>
      <w:r w:rsidRPr="00416169">
        <w:rPr>
          <w:vertAlign w:val="subscript"/>
          <w:lang w:val="fr-FR"/>
        </w:rPr>
        <w:t>wot</w:t>
      </w:r>
      <w:r w:rsidRPr="00416169">
        <w:rPr>
          <w:lang w:val="fr-FR"/>
        </w:rPr>
        <w:t>) selon la méthode définie à l’annexe 3, avec le ou les mêmes rapports et la ou les mêmes distances de préaccélération que lors de l’essai d’homologation de type initial, arrondies au chiffre entier le plus proche, ne doivent pas dépasser de plus de 3,0 dB(A) les valeurs relevées et traitées au moment de l’homologation de type. En outre, L</w:t>
      </w:r>
      <w:r w:rsidRPr="00416169">
        <w:rPr>
          <w:vertAlign w:val="subscript"/>
          <w:lang w:val="fr-FR"/>
        </w:rPr>
        <w:t>urban</w:t>
      </w:r>
      <w:r w:rsidRPr="00416169">
        <w:rPr>
          <w:lang w:val="fr-FR"/>
        </w:rPr>
        <w:t xml:space="preserve"> ne doit pas dépasser de plus de 1,0 dB(A) les limites définies à l’annexe 6 du présent Règlement et L</w:t>
      </w:r>
      <w:r w:rsidRPr="00416169">
        <w:rPr>
          <w:vertAlign w:val="subscript"/>
          <w:lang w:val="fr-FR"/>
        </w:rPr>
        <w:t>wot</w:t>
      </w:r>
      <w:r w:rsidRPr="00416169">
        <w:rPr>
          <w:lang w:val="fr-CA"/>
        </w:rPr>
        <w:t>,</w:t>
      </w:r>
      <w:r w:rsidRPr="00416169">
        <w:rPr>
          <w:lang w:val="fr-FR"/>
        </w:rPr>
        <w:t xml:space="preserve"> suivant l’exemple du paragraphe 6.2.3, ne doit pas dépasser la valeur limite de L</w:t>
      </w:r>
      <w:r w:rsidRPr="00416169">
        <w:rPr>
          <w:vertAlign w:val="subscript"/>
          <w:lang w:val="fr-FR"/>
        </w:rPr>
        <w:t>urban</w:t>
      </w:r>
      <w:r>
        <w:rPr>
          <w:lang w:val="fr-FR"/>
        </w:rPr>
        <w:t xml:space="preserve"> de plus de 6,0 dB(A)</w:t>
      </w:r>
      <w:r w:rsidRPr="00416169">
        <w:rPr>
          <w:lang w:val="fr-FR"/>
        </w:rPr>
        <w:t xml:space="preserve"> ». </w:t>
      </w:r>
    </w:p>
    <w:p w:rsidR="00446FE5" w:rsidRPr="00416169" w:rsidRDefault="00416169" w:rsidP="00416169">
      <w:pPr>
        <w:pStyle w:val="SingleTxtG"/>
        <w:spacing w:before="240" w:after="0"/>
        <w:jc w:val="center"/>
        <w:rPr>
          <w:u w:val="single"/>
        </w:rPr>
      </w:pPr>
      <w:r>
        <w:rPr>
          <w:u w:val="single"/>
        </w:rPr>
        <w:tab/>
      </w:r>
      <w:r>
        <w:rPr>
          <w:u w:val="single"/>
        </w:rPr>
        <w:tab/>
      </w:r>
      <w:r>
        <w:rPr>
          <w:u w:val="single"/>
        </w:rPr>
        <w:tab/>
      </w:r>
    </w:p>
    <w:sectPr w:rsidR="00446FE5" w:rsidRPr="00416169" w:rsidSect="00416169">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96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5905" w:rsidRDefault="000E5905" w:rsidP="00F95C08">
      <w:pPr>
        <w:spacing w:line="240" w:lineRule="auto"/>
      </w:pPr>
    </w:p>
  </w:endnote>
  <w:endnote w:type="continuationSeparator" w:id="0">
    <w:p w:rsidR="000E5905" w:rsidRPr="00AC3823" w:rsidRDefault="000E5905" w:rsidP="00AC3823">
      <w:pPr>
        <w:pStyle w:val="Footer"/>
      </w:pPr>
    </w:p>
  </w:endnote>
  <w:endnote w:type="continuationNotice" w:id="1">
    <w:p w:rsidR="000E5905" w:rsidRDefault="000E590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169" w:rsidRPr="00416169" w:rsidRDefault="00416169" w:rsidP="00416169">
    <w:pPr>
      <w:pStyle w:val="Footer"/>
      <w:tabs>
        <w:tab w:val="right" w:pos="9638"/>
      </w:tabs>
    </w:pPr>
    <w:r w:rsidRPr="00416169">
      <w:rPr>
        <w:b/>
        <w:sz w:val="18"/>
      </w:rPr>
      <w:fldChar w:fldCharType="begin"/>
    </w:r>
    <w:r w:rsidRPr="00416169">
      <w:rPr>
        <w:b/>
        <w:sz w:val="18"/>
      </w:rPr>
      <w:instrText xml:space="preserve"> PAGE  \* MERGEFORMAT </w:instrText>
    </w:r>
    <w:r w:rsidRPr="00416169">
      <w:rPr>
        <w:b/>
        <w:sz w:val="18"/>
      </w:rPr>
      <w:fldChar w:fldCharType="separate"/>
    </w:r>
    <w:r w:rsidR="000855D0">
      <w:rPr>
        <w:b/>
        <w:noProof/>
        <w:sz w:val="18"/>
      </w:rPr>
      <w:t>2</w:t>
    </w:r>
    <w:r w:rsidRPr="00416169">
      <w:rPr>
        <w:b/>
        <w:sz w:val="18"/>
      </w:rPr>
      <w:fldChar w:fldCharType="end"/>
    </w:r>
    <w:r>
      <w:rPr>
        <w:b/>
        <w:sz w:val="18"/>
      </w:rPr>
      <w:tab/>
    </w:r>
    <w:r>
      <w:t>GE.16-17861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169" w:rsidRPr="00416169" w:rsidRDefault="00416169" w:rsidP="00416169">
    <w:pPr>
      <w:pStyle w:val="Footer"/>
      <w:tabs>
        <w:tab w:val="right" w:pos="9638"/>
      </w:tabs>
      <w:rPr>
        <w:b/>
        <w:sz w:val="18"/>
      </w:rPr>
    </w:pPr>
    <w:r>
      <w:t>GE.16-17861</w:t>
    </w:r>
    <w:r>
      <w:tab/>
    </w:r>
    <w:r w:rsidRPr="00416169">
      <w:rPr>
        <w:b/>
        <w:sz w:val="18"/>
      </w:rPr>
      <w:fldChar w:fldCharType="begin"/>
    </w:r>
    <w:r w:rsidRPr="00416169">
      <w:rPr>
        <w:b/>
        <w:sz w:val="18"/>
      </w:rPr>
      <w:instrText xml:space="preserve"> PAGE  \* MERGEFORMAT </w:instrText>
    </w:r>
    <w:r w:rsidRPr="00416169">
      <w:rPr>
        <w:b/>
        <w:sz w:val="18"/>
      </w:rPr>
      <w:fldChar w:fldCharType="separate"/>
    </w:r>
    <w:r>
      <w:rPr>
        <w:b/>
        <w:noProof/>
        <w:sz w:val="18"/>
      </w:rPr>
      <w:t>3</w:t>
    </w:r>
    <w:r w:rsidRPr="0041616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36C" w:rsidRPr="00416169" w:rsidRDefault="00416169" w:rsidP="00416169">
    <w:pPr>
      <w:pStyle w:val="Footer"/>
      <w:spacing w:before="120"/>
      <w:rPr>
        <w:sz w:val="20"/>
      </w:rPr>
    </w:pPr>
    <w:r>
      <w:rPr>
        <w:sz w:val="20"/>
      </w:rPr>
      <w:t>GE.</w:t>
    </w:r>
    <w:r w:rsidR="0080236C">
      <w:rPr>
        <w:noProof/>
        <w:lang w:eastAsia="fr-CH"/>
      </w:rPr>
      <w:drawing>
        <wp:anchor distT="0" distB="0" distL="114300" distR="114300" simplePos="0" relativeHeight="251659264" behindDoc="0" locked="0" layoutInCell="1" allowOverlap="0" wp14:anchorId="5285FC38" wp14:editId="7929C622">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w:t>
    </w:r>
    <w:proofErr w:type="gramStart"/>
    <w:r>
      <w:rPr>
        <w:sz w:val="20"/>
      </w:rPr>
      <w:t>17861  (</w:t>
    </w:r>
    <w:proofErr w:type="gramEnd"/>
    <w:r>
      <w:rPr>
        <w:sz w:val="20"/>
      </w:rPr>
      <w:t>F)    121216    1</w:t>
    </w:r>
    <w:r w:rsidR="008E2677">
      <w:rPr>
        <w:sz w:val="20"/>
      </w:rPr>
      <w:t>9</w:t>
    </w:r>
    <w:r>
      <w:rPr>
        <w:sz w:val="20"/>
      </w:rPr>
      <w:t>1216</w:t>
    </w:r>
    <w:r>
      <w:rPr>
        <w:sz w:val="20"/>
      </w:rPr>
      <w:br/>
    </w:r>
    <w:r w:rsidRPr="00416169">
      <w:rPr>
        <w:rFonts w:ascii="C39T30Lfz" w:hAnsi="C39T30Lfz"/>
        <w:sz w:val="56"/>
      </w:rPr>
      <w:t></w:t>
    </w:r>
    <w:r w:rsidRPr="00416169">
      <w:rPr>
        <w:rFonts w:ascii="C39T30Lfz" w:hAnsi="C39T30Lfz"/>
        <w:sz w:val="56"/>
      </w:rPr>
      <w:t></w:t>
    </w:r>
    <w:r w:rsidRPr="00416169">
      <w:rPr>
        <w:rFonts w:ascii="C39T30Lfz" w:hAnsi="C39T30Lfz"/>
        <w:sz w:val="56"/>
      </w:rPr>
      <w:t></w:t>
    </w:r>
    <w:r w:rsidRPr="00416169">
      <w:rPr>
        <w:rFonts w:ascii="C39T30Lfz" w:hAnsi="C39T30Lfz"/>
        <w:sz w:val="56"/>
      </w:rPr>
      <w:t></w:t>
    </w:r>
    <w:r w:rsidRPr="00416169">
      <w:rPr>
        <w:rFonts w:ascii="C39T30Lfz" w:hAnsi="C39T30Lfz"/>
        <w:sz w:val="56"/>
      </w:rPr>
      <w:t></w:t>
    </w:r>
    <w:r w:rsidRPr="00416169">
      <w:rPr>
        <w:rFonts w:ascii="C39T30Lfz" w:hAnsi="C39T30Lfz"/>
        <w:sz w:val="56"/>
      </w:rPr>
      <w:t></w:t>
    </w:r>
    <w:r w:rsidRPr="00416169">
      <w:rPr>
        <w:rFonts w:ascii="C39T30Lfz" w:hAnsi="C39T30Lfz"/>
        <w:sz w:val="56"/>
      </w:rPr>
      <w:t></w:t>
    </w:r>
    <w:r w:rsidRPr="00416169">
      <w:rPr>
        <w:rFonts w:ascii="C39T30Lfz" w:hAnsi="C39T30Lfz"/>
        <w:sz w:val="56"/>
      </w:rPr>
      <w:t></w:t>
    </w:r>
    <w:r w:rsidRPr="00416169">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ECE/324/Rev.1/Add.40/Rev.2/Amend.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ECE/324/Rev.1/Add.40/Rev.2/Amend.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5905" w:rsidRPr="00AC3823" w:rsidRDefault="000E5905" w:rsidP="00AC3823">
      <w:pPr>
        <w:pStyle w:val="Footer"/>
        <w:tabs>
          <w:tab w:val="right" w:pos="2155"/>
        </w:tabs>
        <w:spacing w:after="80" w:line="240" w:lineRule="atLeast"/>
        <w:ind w:left="680"/>
        <w:rPr>
          <w:u w:val="single"/>
        </w:rPr>
      </w:pPr>
      <w:r>
        <w:rPr>
          <w:u w:val="single"/>
        </w:rPr>
        <w:tab/>
      </w:r>
    </w:p>
  </w:footnote>
  <w:footnote w:type="continuationSeparator" w:id="0">
    <w:p w:rsidR="000E5905" w:rsidRPr="00AC3823" w:rsidRDefault="000E5905" w:rsidP="00AC3823">
      <w:pPr>
        <w:pStyle w:val="Footer"/>
        <w:tabs>
          <w:tab w:val="right" w:pos="2155"/>
        </w:tabs>
        <w:spacing w:after="80" w:line="240" w:lineRule="atLeast"/>
        <w:ind w:left="680"/>
        <w:rPr>
          <w:u w:val="single"/>
        </w:rPr>
      </w:pPr>
      <w:r>
        <w:rPr>
          <w:u w:val="single"/>
        </w:rPr>
        <w:tab/>
      </w:r>
    </w:p>
  </w:footnote>
  <w:footnote w:type="continuationNotice" w:id="1">
    <w:p w:rsidR="000E5905" w:rsidRPr="00AC3823" w:rsidRDefault="000E5905">
      <w:pPr>
        <w:spacing w:line="240" w:lineRule="auto"/>
        <w:rPr>
          <w:sz w:val="2"/>
          <w:szCs w:val="2"/>
        </w:rPr>
      </w:pPr>
    </w:p>
  </w:footnote>
  <w:footnote w:id="2">
    <w:p w:rsidR="00416169" w:rsidRPr="00416169" w:rsidRDefault="00416169" w:rsidP="00416169">
      <w:pPr>
        <w:pStyle w:val="FootnoteText"/>
      </w:pPr>
      <w:r>
        <w:tab/>
      </w:r>
      <w:r w:rsidRPr="00416169">
        <w:rPr>
          <w:rStyle w:val="FootnoteReference"/>
          <w:sz w:val="20"/>
          <w:vertAlign w:val="baseline"/>
        </w:rPr>
        <w:t>*</w:t>
      </w:r>
      <w:r w:rsidRPr="00416169">
        <w:rPr>
          <w:sz w:val="20"/>
        </w:rPr>
        <w:tab/>
      </w:r>
      <w:r w:rsidRPr="009363C4">
        <w:t xml:space="preserve">Ancien titre de l’Accord : </w:t>
      </w:r>
      <w:r>
        <w:t>Accord concernant l’adoption de conditions uniformes d’homologation et la reconnaissance réciproque de l’homologation des équipements et pièces de véhicules à moteur, en date, à Genève, du 20 mars 1958.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169" w:rsidRPr="00B928BB" w:rsidRDefault="00416169">
    <w:pPr>
      <w:pStyle w:val="Header"/>
      <w:rPr>
        <w:lang w:val="en-GB"/>
      </w:rPr>
    </w:pPr>
    <w:r w:rsidRPr="00B928BB">
      <w:rPr>
        <w:lang w:val="en-GB"/>
      </w:rPr>
      <w:t>E/ECE/324/Rev.1/Add.40/Rev.2/Amend.4</w:t>
    </w:r>
    <w:r w:rsidRPr="00B928BB">
      <w:rPr>
        <w:lang w:val="en-GB"/>
      </w:rPr>
      <w:br/>
      <w:t>E/ECE/TRANS/505/Rev.1/Add.40/Rev.2/Amend.4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169" w:rsidRPr="00B928BB" w:rsidRDefault="00416169" w:rsidP="00416169">
    <w:pPr>
      <w:pStyle w:val="Header"/>
      <w:jc w:val="right"/>
      <w:rPr>
        <w:lang w:val="en-GB"/>
      </w:rPr>
    </w:pPr>
    <w:r w:rsidRPr="00B928BB">
      <w:rPr>
        <w:lang w:val="en-GB"/>
      </w:rPr>
      <w:t>E/ECE/324/Rev.1/Add.40/Rev.2/Amend.4</w:t>
    </w:r>
    <w:r w:rsidRPr="00B928BB">
      <w:rPr>
        <w:lang w:val="en-GB"/>
      </w:rPr>
      <w:br/>
      <w:t>E/ECE/TRANS/505/Rev.1/Add.40/Rev.2/Amend.4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905"/>
    <w:rsid w:val="00017F94"/>
    <w:rsid w:val="00023842"/>
    <w:rsid w:val="000334F9"/>
    <w:rsid w:val="0007796D"/>
    <w:rsid w:val="000855D0"/>
    <w:rsid w:val="000B7790"/>
    <w:rsid w:val="000E5905"/>
    <w:rsid w:val="00111F2F"/>
    <w:rsid w:val="0014365E"/>
    <w:rsid w:val="00176178"/>
    <w:rsid w:val="001F525A"/>
    <w:rsid w:val="00223272"/>
    <w:rsid w:val="0024779E"/>
    <w:rsid w:val="002832AC"/>
    <w:rsid w:val="002D7C93"/>
    <w:rsid w:val="004144B0"/>
    <w:rsid w:val="00416169"/>
    <w:rsid w:val="00441C3B"/>
    <w:rsid w:val="00446FE5"/>
    <w:rsid w:val="00452396"/>
    <w:rsid w:val="004E468C"/>
    <w:rsid w:val="00526FD0"/>
    <w:rsid w:val="005505B7"/>
    <w:rsid w:val="00573BE5"/>
    <w:rsid w:val="00586ED3"/>
    <w:rsid w:val="00596AA9"/>
    <w:rsid w:val="006F5F83"/>
    <w:rsid w:val="0071601D"/>
    <w:rsid w:val="007A62E6"/>
    <w:rsid w:val="0080236C"/>
    <w:rsid w:val="0080684C"/>
    <w:rsid w:val="00871C75"/>
    <w:rsid w:val="008776DC"/>
    <w:rsid w:val="008E2677"/>
    <w:rsid w:val="00967489"/>
    <w:rsid w:val="009705C8"/>
    <w:rsid w:val="009C1CF4"/>
    <w:rsid w:val="00A30353"/>
    <w:rsid w:val="00AA42FA"/>
    <w:rsid w:val="00AC3823"/>
    <w:rsid w:val="00AE323C"/>
    <w:rsid w:val="00AF290F"/>
    <w:rsid w:val="00B00181"/>
    <w:rsid w:val="00B00B0D"/>
    <w:rsid w:val="00B765F7"/>
    <w:rsid w:val="00B928BB"/>
    <w:rsid w:val="00BA0CA9"/>
    <w:rsid w:val="00C02897"/>
    <w:rsid w:val="00D3439C"/>
    <w:rsid w:val="00DB1831"/>
    <w:rsid w:val="00DD3BFD"/>
    <w:rsid w:val="00DF6678"/>
    <w:rsid w:val="00EF2E2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DDC1A9A-9C73-46C2-B6A1-CC5EAFCAC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AA42FA"/>
    <w:rPr>
      <w:color w:val="0000FF"/>
      <w:u w:val="none"/>
    </w:rPr>
  </w:style>
  <w:style w:type="character" w:styleId="FollowedHyperlink">
    <w:name w:val="FollowedHyperlink"/>
    <w:basedOn w:val="DefaultParagraphFont"/>
    <w:unhideWhenUsed/>
    <w:rsid w:val="00AA42FA"/>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80236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hAnsi="Times New Roman" w:cs="Times New Roman"/>
      <w:b/>
      <w:sz w:val="28"/>
      <w:szCs w:val="20"/>
      <w:lang w:eastAsia="en-US"/>
    </w:rPr>
  </w:style>
  <w:style w:type="character" w:customStyle="1" w:styleId="H1GChar">
    <w:name w:val="_ H_1_G Char"/>
    <w:link w:val="H1G"/>
    <w:locked/>
    <w:rsid w:val="00967489"/>
    <w:rPr>
      <w:rFonts w:ascii="Times New Roman"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A5784-A629-426C-B44D-7A193D29A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290</Words>
  <Characters>1659</Characters>
  <Application>Microsoft Office Word</Application>
  <DocSecurity>0</DocSecurity>
  <Lines>13</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E/ECE/324/Rev.1/Add.40/Rev.2/Amend.4</vt:lpstr>
      <vt:lpstr/>
    </vt:vector>
  </TitlesOfParts>
  <Company>DCM</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E/ECE/324/Rev.1/Add.40/Rev.2/Amend.4</dc:title>
  <dc:subject/>
  <dc:creator>Bourion</dc:creator>
  <cp:keywords/>
  <dc:description/>
  <cp:lastModifiedBy>Olivia Braud</cp:lastModifiedBy>
  <cp:revision>2</cp:revision>
  <cp:lastPrinted>2016-12-19T09:06:00Z</cp:lastPrinted>
  <dcterms:created xsi:type="dcterms:W3CDTF">2018-08-22T11:37:00Z</dcterms:created>
  <dcterms:modified xsi:type="dcterms:W3CDTF">2018-08-22T11:37:00Z</dcterms:modified>
</cp:coreProperties>
</file>