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14:paraId="252460B2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35E1CD" w14:textId="77777777" w:rsidR="006429E8" w:rsidRPr="00DB58B5" w:rsidRDefault="006429E8" w:rsidP="006429E8">
            <w:pPr>
              <w:jc w:val="right"/>
            </w:pPr>
            <w:bookmarkStart w:id="0" w:name="_GoBack"/>
            <w:bookmarkEnd w:id="0"/>
            <w:r w:rsidRPr="006429E8">
              <w:rPr>
                <w:sz w:val="40"/>
              </w:rPr>
              <w:t>E</w:t>
            </w:r>
            <w:r>
              <w:t>/ECE/324/Rev.1/Add.36/Rev.7/Amend.9−</w:t>
            </w:r>
            <w:r w:rsidRPr="006429E8">
              <w:rPr>
                <w:sz w:val="40"/>
              </w:rPr>
              <w:t>E</w:t>
            </w:r>
            <w:r>
              <w:t>/ECE/TRANS/505/Rev.1/Add.36/Rev.7/Amend.9</w:t>
            </w:r>
          </w:p>
        </w:tc>
      </w:tr>
      <w:tr w:rsidR="00421A10" w:rsidRPr="00DB58B5" w14:paraId="09F1F748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F9E63BA" w14:textId="77777777" w:rsidR="00421A10" w:rsidRPr="00A574B7" w:rsidRDefault="00421A10" w:rsidP="00A27C92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A64D951" w14:textId="77777777" w:rsidR="00421A10" w:rsidRPr="00DB58B5" w:rsidRDefault="006429E8" w:rsidP="00A27C92">
            <w:pPr>
              <w:spacing w:before="480" w:line="240" w:lineRule="exact"/>
            </w:pPr>
            <w:r>
              <w:t>2 novembre 2018</w:t>
            </w:r>
          </w:p>
        </w:tc>
      </w:tr>
    </w:tbl>
    <w:p w14:paraId="22A84C91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2D8E0E20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</w:t>
      </w:r>
      <w:r w:rsidR="00AC177A" w:rsidRPr="00AC177A">
        <w:t xml:space="preserve">l’adoption de Règlements techniques harmonisés </w:t>
      </w:r>
      <w:r w:rsidR="00AC177A" w:rsidRPr="00AC177A">
        <w:br/>
        <w:t xml:space="preserve">de l’ONU applicables aux véhicules à roues et aux équipements </w:t>
      </w:r>
      <w:r w:rsidR="00AC177A" w:rsidRPr="00AC177A">
        <w:br/>
        <w:t xml:space="preserve">et pièces susceptibles d’être montés ou utilisés sur les véhicules </w:t>
      </w:r>
      <w:r w:rsidR="00AC177A" w:rsidRPr="00AC177A">
        <w:br/>
        <w:t xml:space="preserve">à roues et les conditions de reconnaissance réciproque </w:t>
      </w:r>
      <w:r w:rsidR="00AC177A" w:rsidRPr="00AC177A">
        <w:br/>
        <w:t>des homologations délivrées conformément à ces Règlements</w:t>
      </w:r>
      <w:r w:rsidR="00442E31" w:rsidRPr="006429E8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DC0A4FC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AC177A" w:rsidRPr="00AC177A">
        <w:t>3, comprenant les amendements entrés en vigueur le 14 septembre 2017</w:t>
      </w:r>
      <w:r w:rsidRPr="006549FF">
        <w:t>)</w:t>
      </w:r>
    </w:p>
    <w:p w14:paraId="22863CB4" w14:textId="77777777" w:rsidR="00421A10" w:rsidRPr="006549FF" w:rsidRDefault="0029791D" w:rsidP="0029791D">
      <w:pPr>
        <w:jc w:val="center"/>
      </w:pPr>
      <w:r>
        <w:t>_______________</w:t>
      </w:r>
    </w:p>
    <w:p w14:paraId="12D3811D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AC177A">
        <w:t xml:space="preserve">36 − </w:t>
      </w:r>
      <w:r w:rsidR="00421A10" w:rsidRPr="006549FF">
        <w:t>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AC177A">
        <w:t>37</w:t>
      </w:r>
    </w:p>
    <w:p w14:paraId="570CE018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AC177A">
        <w:t>7 − Amendement 9</w:t>
      </w:r>
    </w:p>
    <w:p w14:paraId="23FDD927" w14:textId="77777777" w:rsidR="00421A10" w:rsidRPr="0029791D" w:rsidRDefault="00AC177A" w:rsidP="0029791D">
      <w:pPr>
        <w:pStyle w:val="SingleTxtG"/>
      </w:pPr>
      <w:r w:rsidRPr="00AC177A">
        <w:t xml:space="preserve">Complément 46 à la série 03 d’amendements </w:t>
      </w:r>
      <w:r>
        <w:t>−</w:t>
      </w:r>
      <w:r w:rsidRPr="00AC177A">
        <w:t xml:space="preserve"> Date d’entrée en vigueur</w:t>
      </w:r>
      <w:r w:rsidR="00594FDA">
        <w:t> </w:t>
      </w:r>
      <w:r w:rsidRPr="00AC177A">
        <w:t>: 16</w:t>
      </w:r>
      <w:r w:rsidR="00594FDA">
        <w:t> </w:t>
      </w:r>
      <w:r w:rsidRPr="00AC177A">
        <w:t>octobre 2018</w:t>
      </w:r>
    </w:p>
    <w:p w14:paraId="5C807E3D" w14:textId="77777777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</w:t>
      </w:r>
      <w:r w:rsidR="00AC177A" w:rsidRPr="00AC177A">
        <w:t>uniformes relatives à l’homologation des lampes à</w:t>
      </w:r>
      <w:r w:rsidR="00594FDA">
        <w:t> </w:t>
      </w:r>
      <w:r w:rsidR="00AC177A" w:rsidRPr="00AC177A">
        <w:t>incandescence destinées à être utilisées dans les feux homologués des</w:t>
      </w:r>
      <w:r w:rsidR="00594FDA">
        <w:t> </w:t>
      </w:r>
      <w:r w:rsidR="00AC177A" w:rsidRPr="00AC177A">
        <w:t>véhicules à moteur et de leurs remorques</w:t>
      </w:r>
    </w:p>
    <w:p w14:paraId="4877D888" w14:textId="77777777" w:rsidR="006429E8" w:rsidRDefault="00DB1337" w:rsidP="00AC177A">
      <w:pPr>
        <w:pStyle w:val="SingleTxtG"/>
        <w:ind w:firstLine="567"/>
      </w:pPr>
      <w:r w:rsidRPr="00AC177A">
        <w:t>Le présent document est communiqué uniquement à titre d’information. Le texte authentique, juri</w:t>
      </w:r>
      <w:r w:rsidRPr="00AC177A">
        <w:t>diquement contraignant, est celui du document ECE/TRANS/WP.29/</w:t>
      </w:r>
      <w:r w:rsidR="00AC177A">
        <w:t xml:space="preserve"> </w:t>
      </w:r>
      <w:r w:rsidRPr="00AC177A">
        <w:t>2018/29.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87AA58" wp14:editId="1E9EF6BE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F22ED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570BC1E7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4F7CAD74" wp14:editId="7D171487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1A92A8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7AA5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3F9F22ED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570BC1E7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4F7CAD74" wp14:editId="7D171487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1A92A8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8BAA23D" w14:textId="77777777" w:rsidR="00AC177A" w:rsidRPr="00594FDA" w:rsidRDefault="006429E8" w:rsidP="00AC177A">
      <w:pPr>
        <w:pStyle w:val="para"/>
        <w:spacing w:after="100"/>
        <w:ind w:right="1467"/>
        <w:rPr>
          <w:rFonts w:eastAsia="Calibri"/>
          <w:snapToGrid/>
          <w:lang w:val="fr-CH"/>
        </w:rPr>
      </w:pPr>
      <w:r>
        <w:br w:type="page"/>
      </w:r>
      <w:r w:rsidR="00AC177A" w:rsidRPr="001829AA">
        <w:rPr>
          <w:rFonts w:eastAsia="Calibri"/>
          <w:i/>
          <w:snapToGrid/>
          <w:lang w:val="fr-CH"/>
        </w:rPr>
        <w:lastRenderedPageBreak/>
        <w:t>Paragraphe 3.6.3</w:t>
      </w:r>
      <w:r w:rsidR="00AC177A" w:rsidRPr="00594FDA">
        <w:rPr>
          <w:rFonts w:eastAsia="Calibri"/>
          <w:snapToGrid/>
          <w:lang w:val="fr-CH"/>
        </w:rPr>
        <w:t>, lire</w:t>
      </w:r>
      <w:r w:rsidR="00594FDA">
        <w:rPr>
          <w:rFonts w:eastAsia="Calibri"/>
          <w:snapToGrid/>
          <w:lang w:val="fr-CH"/>
        </w:rPr>
        <w:t> </w:t>
      </w:r>
      <w:r w:rsidR="00AC177A" w:rsidRPr="00594FDA">
        <w:rPr>
          <w:rFonts w:eastAsia="Calibri"/>
          <w:snapToGrid/>
          <w:lang w:val="fr-CH"/>
        </w:rPr>
        <w:t xml:space="preserve">: </w:t>
      </w:r>
    </w:p>
    <w:p w14:paraId="6AEEC6EA" w14:textId="77777777" w:rsidR="00AC177A" w:rsidRPr="001829AA" w:rsidRDefault="00AC177A" w:rsidP="00AC177A">
      <w:pPr>
        <w:pStyle w:val="SingleTxtG"/>
        <w:ind w:left="2268" w:hanging="1134"/>
        <w:rPr>
          <w:snapToGrid w:val="0"/>
        </w:rPr>
      </w:pPr>
      <w:r w:rsidRPr="001829AA">
        <w:t>«</w:t>
      </w:r>
      <w:r w:rsidR="00594FDA">
        <w:t> </w:t>
      </w:r>
      <w:r w:rsidRPr="001829AA">
        <w:rPr>
          <w:snapToGrid w:val="0"/>
        </w:rPr>
        <w:t>3.6.3</w:t>
      </w:r>
      <w:r w:rsidRPr="001829AA">
        <w:rPr>
          <w:snapToGrid w:val="0"/>
        </w:rPr>
        <w:tab/>
        <w:t xml:space="preserve">La couleur de la lumière émise doit être mesurée selon la méthode définie à l’annexe 5. </w:t>
      </w:r>
      <w:r w:rsidRPr="001829AA">
        <w:t>Chaque valeur mesurée doit se situer dans la zone de chromaticité requise</w:t>
      </w:r>
      <w:r w:rsidRPr="00D24311">
        <w:rPr>
          <w:sz w:val="18"/>
          <w:szCs w:val="18"/>
          <w:vertAlign w:val="superscript"/>
        </w:rPr>
        <w:t>5</w:t>
      </w:r>
      <w:r w:rsidRPr="001829AA">
        <w:t>.</w:t>
      </w:r>
      <w:r w:rsidRPr="001829AA">
        <w:rPr>
          <w:snapToGrid w:val="0"/>
        </w:rPr>
        <w:t xml:space="preserve"> </w:t>
      </w:r>
      <w:r w:rsidRPr="001829AA">
        <w:t xml:space="preserve">En outre, dans le cas des sources lumineuses à incandescence émettant une lumière blanche, les valeurs mesurées ne doivent pas s’écarter de plus de 0,020 unité, sur l’axe des abscisses et/ou des ordonnées, d’un point choisi sur le lieu de Planck (CIE </w:t>
      </w:r>
      <w:hyperlink r:id="rId8" w:tgtFrame="_self" w:history="1">
        <w:r w:rsidRPr="001829AA">
          <w:rPr>
            <w:snapToGrid w:val="0"/>
          </w:rPr>
          <w:t>015:2004</w:t>
        </w:r>
      </w:hyperlink>
      <w:r w:rsidRPr="001829AA">
        <w:t>, 3</w:t>
      </w:r>
      <w:r w:rsidRPr="001829AA">
        <w:rPr>
          <w:vertAlign w:val="superscript"/>
        </w:rPr>
        <w:t>e</w:t>
      </w:r>
      <w:r w:rsidR="00594FDA">
        <w:t> </w:t>
      </w:r>
      <w:r w:rsidRPr="001829AA">
        <w:t>éd.).</w:t>
      </w:r>
      <w:r w:rsidRPr="001829AA">
        <w:rPr>
          <w:snapToGrid w:val="0"/>
        </w:rPr>
        <w:t xml:space="preserve"> </w:t>
      </w:r>
      <w:r w:rsidRPr="001829AA">
        <w:t>Les sources lumineuses à incandescence destinées aux dispositifs de signalisation lumineuse doivent être conformes aux exigences énoncées au paragraphe 4.4.2 de la publication 60809 de la CEI, troisième édition.</w:t>
      </w:r>
    </w:p>
    <w:p w14:paraId="6551E728" w14:textId="77777777" w:rsidR="00AC177A" w:rsidRPr="001829AA" w:rsidRDefault="00AC177A" w:rsidP="00D24311">
      <w:pPr>
        <w:widowControl w:val="0"/>
        <w:spacing w:after="120" w:line="220" w:lineRule="exact"/>
        <w:ind w:left="680" w:right="1134"/>
        <w:jc w:val="both"/>
        <w:rPr>
          <w:rFonts w:eastAsia="MS Mincho"/>
          <w:bCs/>
          <w:spacing w:val="-2"/>
          <w:lang w:eastAsia="ja-JP"/>
        </w:rPr>
      </w:pPr>
      <w:r w:rsidRPr="001829AA">
        <w:rPr>
          <w:rFonts w:eastAsia="MS Mincho"/>
          <w:bCs/>
          <w:spacing w:val="-2"/>
          <w:lang w:eastAsia="ja-JP"/>
        </w:rPr>
        <w:t>_______________</w:t>
      </w:r>
    </w:p>
    <w:p w14:paraId="121DD5F5" w14:textId="77777777" w:rsidR="00AC177A" w:rsidRPr="001829AA" w:rsidRDefault="00594FDA" w:rsidP="00594FDA">
      <w:pPr>
        <w:pStyle w:val="FootnoteText"/>
      </w:pPr>
      <w:r w:rsidRPr="00594FDA">
        <w:tab/>
      </w:r>
      <w:r w:rsidR="00AC177A" w:rsidRPr="00594FDA">
        <w:rPr>
          <w:vertAlign w:val="superscript"/>
        </w:rPr>
        <w:t>5</w:t>
      </w:r>
      <w:r w:rsidR="00AC177A" w:rsidRPr="001829AA">
        <w:tab/>
        <w:t>Afin de satisfaire aux exigences relatives à la conformité de production, en ce qui concerne les couleurs jaune-auto et rouge uniquement, au moins 80</w:t>
      </w:r>
      <w:r>
        <w:t> </w:t>
      </w:r>
      <w:r w:rsidR="00AC177A" w:rsidRPr="001829AA">
        <w:t>% des valeurs mesurées doivent se situer dans la zone de chromaticité requise.</w:t>
      </w:r>
      <w:r w:rsidRPr="00594FDA">
        <w:rPr>
          <w:sz w:val="20"/>
        </w:rPr>
        <w:t> </w:t>
      </w:r>
      <w:r w:rsidR="00AC177A" w:rsidRPr="00594FDA">
        <w:rPr>
          <w:sz w:val="20"/>
        </w:rPr>
        <w:t>».</w:t>
      </w:r>
    </w:p>
    <w:p w14:paraId="1DA5C51D" w14:textId="77777777" w:rsidR="005F0207" w:rsidRPr="00AC177A" w:rsidRDefault="00AC177A" w:rsidP="00AC177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AC177A" w:rsidSect="006429E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1D379" w14:textId="77777777" w:rsidR="00E5399C" w:rsidRDefault="00E5399C"/>
  </w:endnote>
  <w:endnote w:type="continuationSeparator" w:id="0">
    <w:p w14:paraId="3E555805" w14:textId="77777777" w:rsidR="00E5399C" w:rsidRDefault="00E5399C">
      <w:pPr>
        <w:pStyle w:val="Footer"/>
      </w:pPr>
    </w:p>
  </w:endnote>
  <w:endnote w:type="continuationNotice" w:id="1">
    <w:p w14:paraId="0EA70D21" w14:textId="77777777" w:rsidR="00E5399C" w:rsidRPr="00C451B9" w:rsidRDefault="00E5399C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ECCF0" w14:textId="77777777" w:rsidR="006429E8" w:rsidRPr="006429E8" w:rsidRDefault="006429E8" w:rsidP="006429E8">
    <w:pPr>
      <w:pStyle w:val="Footer"/>
      <w:tabs>
        <w:tab w:val="right" w:pos="9638"/>
      </w:tabs>
    </w:pPr>
    <w:r w:rsidRPr="006429E8">
      <w:rPr>
        <w:b/>
        <w:sz w:val="18"/>
      </w:rPr>
      <w:fldChar w:fldCharType="begin"/>
    </w:r>
    <w:r w:rsidRPr="006429E8">
      <w:rPr>
        <w:b/>
        <w:sz w:val="18"/>
      </w:rPr>
      <w:instrText xml:space="preserve"> PAGE  \* MERGEFORMAT </w:instrText>
    </w:r>
    <w:r w:rsidRPr="006429E8">
      <w:rPr>
        <w:b/>
        <w:sz w:val="18"/>
      </w:rPr>
      <w:fldChar w:fldCharType="separate"/>
    </w:r>
    <w:r w:rsidRPr="006429E8">
      <w:rPr>
        <w:b/>
        <w:noProof/>
        <w:sz w:val="18"/>
      </w:rPr>
      <w:t>2</w:t>
    </w:r>
    <w:r w:rsidRPr="006429E8">
      <w:rPr>
        <w:b/>
        <w:sz w:val="18"/>
      </w:rPr>
      <w:fldChar w:fldCharType="end"/>
    </w:r>
    <w:r>
      <w:rPr>
        <w:b/>
        <w:sz w:val="18"/>
      </w:rPr>
      <w:tab/>
    </w:r>
    <w:r>
      <w:t>GE.18-18485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D1766" w14:textId="77777777" w:rsidR="006429E8" w:rsidRPr="006429E8" w:rsidRDefault="006429E8" w:rsidP="006429E8">
    <w:pPr>
      <w:pStyle w:val="Footer"/>
      <w:tabs>
        <w:tab w:val="right" w:pos="9638"/>
      </w:tabs>
      <w:rPr>
        <w:b/>
        <w:sz w:val="18"/>
      </w:rPr>
    </w:pPr>
    <w:r>
      <w:t>GE.18-18485</w:t>
    </w:r>
    <w:r>
      <w:tab/>
    </w:r>
    <w:r w:rsidRPr="006429E8">
      <w:rPr>
        <w:b/>
        <w:sz w:val="18"/>
      </w:rPr>
      <w:fldChar w:fldCharType="begin"/>
    </w:r>
    <w:r w:rsidRPr="006429E8">
      <w:rPr>
        <w:b/>
        <w:sz w:val="18"/>
      </w:rPr>
      <w:instrText xml:space="preserve"> PAGE  \* MERGEFORMAT </w:instrText>
    </w:r>
    <w:r w:rsidRPr="006429E8">
      <w:rPr>
        <w:b/>
        <w:sz w:val="18"/>
      </w:rPr>
      <w:fldChar w:fldCharType="separate"/>
    </w:r>
    <w:r w:rsidRPr="006429E8">
      <w:rPr>
        <w:b/>
        <w:noProof/>
        <w:sz w:val="18"/>
      </w:rPr>
      <w:t>3</w:t>
    </w:r>
    <w:r w:rsidRPr="006429E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17215" w14:textId="77777777" w:rsidR="00467F2C" w:rsidRPr="006429E8" w:rsidRDefault="006429E8" w:rsidP="006429E8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0D1772F4" wp14:editId="57A1AA8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18485  (</w:t>
    </w:r>
    <w:proofErr w:type="gramEnd"/>
    <w:r>
      <w:rPr>
        <w:sz w:val="20"/>
      </w:rPr>
      <w:t>F)    200519    210519</w:t>
    </w:r>
    <w:r>
      <w:rPr>
        <w:sz w:val="20"/>
      </w:rPr>
      <w:br/>
    </w:r>
    <w:r w:rsidRPr="006429E8">
      <w:rPr>
        <w:rFonts w:ascii="C39T30Lfz" w:hAnsi="C39T30Lfz"/>
        <w:sz w:val="56"/>
      </w:rPr>
      <w:t></w:t>
    </w:r>
    <w:r w:rsidRPr="006429E8">
      <w:rPr>
        <w:rFonts w:ascii="C39T30Lfz" w:hAnsi="C39T30Lfz"/>
        <w:sz w:val="56"/>
      </w:rPr>
      <w:t></w:t>
    </w:r>
    <w:r w:rsidRPr="006429E8">
      <w:rPr>
        <w:rFonts w:ascii="C39T30Lfz" w:hAnsi="C39T30Lfz"/>
        <w:sz w:val="56"/>
      </w:rPr>
      <w:t></w:t>
    </w:r>
    <w:r w:rsidRPr="006429E8">
      <w:rPr>
        <w:rFonts w:ascii="C39T30Lfz" w:hAnsi="C39T30Lfz"/>
        <w:sz w:val="56"/>
      </w:rPr>
      <w:t></w:t>
    </w:r>
    <w:r w:rsidRPr="006429E8">
      <w:rPr>
        <w:rFonts w:ascii="C39T30Lfz" w:hAnsi="C39T30Lfz"/>
        <w:sz w:val="56"/>
      </w:rPr>
      <w:t></w:t>
    </w:r>
    <w:r w:rsidRPr="006429E8">
      <w:rPr>
        <w:rFonts w:ascii="C39T30Lfz" w:hAnsi="C39T30Lfz"/>
        <w:sz w:val="56"/>
      </w:rPr>
      <w:t></w:t>
    </w:r>
    <w:r w:rsidRPr="006429E8">
      <w:rPr>
        <w:rFonts w:ascii="C39T30Lfz" w:hAnsi="C39T30Lfz"/>
        <w:sz w:val="56"/>
      </w:rPr>
      <w:t></w:t>
    </w:r>
    <w:r w:rsidRPr="006429E8">
      <w:rPr>
        <w:rFonts w:ascii="C39T30Lfz" w:hAnsi="C39T30Lfz"/>
        <w:sz w:val="56"/>
      </w:rPr>
      <w:t></w:t>
    </w:r>
    <w:r w:rsidRPr="006429E8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0178CC6" wp14:editId="52808DA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36/Rev.7/Amend.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36/Rev.7/Amend.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CABC4" w14:textId="77777777" w:rsidR="00E5399C" w:rsidRPr="00D27D5E" w:rsidRDefault="00E5399C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FED72D5" w14:textId="77777777" w:rsidR="00E5399C" w:rsidRPr="00D171D4" w:rsidRDefault="00E5399C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76A06907" w14:textId="77777777" w:rsidR="00E5399C" w:rsidRPr="00C451B9" w:rsidRDefault="00E5399C" w:rsidP="00C451B9">
      <w:pPr>
        <w:spacing w:line="240" w:lineRule="auto"/>
        <w:rPr>
          <w:sz w:val="2"/>
          <w:szCs w:val="2"/>
        </w:rPr>
      </w:pPr>
    </w:p>
  </w:footnote>
  <w:footnote w:id="2">
    <w:p w14:paraId="28C80888" w14:textId="77777777" w:rsidR="00591072" w:rsidRPr="00591072" w:rsidRDefault="00442E31" w:rsidP="00591072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591072" w:rsidRPr="00591072">
        <w:t>Anciens titres de l’Accord :</w:t>
      </w:r>
    </w:p>
    <w:p w14:paraId="1CFC055A" w14:textId="77777777" w:rsidR="00591072" w:rsidRPr="00591072" w:rsidRDefault="00591072" w:rsidP="00591072">
      <w:pPr>
        <w:pStyle w:val="FootnoteText"/>
      </w:pPr>
      <w:r>
        <w:rPr>
          <w:lang w:val="en-US"/>
        </w:rPr>
        <w:tab/>
      </w:r>
      <w:r>
        <w:rPr>
          <w:lang w:val="en-US"/>
        </w:rPr>
        <w:tab/>
      </w:r>
      <w:r w:rsidRPr="00591072">
        <w:rPr>
          <w:lang w:val="en-US"/>
        </w:rPr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</w:t>
      </w:r>
      <w:proofErr w:type="gramStart"/>
      <w:r w:rsidRPr="00591072">
        <w:t>) ;</w:t>
      </w:r>
      <w:proofErr w:type="gramEnd"/>
    </w:p>
    <w:p w14:paraId="0B660D2A" w14:textId="77777777" w:rsidR="00442E31" w:rsidRPr="00442E31" w:rsidRDefault="00591072">
      <w:pPr>
        <w:pStyle w:val="FootnoteText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4C186" w14:textId="79BE9E65" w:rsidR="006429E8" w:rsidRPr="006429E8" w:rsidRDefault="00DB133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E/ECE/324/Rev.1/Add.36/Rev.7/Amend.9</w:t>
    </w:r>
    <w:r>
      <w:fldChar w:fldCharType="end"/>
    </w:r>
    <w:r w:rsidR="006429E8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E/ECE/TRANS/505/Rev.1/Add.36/Rev.7/Amend.9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79DC5" w14:textId="6C9B2EA5" w:rsidR="006429E8" w:rsidRPr="006429E8" w:rsidRDefault="00DB1337" w:rsidP="006429E8">
    <w:pPr>
      <w:pStyle w:val="Header"/>
      <w:jc w:val="right"/>
    </w:pPr>
    <w:r>
      <w:fldChar w:fldCharType="begin"/>
    </w:r>
    <w:r>
      <w:instrText xml:space="preserve"> TITLE  \* ME</w:instrText>
    </w:r>
    <w:r>
      <w:instrText xml:space="preserve">RGEFORMAT </w:instrText>
    </w:r>
    <w:r>
      <w:fldChar w:fldCharType="separate"/>
    </w:r>
    <w:r>
      <w:t>E/ECE/324/Rev.1/Add.36/Rev.7/Amend.9</w:t>
    </w:r>
    <w:r>
      <w:fldChar w:fldCharType="end"/>
    </w:r>
    <w:r w:rsidR="006429E8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E/ECE/TRANS/505/Rev.1/Add.36/Rev.7/Amend.9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9C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4FDA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29E8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177A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B7195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311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B1337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5399C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00FD99B"/>
  <w15:docId w15:val="{2BB40C96-480B-4CC3-820A-5F7A8504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,PP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,PP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paragraph" w:customStyle="1" w:styleId="para">
    <w:name w:val="para"/>
    <w:basedOn w:val="Normal"/>
    <w:link w:val="paraChar"/>
    <w:qFormat/>
    <w:rsid w:val="00AC177A"/>
    <w:pPr>
      <w:suppressAutoHyphens w:val="0"/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rFonts w:eastAsia="Times New Roman"/>
      <w:snapToGrid w:val="0"/>
      <w:lang w:val="fr-FR"/>
    </w:rPr>
  </w:style>
  <w:style w:type="character" w:customStyle="1" w:styleId="paraChar">
    <w:name w:val="para Char"/>
    <w:link w:val="para"/>
    <w:rsid w:val="00AC177A"/>
    <w:rPr>
      <w:snapToGrid w:val="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.co.at/publications/colorimetry-3rd-edition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E/ECE/324/Rev.1/Add.36/Rev.7/Amend.9</vt:lpstr>
      <vt:lpstr>E/ECE/324/Rev.1/Add.36/Rev.7/Amend.9</vt:lpstr>
    </vt:vector>
  </TitlesOfParts>
  <Company>CSD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E/ECE/324/Rev.1/Add.36/Rev.7/Amend.9</dc:title>
  <dc:creator>Nicolas MORIN</dc:creator>
  <cp:keywords>E/ECE/TRANS/505/Rev.1/Add.36/Rev.7/Amend.9</cp:keywords>
  <cp:lastModifiedBy>Marie-Claude Collet</cp:lastModifiedBy>
  <cp:revision>3</cp:revision>
  <cp:lastPrinted>2019-05-24T11:59:00Z</cp:lastPrinted>
  <dcterms:created xsi:type="dcterms:W3CDTF">2019-05-24T11:59:00Z</dcterms:created>
  <dcterms:modified xsi:type="dcterms:W3CDTF">2019-05-24T11:59:00Z</dcterms:modified>
</cp:coreProperties>
</file>