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68F9" w:rsidRPr="00DB58B5" w:rsidRDefault="00E168F9" w:rsidP="00E168F9">
            <w:pPr>
              <w:jc w:val="right"/>
            </w:pPr>
            <w:bookmarkStart w:id="0" w:name="_GoBack"/>
            <w:bookmarkEnd w:id="0"/>
            <w:r w:rsidRPr="00E168F9">
              <w:rPr>
                <w:sz w:val="40"/>
              </w:rPr>
              <w:t>E</w:t>
            </w:r>
            <w:r>
              <w:t>/ECE/324/Rev.1/Add.26/Rev.2/Amend.1−</w:t>
            </w:r>
            <w:r w:rsidRPr="00E168F9">
              <w:rPr>
                <w:sz w:val="40"/>
              </w:rPr>
              <w:t>E</w:t>
            </w:r>
            <w:r>
              <w:t>/ECE/TRANS/505/Rev.1/Add.26/Rev.2/Amend.1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E168F9" w:rsidP="00A27C92">
            <w:pPr>
              <w:spacing w:before="480" w:line="240" w:lineRule="exact"/>
            </w:pPr>
            <w:r>
              <w:t>5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F63EFE" w:rsidRPr="00F63EFE"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F63EFE" w:rsidRPr="00F63EFE">
        <w:rPr>
          <w:b w:val="0"/>
          <w:sz w:val="20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F63EFE">
        <w:t>3,</w:t>
      </w:r>
      <w:r w:rsidRPr="006549FF">
        <w:t xml:space="preserve"> comprenant les amen</w:t>
      </w:r>
      <w:r>
        <w:t>dements entrés en vigueur le</w:t>
      </w:r>
      <w:r w:rsidR="00F63EFE">
        <w:t xml:space="preserve">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F63EFE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F63EFE">
        <w:t>2</w:t>
      </w:r>
      <w:r w:rsidR="00374E0E">
        <w:t>6</w:t>
      </w:r>
      <w:r w:rsidR="00F63EFE">
        <w:t xml:space="preserve">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74E0E">
        <w:t>27</w:t>
      </w:r>
    </w:p>
    <w:p w:rsidR="00F63EFE" w:rsidRPr="00E61038" w:rsidRDefault="00F63EFE" w:rsidP="00F63EFE">
      <w:pPr>
        <w:pStyle w:val="H1G"/>
        <w:rPr>
          <w:lang w:val="fr-FR"/>
        </w:rPr>
      </w:pPr>
      <w:r>
        <w:tab/>
      </w:r>
      <w:r>
        <w:tab/>
      </w:r>
      <w:r w:rsidR="00421A10" w:rsidRPr="006549FF">
        <w:t xml:space="preserve">Révision </w:t>
      </w:r>
      <w:r w:rsidRPr="00E61038">
        <w:rPr>
          <w:shd w:val="clear" w:color="auto" w:fill="FFFFFF"/>
        </w:rPr>
        <w:t>2 − Amendement 1</w:t>
      </w:r>
    </w:p>
    <w:p w:rsidR="00F63EFE" w:rsidRPr="00E61038" w:rsidRDefault="00F63EFE" w:rsidP="00F63EFE">
      <w:pPr>
        <w:pStyle w:val="SingleTxtG"/>
        <w:rPr>
          <w:shd w:val="clear" w:color="auto" w:fill="FFFFFF"/>
        </w:rPr>
      </w:pPr>
      <w:r w:rsidRPr="00E61038">
        <w:t xml:space="preserve">Complément 1 à la série 04 d’amendements </w:t>
      </w:r>
      <w:r w:rsidRPr="00E61038">
        <w:rPr>
          <w:shd w:val="clear" w:color="auto" w:fill="FFFFFF"/>
        </w:rPr>
        <w:t>− Date d’entrée en vigueur</w:t>
      </w:r>
      <w:r w:rsidR="00230616">
        <w:rPr>
          <w:shd w:val="clear" w:color="auto" w:fill="FFFFFF"/>
        </w:rPr>
        <w:t> :</w:t>
      </w:r>
      <w:r w:rsidRPr="00E61038">
        <w:rPr>
          <w:shd w:val="clear" w:color="auto" w:fill="FFFFFF"/>
        </w:rPr>
        <w:t xml:space="preserve"> 10 octobre 2017</w:t>
      </w:r>
    </w:p>
    <w:p w:rsidR="00F63EFE" w:rsidRPr="00E61038" w:rsidRDefault="00140B24" w:rsidP="00140B24">
      <w:pPr>
        <w:pStyle w:val="H1G"/>
      </w:pPr>
      <w:r>
        <w:tab/>
      </w:r>
      <w:r>
        <w:tab/>
      </w:r>
      <w:r w:rsidR="00F63EFE" w:rsidRPr="00E61038">
        <w:t>Prescriptions uniformes relatives à l’homologation des triangles de</w:t>
      </w:r>
      <w:r>
        <w:t> </w:t>
      </w:r>
      <w:r w:rsidR="00F63EFE" w:rsidRPr="00E61038">
        <w:t>présignalisation</w:t>
      </w:r>
    </w:p>
    <w:p w:rsidR="00421A10" w:rsidRDefault="00F63EFE" w:rsidP="00140B24">
      <w:pPr>
        <w:pStyle w:val="SingleTxtG"/>
        <w:ind w:firstLine="567"/>
      </w:pPr>
      <w:r w:rsidRPr="00E61038">
        <w:t>Le présent document est communiqué uniquement à titre d’information. Le texte authentique, juridiquement contraignant, est celui du document</w:t>
      </w:r>
      <w:r w:rsidR="00230616">
        <w:t> :</w:t>
      </w:r>
      <w:r w:rsidRPr="00E61038">
        <w:t xml:space="preserve"> </w:t>
      </w:r>
      <w:r w:rsidRPr="00E61038">
        <w:rPr>
          <w:spacing w:val="-6"/>
          <w:lang w:eastAsia="en-GB"/>
        </w:rPr>
        <w:t>ECE/TRANS/WP.29/</w:t>
      </w:r>
      <w:r w:rsidR="00140B24">
        <w:rPr>
          <w:spacing w:val="-6"/>
          <w:lang w:eastAsia="en-GB"/>
        </w:rPr>
        <w:t xml:space="preserve"> </w:t>
      </w:r>
      <w:r w:rsidRPr="00E61038">
        <w:rPr>
          <w:spacing w:val="-6"/>
          <w:lang w:eastAsia="en-GB"/>
        </w:rPr>
        <w:t>2017/25 (1622392).</w:t>
      </w:r>
    </w:p>
    <w:p w:rsidR="00E168F9" w:rsidRDefault="00E168F9" w:rsidP="005F0207"/>
    <w:p w:rsidR="00140B24" w:rsidRPr="00E61038" w:rsidRDefault="00140B24" w:rsidP="00F75DA1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29FF" wp14:editId="5A2021D5">
                <wp:simplePos x="0" y="0"/>
                <wp:positionH relativeFrom="margin">
                  <wp:posOffset>-39268</wp:posOffset>
                </wp:positionH>
                <wp:positionV relativeFrom="margin">
                  <wp:posOffset>6230211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9F94BCF" wp14:editId="5BDE123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29F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.1pt;margin-top:490.5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9F94BCF" wp14:editId="5BDE123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F75DA1">
        <w:rPr>
          <w:i/>
          <w:lang w:val="fr-FR"/>
        </w:rPr>
        <w:lastRenderedPageBreak/>
        <w:t>Paragraphe 10.1</w:t>
      </w:r>
      <w:r w:rsidRPr="00E61038">
        <w:rPr>
          <w:lang w:val="fr-FR"/>
        </w:rPr>
        <w:t>, lire</w:t>
      </w:r>
      <w:r w:rsidR="00230616">
        <w:rPr>
          <w:lang w:val="fr-FR"/>
        </w:rPr>
        <w:t> :</w:t>
      </w:r>
    </w:p>
    <w:p w:rsidR="00140B24" w:rsidRPr="00E61038" w:rsidRDefault="00140B24" w:rsidP="00F75DA1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«</w:t>
      </w:r>
      <w:r w:rsidR="00F75DA1">
        <w:rPr>
          <w:lang w:val="fr-FR"/>
        </w:rPr>
        <w:t> </w:t>
      </w:r>
      <w:r w:rsidRPr="00E61038">
        <w:rPr>
          <w:lang w:val="fr-FR"/>
        </w:rPr>
        <w:t>10.1</w:t>
      </w:r>
      <w:r w:rsidRPr="00E61038">
        <w:rPr>
          <w:lang w:val="fr-FR"/>
        </w:rPr>
        <w:tab/>
        <w:t xml:space="preserve">Les triangles de présignalisation doivent être fabriqués de façon à être conformes au type homologué en vertu du présent Règlement.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La conformité avec les prescriptions des paragraphes 6, 7 et 8 ci-dessus doit être vérifiée comme suit</w:t>
      </w:r>
      <w:r w:rsidR="00230616">
        <w:rPr>
          <w:lang w:val="fr-FR"/>
        </w:rPr>
        <w:t> :</w:t>
      </w:r>
      <w:r w:rsidR="00AC5F7D">
        <w:rPr>
          <w:lang w:val="fr-FR"/>
        </w:rPr>
        <w:t> </w:t>
      </w:r>
      <w:r w:rsidRPr="00E61038">
        <w:rPr>
          <w:lang w:val="fr-FR"/>
        </w:rPr>
        <w:t>».</w:t>
      </w:r>
    </w:p>
    <w:p w:rsidR="00140B24" w:rsidRPr="00E61038" w:rsidRDefault="00140B24" w:rsidP="00F75DA1">
      <w:pPr>
        <w:pStyle w:val="SingleTxtG"/>
        <w:rPr>
          <w:lang w:val="fr-FR"/>
        </w:rPr>
      </w:pPr>
      <w:r w:rsidRPr="00F75DA1">
        <w:rPr>
          <w:i/>
          <w:lang w:val="fr-FR"/>
        </w:rPr>
        <w:t>Paragraphe 10.1.2</w:t>
      </w:r>
      <w:r w:rsidRPr="00E61038">
        <w:rPr>
          <w:lang w:val="fr-FR"/>
        </w:rPr>
        <w:t>, lire</w:t>
      </w:r>
      <w:r w:rsidR="00230616">
        <w:rPr>
          <w:lang w:val="fr-FR"/>
        </w:rPr>
        <w:t> :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«</w:t>
      </w:r>
      <w:r w:rsidR="00AC5F7D">
        <w:rPr>
          <w:lang w:val="fr-FR"/>
        </w:rPr>
        <w:t> </w:t>
      </w:r>
      <w:r w:rsidRPr="00E61038">
        <w:rPr>
          <w:lang w:val="fr-FR"/>
        </w:rPr>
        <w:t>10.1.2</w:t>
      </w:r>
      <w:r w:rsidRPr="00E61038">
        <w:rPr>
          <w:lang w:val="fr-FR"/>
        </w:rPr>
        <w:tab/>
        <w:t>Les prescriptions minimales concernant les procédures de contrôle de la conformité de la production énoncées à l’annexe 7 du présent Règlement doivent être observées.</w:t>
      </w:r>
      <w:r w:rsidR="00AC5F7D">
        <w:rPr>
          <w:lang w:val="fr-FR"/>
        </w:rPr>
        <w:t> </w:t>
      </w:r>
      <w:r w:rsidRPr="00E61038">
        <w:rPr>
          <w:lang w:val="fr-FR"/>
        </w:rPr>
        <w:t>».</w:t>
      </w:r>
    </w:p>
    <w:p w:rsidR="00140B24" w:rsidRPr="00E61038" w:rsidRDefault="00140B24" w:rsidP="00F75DA1">
      <w:pPr>
        <w:pStyle w:val="SingleTxtG"/>
      </w:pPr>
      <w:r w:rsidRPr="00F75DA1">
        <w:rPr>
          <w:i/>
        </w:rPr>
        <w:t>Annexe 8</w:t>
      </w:r>
      <w:r w:rsidRPr="00E61038">
        <w:t>,</w:t>
      </w:r>
    </w:p>
    <w:p w:rsidR="00140B24" w:rsidRPr="00E61038" w:rsidRDefault="00140B24" w:rsidP="00F75DA1">
      <w:pPr>
        <w:pStyle w:val="SingleTxtG"/>
        <w:rPr>
          <w:lang w:val="fr-FR"/>
        </w:rPr>
      </w:pPr>
      <w:r w:rsidRPr="00F75DA1">
        <w:rPr>
          <w:i/>
          <w:lang w:val="fr-FR"/>
        </w:rPr>
        <w:t>Paragraphes 2 à 4 et figure 1</w:t>
      </w:r>
      <w:r w:rsidRPr="00E61038">
        <w:rPr>
          <w:lang w:val="fr-FR"/>
        </w:rPr>
        <w:t>, supprimer.</w:t>
      </w:r>
    </w:p>
    <w:p w:rsidR="00140B24" w:rsidRPr="00E61038" w:rsidRDefault="00140B24" w:rsidP="00F75DA1">
      <w:pPr>
        <w:pStyle w:val="SingleTxtG"/>
        <w:rPr>
          <w:lang w:val="fr-FR"/>
        </w:rPr>
      </w:pPr>
      <w:r w:rsidRPr="00F75DA1">
        <w:rPr>
          <w:i/>
          <w:lang w:val="fr-FR"/>
        </w:rPr>
        <w:t>Remplacer par les nouveaux paragraphes 2 à 6</w:t>
      </w:r>
      <w:r w:rsidRPr="00E61038">
        <w:rPr>
          <w:lang w:val="fr-FR"/>
        </w:rPr>
        <w:t>, ainsi libellés</w:t>
      </w:r>
      <w:r w:rsidR="00230616">
        <w:rPr>
          <w:lang w:val="fr-FR"/>
        </w:rPr>
        <w:t> :</w:t>
      </w:r>
      <w:r w:rsidRPr="00E61038">
        <w:rPr>
          <w:lang w:val="fr-FR"/>
        </w:rPr>
        <w:t xml:space="preserve"> 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«</w:t>
      </w:r>
      <w:r w:rsidR="00AC5F7D">
        <w:rPr>
          <w:lang w:val="fr-FR"/>
        </w:rPr>
        <w:t> </w:t>
      </w:r>
      <w:r w:rsidRPr="00E61038">
        <w:rPr>
          <w:lang w:val="fr-FR"/>
        </w:rPr>
        <w:t>2.</w:t>
      </w:r>
      <w:r w:rsidRPr="00E61038">
        <w:rPr>
          <w:lang w:val="fr-FR"/>
        </w:rPr>
        <w:tab/>
        <w:t>Premier prélèvement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Lors du premier prélèvement, quatre triangles de présignalisation sont choisis au hasard. La lettre A est apposée sur le premier et le troisième, et la lettre B sur le deuxième et le quatrième.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2.1</w:t>
      </w:r>
      <w:r w:rsidRPr="00E61038">
        <w:rPr>
          <w:lang w:val="fr-FR"/>
        </w:rPr>
        <w:tab/>
        <w:t>La conformité des triangles de présignalisation de série n’est pas contestée si aucune valeur mesurée sur les triangles de présignalisation des échantillons A et B ne s’écarte de plus de 20</w:t>
      </w:r>
      <w:r w:rsidR="00912602">
        <w:rPr>
          <w:lang w:val="fr-FR"/>
        </w:rPr>
        <w:t> </w:t>
      </w:r>
      <w:r w:rsidRPr="00E61038">
        <w:rPr>
          <w:lang w:val="fr-FR"/>
        </w:rPr>
        <w:t>% (pour aucun des quatre triangles).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Si l’écart n’est pas supérieur à 0</w:t>
      </w:r>
      <w:r w:rsidR="00912602">
        <w:rPr>
          <w:lang w:val="fr-FR"/>
        </w:rPr>
        <w:t> </w:t>
      </w:r>
      <w:r w:rsidRPr="00E61038">
        <w:rPr>
          <w:lang w:val="fr-FR"/>
        </w:rPr>
        <w:t>% pour les deux triangles de présignalisation A, on peut arrêter les mesures.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2.2</w:t>
      </w:r>
      <w:r w:rsidRPr="00E61038">
        <w:rPr>
          <w:lang w:val="fr-FR"/>
        </w:rPr>
        <w:tab/>
        <w:t>La conformité des triangles de présignalisation de série doit être contestée si l’écart de la valeur mesurée sur au moins un triangle des échantillons A ou B dépasse 20</w:t>
      </w:r>
      <w:r w:rsidR="00912602">
        <w:rPr>
          <w:lang w:val="fr-FR"/>
        </w:rPr>
        <w:t> </w:t>
      </w:r>
      <w:r w:rsidRPr="00E61038">
        <w:rPr>
          <w:lang w:val="fr-FR"/>
        </w:rPr>
        <w:t>%.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Le fabricant est prié de mettre sa production en conformité avec les prescriptions et il faut procéder à un deuxième prélèvement, conformément au paragraphe 3, dans les deux mois qui suivent la notification. Les échantillons A et B doivent être conservés par le service technique jusqu’à la fin du processus de vérification de la conformité.</w:t>
      </w:r>
    </w:p>
    <w:p w:rsidR="00140B24" w:rsidRPr="00E61038" w:rsidRDefault="00230616" w:rsidP="00230616">
      <w:pPr>
        <w:pStyle w:val="SingleTxtG"/>
        <w:ind w:left="2268" w:hanging="1134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140B24" w:rsidRPr="00E61038">
        <w:rPr>
          <w:lang w:val="fr-FR"/>
        </w:rPr>
        <w:t xml:space="preserve">Deuxième prélèvement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On choisit au hasard quatre triangles de présignalisation parmi le stock produit après mise en conformité.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La lettre C est apposée sur le premier et le troisième, et la lettre D sur le deuxième et le quatrième.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3.1</w:t>
      </w:r>
      <w:r w:rsidRPr="00E61038">
        <w:rPr>
          <w:lang w:val="fr-FR"/>
        </w:rPr>
        <w:tab/>
        <w:t>La conformité des triangles de présignalisation de série n’est pas contestée si aucune valeur mesurée sur les triangles des échantillons C et D ne s’écarte de plus de 20</w:t>
      </w:r>
      <w:r w:rsidR="00912602">
        <w:rPr>
          <w:lang w:val="fr-FR"/>
        </w:rPr>
        <w:t> </w:t>
      </w:r>
      <w:r w:rsidRPr="00E61038">
        <w:rPr>
          <w:lang w:val="fr-FR"/>
        </w:rPr>
        <w:t xml:space="preserve">% (pour aucun des quatre triangles).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Si l’écart n’est pas supérieur à 0</w:t>
      </w:r>
      <w:r w:rsidR="00912602">
        <w:rPr>
          <w:lang w:val="fr-FR"/>
        </w:rPr>
        <w:t> </w:t>
      </w:r>
      <w:r w:rsidRPr="00E61038">
        <w:rPr>
          <w:lang w:val="fr-FR"/>
        </w:rPr>
        <w:t>% pour les deux triangles de présignalisation de l’échantillon C, on peut arrêter les mesures.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3.2</w:t>
      </w:r>
      <w:r w:rsidRPr="00E61038">
        <w:rPr>
          <w:lang w:val="fr-FR"/>
        </w:rPr>
        <w:tab/>
        <w:t>La conformité des triangles de présignalisation de série doit être contestée si l’écart de la valeur mesurée sur au moins</w:t>
      </w:r>
      <w:r w:rsidR="00230616">
        <w:rPr>
          <w:lang w:val="fr-FR"/>
        </w:rPr>
        <w:t> :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3.2.1</w:t>
      </w:r>
      <w:r w:rsidRPr="00E61038">
        <w:rPr>
          <w:lang w:val="fr-FR"/>
        </w:rPr>
        <w:tab/>
        <w:t>Un des échantillons C et D dépasse 20</w:t>
      </w:r>
      <w:r w:rsidR="00912602">
        <w:rPr>
          <w:lang w:val="fr-FR"/>
        </w:rPr>
        <w:t> </w:t>
      </w:r>
      <w:r w:rsidRPr="00E61038">
        <w:rPr>
          <w:lang w:val="fr-FR"/>
        </w:rPr>
        <w:t>% mais l’écart de l’ensemble de ces échantillons ne dépasse pas 30</w:t>
      </w:r>
      <w:r w:rsidR="00912602">
        <w:rPr>
          <w:lang w:val="fr-FR"/>
        </w:rPr>
        <w:t> </w:t>
      </w:r>
      <w:r w:rsidRPr="00E61038">
        <w:rPr>
          <w:lang w:val="fr-FR"/>
        </w:rPr>
        <w:t xml:space="preserve">%.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 xml:space="preserve">Le fabricant est à nouveau prié de mettre sa production en conformité avec les prescriptions. </w:t>
      </w:r>
    </w:p>
    <w:p w:rsidR="00140B24" w:rsidRPr="00E61038" w:rsidRDefault="00140B24" w:rsidP="00912602">
      <w:pPr>
        <w:pStyle w:val="SingleTxtG"/>
        <w:keepLines/>
        <w:ind w:left="2268"/>
        <w:rPr>
          <w:lang w:val="fr-FR"/>
        </w:rPr>
      </w:pPr>
      <w:r w:rsidRPr="00E61038">
        <w:rPr>
          <w:lang w:val="fr-FR"/>
        </w:rPr>
        <w:lastRenderedPageBreak/>
        <w:t>Il faut procéder à un troisième prélèvement, conformément aux dispositions du paragraphe 4 ci-après, dans les deux mois qui suivent la notification. Les échantillons C et D doivent être conservés par le service technique jusqu’à la fin du processus de vérification de la conformité.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3.2.2</w:t>
      </w:r>
      <w:r w:rsidRPr="00E61038">
        <w:rPr>
          <w:lang w:val="fr-FR"/>
        </w:rPr>
        <w:tab/>
        <w:t>Un échantillon C ou D dépasse 30</w:t>
      </w:r>
      <w:r w:rsidR="00912602">
        <w:rPr>
          <w:lang w:val="fr-FR"/>
        </w:rPr>
        <w:t> </w:t>
      </w:r>
      <w:r w:rsidRPr="00E61038">
        <w:rPr>
          <w:lang w:val="fr-FR"/>
        </w:rPr>
        <w:t>%.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Dans ce cas, il faut retirer l’homologation conformément aux dispositions du paragraphe 5 ci-dessous.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4.</w:t>
      </w:r>
      <w:r w:rsidRPr="00E61038">
        <w:rPr>
          <w:lang w:val="fr-FR"/>
        </w:rPr>
        <w:tab/>
        <w:t>Troisième prélèvement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 xml:space="preserve">On choisit au hasard quatre triangles de présignalisation parmi le stock produit après mise en conformité.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La lettre E est apposée sur le premier et le troisième, et la lettre F sur le deuxième et le quatrième.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4.1</w:t>
      </w:r>
      <w:r w:rsidRPr="00E61038">
        <w:rPr>
          <w:lang w:val="fr-FR"/>
        </w:rPr>
        <w:tab/>
        <w:t>La conformité des triangles de présignalisation de série n’est pas contestée si aucune valeur mesurée sur les triangles des échantillons E et F ne s’écarte de plus de 20</w:t>
      </w:r>
      <w:r w:rsidR="00912602">
        <w:rPr>
          <w:lang w:val="fr-FR"/>
        </w:rPr>
        <w:t> </w:t>
      </w:r>
      <w:r w:rsidRPr="00E61038">
        <w:rPr>
          <w:lang w:val="fr-FR"/>
        </w:rPr>
        <w:t xml:space="preserve">% (pour aucun des quatre triangles). 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Si l’écart n’est pas supérieur à 0</w:t>
      </w:r>
      <w:r w:rsidR="00912602">
        <w:rPr>
          <w:lang w:val="fr-FR"/>
        </w:rPr>
        <w:t> </w:t>
      </w:r>
      <w:r w:rsidRPr="00E61038">
        <w:rPr>
          <w:lang w:val="fr-FR"/>
        </w:rPr>
        <w:t>% pour les deux triangles de présignalisation de l’échantillon E, on peut arrêter les mesures.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4.2</w:t>
      </w:r>
      <w:r w:rsidRPr="00E61038">
        <w:rPr>
          <w:lang w:val="fr-FR"/>
        </w:rPr>
        <w:tab/>
        <w:t>La conformité des triangles de présignalisation de série doit être contestée si l’écart de la valeur mesurée sur au moins un triangle des échantillons E ou F dépasse 20</w:t>
      </w:r>
      <w:r w:rsidR="00912602">
        <w:rPr>
          <w:lang w:val="fr-FR"/>
        </w:rPr>
        <w:t> </w:t>
      </w:r>
      <w:r w:rsidRPr="00E61038">
        <w:rPr>
          <w:lang w:val="fr-FR"/>
        </w:rPr>
        <w:t>%.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 xml:space="preserve">Dans ce cas, il faut retirer l’homologation conformément aux dispositions du paragraphe 5 ci-dessous. 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5.</w:t>
      </w:r>
      <w:r w:rsidRPr="00E61038">
        <w:rPr>
          <w:lang w:val="fr-FR"/>
        </w:rPr>
        <w:tab/>
        <w:t>Retrait de l’homologation</w:t>
      </w:r>
    </w:p>
    <w:p w:rsidR="00140B24" w:rsidRPr="00E61038" w:rsidRDefault="00140B24" w:rsidP="00230616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L’homologation doit être retirée en vertu du paragraphe 9 du présent Règlement.</w:t>
      </w:r>
    </w:p>
    <w:p w:rsidR="00140B24" w:rsidRPr="00E61038" w:rsidRDefault="00140B24" w:rsidP="00230616">
      <w:pPr>
        <w:pStyle w:val="SingleTxtG"/>
        <w:ind w:left="2268" w:hanging="1134"/>
        <w:rPr>
          <w:lang w:val="fr-FR"/>
        </w:rPr>
      </w:pPr>
      <w:r w:rsidRPr="00E61038">
        <w:rPr>
          <w:lang w:val="fr-FR"/>
        </w:rPr>
        <w:t>6.</w:t>
      </w:r>
      <w:r w:rsidRPr="00E61038">
        <w:rPr>
          <w:lang w:val="fr-FR"/>
        </w:rPr>
        <w:tab/>
        <w:t>Essais supplémentaires</w:t>
      </w:r>
    </w:p>
    <w:p w:rsidR="00140B24" w:rsidRPr="00E61038" w:rsidRDefault="00140B24" w:rsidP="00F75DA1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En ce qui concerne la vérification de l’utilisation normale, la procédure suivante est appliquée</w:t>
      </w:r>
      <w:r w:rsidR="00230616">
        <w:rPr>
          <w:lang w:val="fr-FR"/>
        </w:rPr>
        <w:t> :</w:t>
      </w:r>
    </w:p>
    <w:p w:rsidR="00140B24" w:rsidRPr="00E61038" w:rsidRDefault="00140B24" w:rsidP="00F75DA1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 xml:space="preserve">Un triangle de présignalisation supplémentaire est soumis aux procédures prévues aux paragraphes 1.5.3 à 1.8.3 de l’annexe 5. </w:t>
      </w:r>
    </w:p>
    <w:p w:rsidR="00140B24" w:rsidRPr="00E61038" w:rsidRDefault="00140B24" w:rsidP="00F75DA1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Le triangle de présignalisation est considéré comme satisfaisant si les résultats des essais sont favorables.</w:t>
      </w:r>
    </w:p>
    <w:p w:rsidR="00140B24" w:rsidRPr="00E61038" w:rsidRDefault="00140B24" w:rsidP="00F75DA1">
      <w:pPr>
        <w:pStyle w:val="SingleTxtG"/>
        <w:ind w:left="2268"/>
        <w:rPr>
          <w:lang w:val="fr-FR"/>
        </w:rPr>
      </w:pPr>
      <w:r w:rsidRPr="00E61038">
        <w:rPr>
          <w:lang w:val="fr-FR"/>
        </w:rPr>
        <w:t>Toutefois, si les essais sont défavorables pour l’échantillon en question, deux autres triangles de présignalisation supplémentaires doivent être soumis aux mêmes procédures et chacun doit passer les essais avec succès.</w:t>
      </w:r>
      <w:r w:rsidR="00912602">
        <w:rPr>
          <w:lang w:val="fr-FR"/>
        </w:rPr>
        <w:t> </w:t>
      </w:r>
      <w:r w:rsidRPr="00E61038">
        <w:rPr>
          <w:lang w:val="fr-FR"/>
        </w:rPr>
        <w:t>».</w:t>
      </w:r>
    </w:p>
    <w:p w:rsidR="005F0207" w:rsidRPr="00140B24" w:rsidRDefault="00140B24" w:rsidP="00140B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140B24" w:rsidSect="00E168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06E" w:rsidRDefault="0099706E"/>
  </w:endnote>
  <w:endnote w:type="continuationSeparator" w:id="0">
    <w:p w:rsidR="0099706E" w:rsidRDefault="0099706E">
      <w:pPr>
        <w:pStyle w:val="Footer"/>
      </w:pPr>
    </w:p>
  </w:endnote>
  <w:endnote w:type="continuationNotice" w:id="1">
    <w:p w:rsidR="0099706E" w:rsidRPr="00C451B9" w:rsidRDefault="0099706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F9" w:rsidRPr="00E168F9" w:rsidRDefault="00E168F9" w:rsidP="00E168F9">
    <w:pPr>
      <w:pStyle w:val="Footer"/>
      <w:tabs>
        <w:tab w:val="right" w:pos="9638"/>
      </w:tabs>
    </w:pPr>
    <w:r w:rsidRPr="00E168F9">
      <w:rPr>
        <w:b/>
        <w:sz w:val="18"/>
      </w:rPr>
      <w:fldChar w:fldCharType="begin"/>
    </w:r>
    <w:r w:rsidRPr="00E168F9">
      <w:rPr>
        <w:b/>
        <w:sz w:val="18"/>
      </w:rPr>
      <w:instrText xml:space="preserve"> PAGE  \* MERGEFORMAT </w:instrText>
    </w:r>
    <w:r w:rsidRPr="00E168F9">
      <w:rPr>
        <w:b/>
        <w:sz w:val="18"/>
      </w:rPr>
      <w:fldChar w:fldCharType="separate"/>
    </w:r>
    <w:r w:rsidR="00F470C9">
      <w:rPr>
        <w:b/>
        <w:noProof/>
        <w:sz w:val="18"/>
      </w:rPr>
      <w:t>2</w:t>
    </w:r>
    <w:r w:rsidRPr="00E168F9">
      <w:rPr>
        <w:b/>
        <w:sz w:val="18"/>
      </w:rPr>
      <w:fldChar w:fldCharType="end"/>
    </w:r>
    <w:r>
      <w:rPr>
        <w:b/>
        <w:sz w:val="18"/>
      </w:rPr>
      <w:tab/>
    </w:r>
    <w:r>
      <w:t>GE.17-21657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F9" w:rsidRPr="00E168F9" w:rsidRDefault="00E168F9" w:rsidP="00E168F9">
    <w:pPr>
      <w:pStyle w:val="Footer"/>
      <w:tabs>
        <w:tab w:val="right" w:pos="9638"/>
      </w:tabs>
      <w:rPr>
        <w:b/>
        <w:sz w:val="18"/>
      </w:rPr>
    </w:pPr>
    <w:r>
      <w:t>GE.17-21657</w:t>
    </w:r>
    <w:r>
      <w:tab/>
    </w:r>
    <w:r w:rsidRPr="00E168F9">
      <w:rPr>
        <w:b/>
        <w:sz w:val="18"/>
      </w:rPr>
      <w:fldChar w:fldCharType="begin"/>
    </w:r>
    <w:r w:rsidRPr="00E168F9">
      <w:rPr>
        <w:b/>
        <w:sz w:val="18"/>
      </w:rPr>
      <w:instrText xml:space="preserve"> PAGE  \* MERGEFORMAT </w:instrText>
    </w:r>
    <w:r w:rsidRPr="00E168F9">
      <w:rPr>
        <w:b/>
        <w:sz w:val="18"/>
      </w:rPr>
      <w:fldChar w:fldCharType="separate"/>
    </w:r>
    <w:r w:rsidR="00F470C9">
      <w:rPr>
        <w:b/>
        <w:noProof/>
        <w:sz w:val="18"/>
      </w:rPr>
      <w:t>3</w:t>
    </w:r>
    <w:r w:rsidRPr="00E168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E168F9" w:rsidRDefault="00E168F9" w:rsidP="00E168F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17-21657  (F)</w:t>
    </w:r>
    <w:r w:rsidR="00F75DA1">
      <w:rPr>
        <w:sz w:val="20"/>
      </w:rPr>
      <w:t xml:space="preserve">    120318    290318</w:t>
    </w:r>
    <w:r>
      <w:rPr>
        <w:sz w:val="20"/>
      </w:rPr>
      <w:br/>
    </w:r>
    <w:r w:rsidRPr="00E168F9">
      <w:rPr>
        <w:rFonts w:ascii="C39T30Lfz" w:hAnsi="C39T30Lfz"/>
        <w:sz w:val="56"/>
      </w:rPr>
      <w:t></w:t>
    </w:r>
    <w:r w:rsidRPr="00E168F9">
      <w:rPr>
        <w:rFonts w:ascii="C39T30Lfz" w:hAnsi="C39T30Lfz"/>
        <w:sz w:val="56"/>
      </w:rPr>
      <w:t></w:t>
    </w:r>
    <w:r w:rsidRPr="00E168F9">
      <w:rPr>
        <w:rFonts w:ascii="C39T30Lfz" w:hAnsi="C39T30Lfz"/>
        <w:sz w:val="56"/>
      </w:rPr>
      <w:t></w:t>
    </w:r>
    <w:r w:rsidRPr="00E168F9">
      <w:rPr>
        <w:rFonts w:ascii="C39T30Lfz" w:hAnsi="C39T30Lfz"/>
        <w:sz w:val="56"/>
      </w:rPr>
      <w:t></w:t>
    </w:r>
    <w:r w:rsidRPr="00E168F9">
      <w:rPr>
        <w:rFonts w:ascii="C39T30Lfz" w:hAnsi="C39T30Lfz"/>
        <w:sz w:val="56"/>
      </w:rPr>
      <w:t></w:t>
    </w:r>
    <w:r w:rsidRPr="00E168F9">
      <w:rPr>
        <w:rFonts w:ascii="C39T30Lfz" w:hAnsi="C39T30Lfz"/>
        <w:sz w:val="56"/>
      </w:rPr>
      <w:t></w:t>
    </w:r>
    <w:r w:rsidRPr="00E168F9">
      <w:rPr>
        <w:rFonts w:ascii="C39T30Lfz" w:hAnsi="C39T30Lfz"/>
        <w:sz w:val="56"/>
      </w:rPr>
      <w:t></w:t>
    </w:r>
    <w:r w:rsidRPr="00E168F9">
      <w:rPr>
        <w:rFonts w:ascii="C39T30Lfz" w:hAnsi="C39T30Lfz"/>
        <w:sz w:val="56"/>
      </w:rPr>
      <w:t></w:t>
    </w:r>
    <w:r w:rsidRPr="00E168F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26/Rev.2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6/Rev.2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06E" w:rsidRPr="00D27D5E" w:rsidRDefault="0099706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706E" w:rsidRPr="00D171D4" w:rsidRDefault="0099706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9706E" w:rsidRPr="00C451B9" w:rsidRDefault="0099706E" w:rsidP="00C451B9">
      <w:pPr>
        <w:spacing w:line="240" w:lineRule="auto"/>
        <w:rPr>
          <w:sz w:val="2"/>
          <w:szCs w:val="2"/>
        </w:rPr>
      </w:pPr>
    </w:p>
  </w:footnote>
  <w:footnote w:id="2">
    <w:p w:rsidR="00F63EFE" w:rsidRPr="00C92182" w:rsidRDefault="00140B24" w:rsidP="00F63EFE">
      <w:pPr>
        <w:pStyle w:val="FootnoteText"/>
      </w:pPr>
      <w:r>
        <w:rPr>
          <w:sz w:val="20"/>
        </w:rPr>
        <w:tab/>
      </w:r>
      <w:r w:rsidR="00F63EFE" w:rsidRPr="001823C3">
        <w:rPr>
          <w:sz w:val="20"/>
        </w:rPr>
        <w:t>*</w:t>
      </w:r>
      <w:r w:rsidR="00F63EFE" w:rsidRPr="00C92182">
        <w:rPr>
          <w:sz w:val="20"/>
        </w:rPr>
        <w:tab/>
      </w:r>
      <w:r w:rsidR="00F63EFE" w:rsidRPr="00C92182">
        <w:t>Anciens</w:t>
      </w:r>
      <w:r w:rsidR="00F63EFE">
        <w:t xml:space="preserve"> </w:t>
      </w:r>
      <w:r w:rsidR="00F63EFE" w:rsidRPr="00C92182">
        <w:t>titres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l’Accord</w:t>
      </w:r>
      <w:r w:rsidR="00230616">
        <w:t> :</w:t>
      </w:r>
    </w:p>
    <w:p w:rsidR="00F63EFE" w:rsidRPr="00C92182" w:rsidRDefault="00140B24" w:rsidP="00F63EFE">
      <w:pPr>
        <w:pStyle w:val="FootnoteText"/>
      </w:pPr>
      <w:r>
        <w:tab/>
      </w:r>
      <w:r>
        <w:tab/>
      </w:r>
      <w:r w:rsidR="00F63EFE" w:rsidRPr="00C92182">
        <w:t>Accord</w:t>
      </w:r>
      <w:r w:rsidR="00F63EFE">
        <w:t xml:space="preserve"> </w:t>
      </w:r>
      <w:r w:rsidR="00F63EFE" w:rsidRPr="00C92182">
        <w:t>concernant</w:t>
      </w:r>
      <w:r w:rsidR="00F63EFE">
        <w:t xml:space="preserve"> </w:t>
      </w:r>
      <w:r w:rsidR="00F63EFE" w:rsidRPr="00C92182">
        <w:t>l’adoption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conditions</w:t>
      </w:r>
      <w:r w:rsidR="00F63EFE">
        <w:t xml:space="preserve"> </w:t>
      </w:r>
      <w:r w:rsidR="00F63EFE" w:rsidRPr="00C92182">
        <w:t>uniformes</w:t>
      </w:r>
      <w:r w:rsidR="00F63EFE">
        <w:t xml:space="preserve"> </w:t>
      </w:r>
      <w:r w:rsidR="00F63EFE" w:rsidRPr="00C92182">
        <w:t>d’homologation</w:t>
      </w:r>
      <w:r w:rsidR="00F63EFE">
        <w:t xml:space="preserve"> </w:t>
      </w:r>
      <w:r w:rsidR="00F63EFE" w:rsidRPr="00C92182">
        <w:t>et</w:t>
      </w:r>
      <w:r w:rsidR="00F63EFE">
        <w:t xml:space="preserve"> </w:t>
      </w:r>
      <w:r w:rsidR="00F63EFE" w:rsidRPr="00C92182">
        <w:t>la</w:t>
      </w:r>
      <w:r w:rsidR="00F63EFE">
        <w:t xml:space="preserve"> </w:t>
      </w:r>
      <w:r w:rsidR="00F63EFE" w:rsidRPr="00C92182">
        <w:t>reconnaissance</w:t>
      </w:r>
      <w:r w:rsidR="00F63EFE">
        <w:t xml:space="preserve"> </w:t>
      </w:r>
      <w:r w:rsidR="00F63EFE" w:rsidRPr="00C92182">
        <w:t>réciproque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l’homologation</w:t>
      </w:r>
      <w:r w:rsidR="00F63EFE">
        <w:t xml:space="preserve"> </w:t>
      </w:r>
      <w:r w:rsidR="00F63EFE" w:rsidRPr="00C92182">
        <w:t>des</w:t>
      </w:r>
      <w:r w:rsidR="00F63EFE">
        <w:t xml:space="preserve"> </w:t>
      </w:r>
      <w:r w:rsidR="00F63EFE" w:rsidRPr="00C92182">
        <w:t>équipements</w:t>
      </w:r>
      <w:r w:rsidR="00F63EFE">
        <w:t xml:space="preserve"> </w:t>
      </w:r>
      <w:r w:rsidR="00F63EFE" w:rsidRPr="00C92182">
        <w:t>et</w:t>
      </w:r>
      <w:r w:rsidR="00F63EFE">
        <w:t xml:space="preserve"> </w:t>
      </w:r>
      <w:r w:rsidR="00F63EFE" w:rsidRPr="00C92182">
        <w:t>pièces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véhicules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moteur,</w:t>
      </w:r>
      <w:r w:rsidR="00F63EFE">
        <w:t xml:space="preserve"> </w:t>
      </w:r>
      <w:r w:rsidR="00F63EFE" w:rsidRPr="00C92182">
        <w:t>en</w:t>
      </w:r>
      <w:r w:rsidR="00F63EFE">
        <w:t xml:space="preserve"> </w:t>
      </w:r>
      <w:r w:rsidR="00F63EFE" w:rsidRPr="00C92182">
        <w:t>date,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Genève,</w:t>
      </w:r>
      <w:r w:rsidR="00F63EFE">
        <w:t xml:space="preserve"> </w:t>
      </w:r>
      <w:r w:rsidR="00F63EFE" w:rsidRPr="00C92182">
        <w:t>du</w:t>
      </w:r>
      <w:r>
        <w:t> </w:t>
      </w:r>
      <w:r w:rsidR="00F63EFE" w:rsidRPr="00C92182">
        <w:t>20</w:t>
      </w:r>
      <w:r w:rsidR="00F63EFE">
        <w:t xml:space="preserve"> </w:t>
      </w:r>
      <w:r w:rsidR="00F63EFE" w:rsidRPr="00C92182">
        <w:t>mars</w:t>
      </w:r>
      <w:r w:rsidR="00F63EFE">
        <w:t xml:space="preserve"> </w:t>
      </w:r>
      <w:r w:rsidR="00F63EFE" w:rsidRPr="00C92182">
        <w:t>1958</w:t>
      </w:r>
      <w:r w:rsidR="00F63EFE">
        <w:t xml:space="preserve"> </w:t>
      </w:r>
      <w:r w:rsidR="00F63EFE" w:rsidRPr="00C92182">
        <w:t>(version</w:t>
      </w:r>
      <w:r w:rsidR="00F63EFE">
        <w:t xml:space="preserve"> </w:t>
      </w:r>
      <w:r w:rsidR="00F63EFE" w:rsidRPr="00C92182">
        <w:t>originale).</w:t>
      </w:r>
    </w:p>
    <w:p w:rsidR="00F63EFE" w:rsidRPr="00C92182" w:rsidRDefault="00140B24" w:rsidP="00F63EFE">
      <w:pPr>
        <w:pStyle w:val="FootnoteText"/>
      </w:pPr>
      <w:r>
        <w:tab/>
      </w:r>
      <w:r>
        <w:tab/>
      </w:r>
      <w:r w:rsidR="00F63EFE" w:rsidRPr="00C92182">
        <w:t>Accord</w:t>
      </w:r>
      <w:r w:rsidR="00F63EFE">
        <w:t xml:space="preserve"> </w:t>
      </w:r>
      <w:r w:rsidR="00F63EFE" w:rsidRPr="00C92182">
        <w:t>concernant</w:t>
      </w:r>
      <w:r w:rsidR="00F63EFE">
        <w:t xml:space="preserve"> </w:t>
      </w:r>
      <w:r w:rsidR="00F63EFE" w:rsidRPr="00C92182">
        <w:t>l’adoption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prescriptions</w:t>
      </w:r>
      <w:r w:rsidR="00F63EFE">
        <w:t xml:space="preserve"> </w:t>
      </w:r>
      <w:r w:rsidR="00F63EFE" w:rsidRPr="00C92182">
        <w:t>techniques</w:t>
      </w:r>
      <w:r w:rsidR="00F63EFE">
        <w:t xml:space="preserve"> </w:t>
      </w:r>
      <w:r w:rsidR="00F63EFE" w:rsidRPr="00C92182">
        <w:t>uniformes</w:t>
      </w:r>
      <w:r w:rsidR="00F63EFE">
        <w:t xml:space="preserve"> </w:t>
      </w:r>
      <w:r w:rsidR="00F63EFE" w:rsidRPr="00C92182">
        <w:t>applicables</w:t>
      </w:r>
      <w:r w:rsidR="00F63EFE">
        <w:t xml:space="preserve"> </w:t>
      </w:r>
      <w:r w:rsidR="00F63EFE" w:rsidRPr="00C92182">
        <w:t>aux</w:t>
      </w:r>
      <w:r w:rsidR="00F63EFE">
        <w:t xml:space="preserve"> </w:t>
      </w:r>
      <w:r w:rsidR="00F63EFE" w:rsidRPr="00C92182">
        <w:t>véhicules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roues,</w:t>
      </w:r>
      <w:r w:rsidR="00F63EFE">
        <w:t xml:space="preserve"> </w:t>
      </w:r>
      <w:r w:rsidR="00F63EFE" w:rsidRPr="00C92182">
        <w:t>aux</w:t>
      </w:r>
      <w:r w:rsidR="00F63EFE">
        <w:t xml:space="preserve"> </w:t>
      </w:r>
      <w:r w:rsidR="00F63EFE" w:rsidRPr="00C92182">
        <w:t>équipements</w:t>
      </w:r>
      <w:r w:rsidR="00F63EFE">
        <w:t xml:space="preserve"> </w:t>
      </w:r>
      <w:r w:rsidR="00F63EFE" w:rsidRPr="00C92182">
        <w:t>et</w:t>
      </w:r>
      <w:r w:rsidR="00F63EFE">
        <w:t xml:space="preserve"> </w:t>
      </w:r>
      <w:r w:rsidR="00F63EFE" w:rsidRPr="00C92182">
        <w:t>aux</w:t>
      </w:r>
      <w:r w:rsidR="00F63EFE">
        <w:t xml:space="preserve"> </w:t>
      </w:r>
      <w:r w:rsidR="00F63EFE" w:rsidRPr="00C92182">
        <w:t>pièces</w:t>
      </w:r>
      <w:r w:rsidR="00F63EFE">
        <w:t xml:space="preserve"> </w:t>
      </w:r>
      <w:r w:rsidR="00F63EFE" w:rsidRPr="00C92182">
        <w:t>susceptibles</w:t>
      </w:r>
      <w:r w:rsidR="00F63EFE">
        <w:t xml:space="preserve"> </w:t>
      </w:r>
      <w:r w:rsidR="00F63EFE" w:rsidRPr="00C92182">
        <w:t>d’être</w:t>
      </w:r>
      <w:r w:rsidR="00F63EFE">
        <w:t xml:space="preserve"> </w:t>
      </w:r>
      <w:r w:rsidR="00F63EFE" w:rsidRPr="00C92182">
        <w:t>montés</w:t>
      </w:r>
      <w:r w:rsidR="00F63EFE">
        <w:t xml:space="preserve"> </w:t>
      </w:r>
      <w:r w:rsidR="00F63EFE" w:rsidRPr="00C92182">
        <w:t>ou</w:t>
      </w:r>
      <w:r w:rsidR="00F63EFE">
        <w:t xml:space="preserve"> </w:t>
      </w:r>
      <w:r w:rsidR="00F63EFE" w:rsidRPr="00C92182">
        <w:t>utilisés</w:t>
      </w:r>
      <w:r w:rsidR="00F63EFE">
        <w:t xml:space="preserve"> </w:t>
      </w:r>
      <w:r w:rsidR="00F63EFE" w:rsidRPr="00C92182">
        <w:t>sur</w:t>
      </w:r>
      <w:r w:rsidR="00F63EFE">
        <w:t xml:space="preserve"> </w:t>
      </w:r>
      <w:r w:rsidR="00F63EFE" w:rsidRPr="00C92182">
        <w:t>un</w:t>
      </w:r>
      <w:r w:rsidR="00F63EFE">
        <w:t xml:space="preserve"> </w:t>
      </w:r>
      <w:r w:rsidR="00F63EFE" w:rsidRPr="00C92182">
        <w:t>véhicule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roues</w:t>
      </w:r>
      <w:r w:rsidR="00F63EFE">
        <w:t xml:space="preserve"> </w:t>
      </w:r>
      <w:r w:rsidR="00F63EFE" w:rsidRPr="00C92182">
        <w:t>et</w:t>
      </w:r>
      <w:r>
        <w:t> </w:t>
      </w:r>
      <w:r w:rsidR="00F63EFE" w:rsidRPr="00C92182">
        <w:t>les</w:t>
      </w:r>
      <w:r w:rsidR="00F63EFE">
        <w:t xml:space="preserve"> </w:t>
      </w:r>
      <w:r w:rsidR="00F63EFE" w:rsidRPr="00C92182">
        <w:t>conditions</w:t>
      </w:r>
      <w:r w:rsidR="00F63EFE">
        <w:t xml:space="preserve"> </w:t>
      </w:r>
      <w:r w:rsidR="00F63EFE" w:rsidRPr="00C92182">
        <w:t>de</w:t>
      </w:r>
      <w:r w:rsidR="00F63EFE">
        <w:t xml:space="preserve"> </w:t>
      </w:r>
      <w:r w:rsidR="00F63EFE" w:rsidRPr="00C92182">
        <w:t>reconnaissance</w:t>
      </w:r>
      <w:r w:rsidR="00F63EFE">
        <w:t xml:space="preserve"> </w:t>
      </w:r>
      <w:r w:rsidR="00F63EFE" w:rsidRPr="00C92182">
        <w:t>réciproque</w:t>
      </w:r>
      <w:r w:rsidR="00F63EFE">
        <w:t xml:space="preserve"> </w:t>
      </w:r>
      <w:r w:rsidR="00F63EFE" w:rsidRPr="00C92182">
        <w:t>des</w:t>
      </w:r>
      <w:r w:rsidR="00F63EFE">
        <w:t xml:space="preserve"> </w:t>
      </w:r>
      <w:r w:rsidR="00F63EFE" w:rsidRPr="00C92182">
        <w:t>homologations</w:t>
      </w:r>
      <w:r w:rsidR="00F63EFE">
        <w:t xml:space="preserve"> </w:t>
      </w:r>
      <w:r w:rsidR="00F63EFE" w:rsidRPr="00C92182">
        <w:t>délivrées</w:t>
      </w:r>
      <w:r w:rsidR="00F63EFE">
        <w:t xml:space="preserve"> </w:t>
      </w:r>
      <w:r w:rsidR="00F63EFE" w:rsidRPr="00C92182">
        <w:t>conformément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ces</w:t>
      </w:r>
      <w:r>
        <w:t> </w:t>
      </w:r>
      <w:r w:rsidR="00F63EFE" w:rsidRPr="00C92182">
        <w:t>prescriptions,</w:t>
      </w:r>
      <w:r w:rsidR="00F63EFE">
        <w:t xml:space="preserve"> </w:t>
      </w:r>
      <w:r w:rsidR="00F63EFE" w:rsidRPr="00C92182">
        <w:t>en</w:t>
      </w:r>
      <w:r w:rsidR="00F63EFE">
        <w:t xml:space="preserve"> </w:t>
      </w:r>
      <w:r w:rsidR="00F63EFE" w:rsidRPr="00C92182">
        <w:t>date,</w:t>
      </w:r>
      <w:r w:rsidR="00F63EFE">
        <w:t xml:space="preserve"> </w:t>
      </w:r>
      <w:r w:rsidR="00F63EFE" w:rsidRPr="00C92182">
        <w:t>à</w:t>
      </w:r>
      <w:r w:rsidR="00F63EFE">
        <w:t xml:space="preserve"> </w:t>
      </w:r>
      <w:r w:rsidR="00F63EFE" w:rsidRPr="00C92182">
        <w:t>Genève,</w:t>
      </w:r>
      <w:r w:rsidR="00F63EFE">
        <w:t xml:space="preserve"> </w:t>
      </w:r>
      <w:r w:rsidR="00F63EFE" w:rsidRPr="00C92182">
        <w:t>du</w:t>
      </w:r>
      <w:r w:rsidR="00F63EFE">
        <w:t xml:space="preserve"> </w:t>
      </w:r>
      <w:r w:rsidR="00F63EFE" w:rsidRPr="00C92182">
        <w:t>5</w:t>
      </w:r>
      <w:r w:rsidR="00F63EFE">
        <w:t xml:space="preserve"> </w:t>
      </w:r>
      <w:r w:rsidR="00F63EFE" w:rsidRPr="00C92182">
        <w:t>octobre</w:t>
      </w:r>
      <w:r w:rsidR="00F63EFE">
        <w:t xml:space="preserve"> </w:t>
      </w:r>
      <w:r w:rsidR="00F63EFE" w:rsidRPr="00C92182">
        <w:t>1995</w:t>
      </w:r>
      <w:r w:rsidR="00F63EFE">
        <w:t xml:space="preserve"> </w:t>
      </w:r>
      <w:r w:rsidR="00F63EFE" w:rsidRPr="00C92182">
        <w:t>(Révision</w:t>
      </w:r>
      <w:r w:rsidR="00F63EFE">
        <w:t xml:space="preserve"> </w:t>
      </w:r>
      <w:r w:rsidR="00F63EFE" w:rsidRPr="00C92182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F9" w:rsidRPr="00E168F9" w:rsidRDefault="005C72E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4E0E">
      <w:t>E/ECE/324/Rev.1/Add.26/Rev.2/Amend.1</w:t>
    </w:r>
    <w:r>
      <w:fldChar w:fldCharType="end"/>
    </w:r>
    <w:r w:rsidR="00E168F9">
      <w:br/>
    </w:r>
    <w:r>
      <w:fldChar w:fldCharType="begin"/>
    </w:r>
    <w:r>
      <w:instrText xml:space="preserve"> KEYWORDS  \* MERGEFORMAT </w:instrText>
    </w:r>
    <w:r>
      <w:fldChar w:fldCharType="separate"/>
    </w:r>
    <w:r w:rsidR="00374E0E">
      <w:t>E/ECE/TRANS/505/Rev.1/Add.26/Rev.2/Amend.1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F9" w:rsidRPr="00E168F9" w:rsidRDefault="005C72E7" w:rsidP="00E168F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4E0E">
      <w:t>E/ECE/324/Rev.1/Add.26/Rev.2/Amend.1</w:t>
    </w:r>
    <w:r>
      <w:fldChar w:fldCharType="end"/>
    </w:r>
    <w:r w:rsidR="00E168F9">
      <w:br/>
    </w:r>
    <w:r>
      <w:fldChar w:fldCharType="begin"/>
    </w:r>
    <w:r>
      <w:instrText xml:space="preserve"> KEYWORDS  \* MERGEFORMAT </w:instrText>
    </w:r>
    <w:r>
      <w:fldChar w:fldCharType="separate"/>
    </w:r>
    <w:r w:rsidR="00374E0E">
      <w:t>E/ECE/TRANS/505/Rev.1/Add.26/Rev.2/Amend.1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06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0B24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616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4E0E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C72E7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2602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9706E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5F7D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569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68F9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70C9"/>
    <w:rsid w:val="00F515AD"/>
    <w:rsid w:val="00F57DD7"/>
    <w:rsid w:val="00F636AD"/>
    <w:rsid w:val="00F63EFE"/>
    <w:rsid w:val="00F734D9"/>
    <w:rsid w:val="00F73F83"/>
    <w:rsid w:val="00F74902"/>
    <w:rsid w:val="00F75DA1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7FD7671-B895-4F5D-A3F8-BD52692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rsid w:val="0048687D"/>
    <w:rPr>
      <w:color w:val="0000FF"/>
      <w:u w:val="none"/>
    </w:rPr>
  </w:style>
  <w:style w:type="character" w:styleId="FollowedHyperlink">
    <w:name w:val="FollowedHyperlink"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E/ECE/324/Rev.1/Add.26/Rev.2/Amend.1</vt:lpstr>
      <vt:lpstr>E/ECE/324/Rev.1/Add.26/Rev.2/Amend.1</vt:lpstr>
    </vt:vector>
  </TitlesOfParts>
  <Company>CSD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E/ECE/324/Rev.1/Add.26/Rev.2/Amend.1</dc:title>
  <dc:creator>Nicolas MORIN</dc:creator>
  <cp:keywords>E/ECE/TRANS/505/Rev.1/Add.26/Rev.2/Amend.1</cp:keywords>
  <cp:lastModifiedBy>Secretariat</cp:lastModifiedBy>
  <cp:revision>2</cp:revision>
  <cp:lastPrinted>2018-03-29T14:04:00Z</cp:lastPrinted>
  <dcterms:created xsi:type="dcterms:W3CDTF">2018-10-24T14:10:00Z</dcterms:created>
  <dcterms:modified xsi:type="dcterms:W3CDTF">2018-10-24T14:10:00Z</dcterms:modified>
</cp:coreProperties>
</file>