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6804"/>
        <w:gridCol w:w="2693"/>
      </w:tblGrid>
      <w:tr w:rsidR="00CF7295" w:rsidRPr="00844596" w:rsidTr="00740D5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CF7295" w:rsidRDefault="00CF7295" w:rsidP="00CF72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:rsidR="00CF7295" w:rsidRPr="00CF7295" w:rsidRDefault="00CF7295" w:rsidP="00CF7295">
            <w:pPr>
              <w:jc w:val="right"/>
              <w:rPr>
                <w:lang w:val="en-US"/>
              </w:rPr>
            </w:pPr>
            <w:r w:rsidRPr="00CF7295">
              <w:rPr>
                <w:sz w:val="40"/>
                <w:lang w:val="en-US"/>
              </w:rPr>
              <w:t>E</w:t>
            </w:r>
            <w:r w:rsidRPr="00CF7295">
              <w:rPr>
                <w:lang w:val="en-US"/>
              </w:rPr>
              <w:t>/ECE/324/Rev.1/Add.15/Rev.9/Amend.2</w:t>
            </w:r>
            <w:r w:rsidRPr="00CF7295">
              <w:rPr>
                <w:rFonts w:cs="Times New Roman"/>
                <w:lang w:val="en-US"/>
              </w:rPr>
              <w:t>−</w:t>
            </w:r>
            <w:r w:rsidRPr="00CF7295">
              <w:rPr>
                <w:sz w:val="40"/>
                <w:lang w:val="en-US"/>
              </w:rPr>
              <w:t>E</w:t>
            </w:r>
            <w:r w:rsidRPr="00CF7295">
              <w:rPr>
                <w:lang w:val="en-US"/>
              </w:rPr>
              <w:t>/ECE/TRANS/505/Rev.1/Add.15/Rev.9/Amend.2</w:t>
            </w:r>
          </w:p>
        </w:tc>
      </w:tr>
      <w:tr w:rsidR="00CF7295" w:rsidTr="00521264">
        <w:trPr>
          <w:trHeight w:hRule="exact" w:val="1709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F7295" w:rsidRPr="004D07A8" w:rsidRDefault="00CF7295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F7295" w:rsidRDefault="00CF7295" w:rsidP="00521264">
            <w:pPr>
              <w:spacing w:before="120"/>
              <w:rPr>
                <w:lang w:val="en-US"/>
              </w:rPr>
            </w:pPr>
          </w:p>
          <w:p w:rsidR="00CF7295" w:rsidRDefault="00CF7295" w:rsidP="00521264">
            <w:pPr>
              <w:spacing w:before="120" w:line="240" w:lineRule="exact"/>
              <w:rPr>
                <w:lang w:val="en-US"/>
              </w:rPr>
            </w:pPr>
          </w:p>
          <w:p w:rsidR="00CF7295" w:rsidRPr="008D53B6" w:rsidRDefault="00CF7295" w:rsidP="00521264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</w:tc>
      </w:tr>
    </w:tbl>
    <w:p w:rsidR="00CF7295" w:rsidRPr="00CF7295" w:rsidRDefault="00CF7295" w:rsidP="00521264">
      <w:pPr>
        <w:pStyle w:val="HChGR"/>
        <w:spacing w:before="120" w:after="120"/>
      </w:pPr>
      <w:r w:rsidRPr="00CF7295">
        <w:tab/>
      </w:r>
      <w:r w:rsidRPr="00CF7295"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CF7295" w:rsidRPr="00CF7295" w:rsidRDefault="00CF7295" w:rsidP="00521264">
      <w:pPr>
        <w:pStyle w:val="H1GR"/>
        <w:spacing w:before="0" w:after="120"/>
      </w:pPr>
      <w:r w:rsidRPr="00CF7295">
        <w:tab/>
      </w:r>
      <w:r w:rsidRPr="00CF7295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>
        <w:rPr>
          <w:lang w:val="en-US"/>
        </w:rPr>
        <w:t> </w:t>
      </w:r>
      <w:r w:rsidRPr="00CF7295">
        <w:t>об</w:t>
      </w:r>
      <w:r>
        <w:rPr>
          <w:lang w:val="en-US"/>
        </w:rPr>
        <w:t> </w:t>
      </w:r>
      <w:r w:rsidRPr="00CF7295">
        <w:t>условиях взаимного признания официальных утверждений, выдаваемых на основе этих правил Организации Объединенных Наций</w:t>
      </w:r>
      <w:r w:rsidRPr="00D25E25">
        <w:rPr>
          <w:b w:val="0"/>
          <w:sz w:val="20"/>
        </w:rPr>
        <w:footnoteReference w:customMarkFollows="1" w:id="1"/>
        <w:t>*</w:t>
      </w:r>
    </w:p>
    <w:p w:rsidR="00CF7295" w:rsidRPr="00CF7295" w:rsidRDefault="00CF7295" w:rsidP="00521264">
      <w:pPr>
        <w:pStyle w:val="SingleTxtGR"/>
        <w:spacing w:before="120" w:after="0"/>
      </w:pPr>
      <w:r w:rsidRPr="00CF7295">
        <w:t>(Пересмотр 3, включающий поправки, вступившие в силу 14 сентября 2017 года)</w:t>
      </w:r>
    </w:p>
    <w:p w:rsidR="00CF7295" w:rsidRPr="00CF7295" w:rsidRDefault="00CF7295" w:rsidP="001B5165">
      <w:pPr>
        <w:pStyle w:val="SingleTxtGR"/>
        <w:spacing w:after="160"/>
        <w:jc w:val="center"/>
        <w:rPr>
          <w:b/>
        </w:rPr>
      </w:pPr>
      <w:r w:rsidRPr="00CF7295">
        <w:rPr>
          <w:b/>
        </w:rPr>
        <w:t>_________</w:t>
      </w:r>
    </w:p>
    <w:p w:rsidR="00CF7295" w:rsidRPr="00CF7295" w:rsidRDefault="00CF7295" w:rsidP="00521264">
      <w:pPr>
        <w:pStyle w:val="H1GR"/>
        <w:spacing w:before="120" w:after="120"/>
      </w:pPr>
      <w:r w:rsidRPr="00CF7295">
        <w:tab/>
      </w:r>
      <w:r w:rsidRPr="00CF7295">
        <w:tab/>
        <w:t>Добавление 15 – Правила № 16 ООН</w:t>
      </w:r>
    </w:p>
    <w:p w:rsidR="00CF7295" w:rsidRPr="00CF7295" w:rsidRDefault="00CF7295" w:rsidP="00521264">
      <w:pPr>
        <w:pStyle w:val="H1GR"/>
        <w:spacing w:before="0" w:after="120"/>
      </w:pPr>
      <w:r w:rsidRPr="00CF7295">
        <w:tab/>
      </w:r>
      <w:r w:rsidRPr="00CF7295">
        <w:tab/>
        <w:t>Пересмотр 9 – Поправка 2</w:t>
      </w:r>
    </w:p>
    <w:p w:rsidR="00CF7295" w:rsidRPr="00CF7295" w:rsidRDefault="00CF7295" w:rsidP="00521264">
      <w:pPr>
        <w:pStyle w:val="SingleTxtGR"/>
      </w:pPr>
      <w:r w:rsidRPr="00CF7295">
        <w:t xml:space="preserve">Дополнение 2 к поправкам серии </w:t>
      </w:r>
      <w:r w:rsidR="004D07A8" w:rsidRPr="004D07A8">
        <w:t>0</w:t>
      </w:r>
      <w:r w:rsidRPr="00CF7295">
        <w:t>7 − Дата вступления в силу: 19 июля 2018 года</w:t>
      </w:r>
    </w:p>
    <w:p w:rsidR="00CF7295" w:rsidRPr="00CF7295" w:rsidRDefault="00CF7295" w:rsidP="00521264">
      <w:pPr>
        <w:pStyle w:val="H1GR"/>
        <w:spacing w:before="0" w:after="120"/>
      </w:pPr>
      <w:r w:rsidRPr="00CF7295">
        <w:tab/>
      </w:r>
      <w:r w:rsidRPr="00CF7295">
        <w:tab/>
        <w:t>Единообразные предписания, касающиеся официального утверждения:</w:t>
      </w:r>
    </w:p>
    <w:p w:rsidR="00CF7295" w:rsidRPr="004D07A8" w:rsidRDefault="00CF7295" w:rsidP="004D07A8">
      <w:pPr>
        <w:pStyle w:val="SingleTxtGR"/>
        <w:ind w:left="1701" w:hanging="567"/>
        <w:jc w:val="left"/>
        <w:rPr>
          <w:b/>
          <w:sz w:val="23"/>
          <w:szCs w:val="23"/>
        </w:rPr>
      </w:pPr>
      <w:r w:rsidRPr="004D07A8">
        <w:rPr>
          <w:b/>
          <w:sz w:val="23"/>
          <w:szCs w:val="23"/>
        </w:rPr>
        <w:t>I.</w:t>
      </w:r>
      <w:r w:rsidRPr="004D07A8">
        <w:rPr>
          <w:b/>
          <w:sz w:val="23"/>
          <w:szCs w:val="23"/>
        </w:rPr>
        <w:tab/>
        <w:t>ремней безопасности, удерживающих систем, детских удерживающих систем и детских удерживающих систем ISOFIX, предназначенных для лиц, находящихся в механических транспортных средствах</w:t>
      </w:r>
    </w:p>
    <w:p w:rsidR="00CF7295" w:rsidRPr="004D07A8" w:rsidRDefault="00CF7295" w:rsidP="004D07A8">
      <w:pPr>
        <w:pStyle w:val="SingleTxtGR"/>
        <w:ind w:left="1701" w:hanging="567"/>
        <w:jc w:val="left"/>
        <w:rPr>
          <w:b/>
          <w:sz w:val="23"/>
          <w:szCs w:val="23"/>
        </w:rPr>
      </w:pPr>
      <w:r w:rsidRPr="004D07A8">
        <w:rPr>
          <w:b/>
          <w:sz w:val="23"/>
          <w:szCs w:val="23"/>
        </w:rPr>
        <w:t>II.</w:t>
      </w:r>
      <w:r w:rsidRPr="004D07A8">
        <w:rPr>
          <w:b/>
          <w:sz w:val="23"/>
          <w:szCs w:val="23"/>
        </w:rPr>
        <w:tab/>
        <w:t>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 ISOFIX и детскими удерживающими системами размера i</w:t>
      </w:r>
    </w:p>
    <w:p w:rsidR="004D07A8" w:rsidRDefault="00CF7295" w:rsidP="004D07A8">
      <w:pPr>
        <w:pStyle w:val="SingleTxtGR"/>
        <w:spacing w:before="120" w:after="0"/>
      </w:pPr>
      <w:r w:rsidRPr="00CF7295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ECE/TRANS/WP.29/2017/120.</w:t>
      </w:r>
    </w:p>
    <w:p w:rsidR="004D07A8" w:rsidRDefault="004D07A8" w:rsidP="004D07A8">
      <w:pPr>
        <w:pStyle w:val="SingleTxtGR"/>
        <w:spacing w:before="60" w:after="1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596" w:rsidRDefault="00844596" w:rsidP="00844596">
      <w:pPr>
        <w:pStyle w:val="SingleTxtGR"/>
        <w:spacing w:before="60" w:after="0"/>
        <w:jc w:val="center"/>
        <w:rPr>
          <w:u w:val="single"/>
        </w:rPr>
      </w:pPr>
      <w:r>
        <w:rPr>
          <w:noProof/>
          <w:lang w:val="en-GB" w:eastAsia="zh-CN"/>
        </w:rPr>
        <w:drawing>
          <wp:inline distT="0" distB="0" distL="0" distR="0" wp14:anchorId="02F3DCDD" wp14:editId="606CB73E">
            <wp:extent cx="8597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596" w:rsidRPr="004D07A8" w:rsidRDefault="00844596" w:rsidP="00844596">
      <w:pPr>
        <w:pStyle w:val="SingleTxtGR"/>
        <w:spacing w:after="0"/>
        <w:jc w:val="center"/>
        <w:rPr>
          <w:u w:val="single"/>
        </w:rPr>
      </w:pPr>
      <w:r w:rsidRPr="00CF7295">
        <w:rPr>
          <w:b/>
          <w:bCs/>
        </w:rPr>
        <w:t>ОРГАНИЗАЦИЯ ОБЪЕДИНЕННЫХ НАЦИЙ</w:t>
      </w:r>
    </w:p>
    <w:p w:rsidR="00CF7295" w:rsidRPr="00EF6408" w:rsidRDefault="00CF7295" w:rsidP="00EF6408">
      <w:pPr>
        <w:pStyle w:val="SingleTxtGR"/>
      </w:pPr>
      <w:r w:rsidRPr="00EF6408">
        <w:rPr>
          <w:i/>
        </w:rPr>
        <w:lastRenderedPageBreak/>
        <w:t>Пункт 2.30</w:t>
      </w:r>
      <w:r w:rsidRPr="00EF6408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>«2.30</w:t>
      </w:r>
      <w:r w:rsidRPr="00CF7295">
        <w:tab/>
        <w:t>"</w:t>
      </w:r>
      <w:r w:rsidRPr="00CF7295">
        <w:rPr>
          <w:i/>
          <w:iCs/>
        </w:rPr>
        <w:t>Детская удерживающая система ISOFIX</w:t>
      </w:r>
      <w:r w:rsidRPr="00CF7295">
        <w:t>" означает детскую удерживающую систему, отвечающую требованиям Правил № 44 ООН или Правил № 129 ООН, которая должна монтироваться на системе креплений ISOFIX, отвечающей требованиям Правил № 14 ООН или Правил № 145 ООН».</w:t>
      </w:r>
    </w:p>
    <w:p w:rsidR="00CF7295" w:rsidRPr="00CF7295" w:rsidRDefault="00CF7295" w:rsidP="00CF7295">
      <w:pPr>
        <w:pStyle w:val="SingleTxtGR"/>
      </w:pPr>
      <w:r w:rsidRPr="00CF7295">
        <w:rPr>
          <w:i/>
          <w:iCs/>
        </w:rPr>
        <w:t>Пункт 2.32</w:t>
      </w:r>
      <w:r w:rsidRPr="00CF7295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 xml:space="preserve">«2.32 </w:t>
      </w:r>
      <w:r w:rsidRPr="00CF7295">
        <w:tab/>
        <w:t>"</w:t>
      </w:r>
      <w:r w:rsidRPr="00603BAE">
        <w:rPr>
          <w:i/>
        </w:rPr>
        <w:t>Система креплений ISOFIX</w:t>
      </w:r>
      <w:r w:rsidRPr="00CF7295">
        <w:t>" означает систему, состоящую из двух нижних креплений ISOFIX, отвечающих требованиям Правил № 14 ООН или Правил № 145 ООН, которая предназначена для установки детской удерживающей системы ISOFIX вместе с антиротационным устройством».</w:t>
      </w:r>
    </w:p>
    <w:p w:rsidR="00CF7295" w:rsidRPr="00CF7295" w:rsidRDefault="00CF7295" w:rsidP="00CF7295">
      <w:pPr>
        <w:pStyle w:val="SingleTxtGR"/>
      </w:pPr>
      <w:r w:rsidRPr="00CF7295">
        <w:rPr>
          <w:i/>
          <w:iCs/>
        </w:rPr>
        <w:t>Пункт 2.35</w:t>
      </w:r>
      <w:r w:rsidRPr="00CF7295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 xml:space="preserve">«2.35 </w:t>
      </w:r>
      <w:r w:rsidRPr="00CF7295">
        <w:tab/>
        <w:t>"</w:t>
      </w:r>
      <w:r w:rsidRPr="00603BAE">
        <w:rPr>
          <w:i/>
        </w:rPr>
        <w:t>Крепление верхнего страховочного троса ISOFIX</w:t>
      </w:r>
      <w:r w:rsidRPr="00CF7295">
        <w:t>" означает приспособление, соответствующее требованиям Правил № 14 ООН или Правил № 145 ООН, например стержень, находящийся в определенной зоне и предназначенный для монтажа лямочного соединителя верхнего страховочного троса ISOFIX и передачи им усилия на конструкцию транспортного средства».</w:t>
      </w:r>
    </w:p>
    <w:p w:rsidR="00CF7295" w:rsidRPr="00CF7295" w:rsidRDefault="00CF7295" w:rsidP="00CF7295">
      <w:pPr>
        <w:pStyle w:val="SingleTxtGR"/>
      </w:pPr>
      <w:r w:rsidRPr="00CF7295">
        <w:rPr>
          <w:i/>
          <w:iCs/>
        </w:rPr>
        <w:t>Пункт 2.38</w:t>
      </w:r>
      <w:r w:rsidRPr="00CF7295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>«2.38</w:t>
      </w:r>
      <w:r w:rsidRPr="00CF7295">
        <w:tab/>
        <w:t>"</w:t>
      </w:r>
      <w:r w:rsidRPr="00603BAE">
        <w:rPr>
          <w:i/>
        </w:rPr>
        <w:t>Фиксирующее приспособление детского удерживающего устройства</w:t>
      </w:r>
      <w:r w:rsidRPr="00CF7295">
        <w:t>" (ФПДУУ) означает фиксирующее приспособление, которое соответствует одному из фиксирующих приспособлений ISOFIX, определенных в пункте 4 добавления 2 к приложению 17 к настоящим Правилам ООН, и размеры которого указаны на чертежах 1−8 в упомянутом выше пункте 4. Эти фиксирующие приспособления детского удерживающего устройства (ФПДУУ) применяются в настоящих Правилах для того, чтобы проверить, какие классы размера детских удерживающих систем ISOFIX, упомянутые в Правилах</w:t>
      </w:r>
      <w:r w:rsidRPr="002528AB">
        <w:t> </w:t>
      </w:r>
      <w:r w:rsidRPr="00CF7295">
        <w:t>№</w:t>
      </w:r>
      <w:r w:rsidRPr="002528AB">
        <w:t> </w:t>
      </w:r>
      <w:r w:rsidRPr="00CF7295">
        <w:t>44 ООН или Правилах № 129 ООН, могут использоваться при монтаже ISOFIX на транспортном средстве. Кроме того, одно из ФПДУУ, так называемое ISO/F2, которое изображено на чертеже 2 в упомянутом выше пункте 4, используется в Правилах № 14 ООН или Правилах № 145 ООН</w:t>
      </w:r>
      <w:r w:rsidRPr="002528AB">
        <w:t xml:space="preserve"> </w:t>
      </w:r>
      <w:r w:rsidRPr="00CF7295">
        <w:t>для проверки местоположения и возможности доступа к любой системе креплений ISOFIX;</w:t>
      </w:r>
    </w:p>
    <w:p w:rsidR="002528AB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ab/>
        <w:t>либо фиксирующее приспособление, которое соответствует одному из двух фиксирующих приспособлений бустерного сиденья, определенных в добавлении 5 к приложению 17 к настоящим Правилам, и размеры которого указаны на чертежах 2 и 3 в добавлении 5 к приложению</w:t>
      </w:r>
      <w:r w:rsidR="00603BAE">
        <w:rPr>
          <w:lang w:val="en-US"/>
        </w:rPr>
        <w:t> </w:t>
      </w:r>
      <w:r w:rsidRPr="00CF7295">
        <w:t>17. Эти фиксирующие приспособления применяются в настоящих Правилах для того, чтобы в случае необходимости проверить, какие габариты бустерных сидений, упомянутые в Правилах № 129 ООН, могут использоваться в транспортном средстве на сидячих местах».</w:t>
      </w:r>
    </w:p>
    <w:p w:rsidR="00CF7295" w:rsidRPr="00CF7295" w:rsidRDefault="00CF7295" w:rsidP="002528AB">
      <w:pPr>
        <w:pStyle w:val="SingleTxtGR"/>
        <w:tabs>
          <w:tab w:val="clear" w:pos="1701"/>
        </w:tabs>
      </w:pPr>
      <w:r w:rsidRPr="00CF7295">
        <w:rPr>
          <w:i/>
          <w:iCs/>
        </w:rPr>
        <w:t>Пункт 8.2.1</w:t>
      </w:r>
      <w:r w:rsidRPr="00CF7295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 xml:space="preserve">«8.2.1 </w:t>
      </w:r>
      <w:r w:rsidRPr="00CF7295">
        <w:tab/>
        <w:t>Ремни безопасности, удерживающие системы, детские удерживающие системы ISOFIX, а также детские удерживающие системы размера i, отвечающие предписаниям добавления 3 к приложению 17, должны фиксироваться на креплениях и – в случае детских удерживающих систем размера i – опираться на контактную поверхность пола транспортного средства в соответствии с техническими требованиями Правил № 14 ООН или Правил № 145 ООН, касающимися, в частности, конструкции и габаритов, количества креплений и прочности».</w:t>
      </w:r>
    </w:p>
    <w:p w:rsidR="00CF7295" w:rsidRPr="00CF7295" w:rsidRDefault="00CF7295" w:rsidP="00603BAE">
      <w:pPr>
        <w:pStyle w:val="SingleTxtGR"/>
        <w:pageBreakBefore/>
      </w:pPr>
      <w:bookmarkStart w:id="2" w:name="_GoBack"/>
      <w:bookmarkEnd w:id="2"/>
      <w:r w:rsidRPr="00CF7295">
        <w:rPr>
          <w:i/>
          <w:iCs/>
        </w:rPr>
        <w:lastRenderedPageBreak/>
        <w:t>Пункт 8.3.5</w:t>
      </w:r>
      <w:r w:rsidRPr="00CF7295">
        <w:t xml:space="preserve"> изменить следующим образом: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 xml:space="preserve">«8.3.5 </w:t>
      </w:r>
      <w:r w:rsidRPr="00CF7295">
        <w:tab/>
        <w:t>Для информирования пользователя(ей) транспортного средства о предписаниях, касающихся перевозки детей, транспортные средства категорий M</w:t>
      </w:r>
      <w:r w:rsidRPr="0021751D">
        <w:rPr>
          <w:vertAlign w:val="subscript"/>
        </w:rPr>
        <w:t>1</w:t>
      </w:r>
      <w:r w:rsidRPr="00CF7295">
        <w:t>, M</w:t>
      </w:r>
      <w:r w:rsidRPr="0021751D">
        <w:rPr>
          <w:vertAlign w:val="subscript"/>
        </w:rPr>
        <w:t>2</w:t>
      </w:r>
      <w:r w:rsidRPr="00CF7295">
        <w:t>, M</w:t>
      </w:r>
      <w:r w:rsidRPr="0021751D">
        <w:rPr>
          <w:vertAlign w:val="subscript"/>
        </w:rPr>
        <w:t>3</w:t>
      </w:r>
      <w:r w:rsidRPr="00CF7295">
        <w:t xml:space="preserve"> и N</w:t>
      </w:r>
      <w:r w:rsidRPr="0021751D">
        <w:rPr>
          <w:vertAlign w:val="subscript"/>
        </w:rPr>
        <w:t>1</w:t>
      </w:r>
      <w:r w:rsidRPr="00CF7295">
        <w:t xml:space="preserve"> должны отвечать требованиям </w:t>
      </w:r>
      <w:r w:rsidR="0021751D">
        <w:br/>
      </w:r>
      <w:r w:rsidRPr="00CF7295">
        <w:t>об информации, приведенным в приложении 17. Любое транспортное средство категории М</w:t>
      </w:r>
      <w:r w:rsidRPr="0021751D">
        <w:rPr>
          <w:vertAlign w:val="subscript"/>
        </w:rPr>
        <w:t>1</w:t>
      </w:r>
      <w:r w:rsidRPr="00CF7295">
        <w:t xml:space="preserve"> должно быть рассчитано на положения </w:t>
      </w:r>
      <w:r w:rsidR="002528AB">
        <w:br/>
      </w:r>
      <w:r w:rsidRPr="00CF7295">
        <w:t>ISOFIX согласно соответствующим предпи</w:t>
      </w:r>
      <w:r w:rsidR="002528AB">
        <w:t>саниям, содержащимся в Правилах </w:t>
      </w:r>
      <w:r w:rsidRPr="00CF7295">
        <w:t>№</w:t>
      </w:r>
      <w:r w:rsidR="002528AB">
        <w:rPr>
          <w:lang w:val="en-US"/>
        </w:rPr>
        <w:t> </w:t>
      </w:r>
      <w:r w:rsidRPr="00CF7295">
        <w:t xml:space="preserve">14 ООН или Правилах № 145 ООН. </w:t>
      </w:r>
    </w:p>
    <w:p w:rsidR="00CF7295" w:rsidRPr="00CF7295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ab/>
        <w:t>Первое положение ISOFIX должно допускать монтаж по крайней мере одного из трех фиксирующих приспособлений, устанавливаемых по направлению движения транспортного средства, как определено в добавлении 2 к приложению 17; второе положение ISOFIX должно допускать монтаж по крайней мере одного фиксирующего приспособления, устанавливаемого против направления движения транспортного средства, как определено в добавлении 2 к приложению</w:t>
      </w:r>
      <w:r w:rsidR="00614EBE">
        <w:rPr>
          <w:lang w:val="en-US"/>
        </w:rPr>
        <w:t> </w:t>
      </w:r>
      <w:r w:rsidRPr="00CF7295">
        <w:t>17. Что касается этого второго положения ISOFIX, то в том случае, если на втором ряду сидений транспортного средства невозможно смонтировать фиксирующее приспособление, устанавливаемое против направления движения, ввиду особенностей его конструкции, допускается монтаж одного фиксирующего приспособления в любом положении на транспортном средстве».</w:t>
      </w:r>
    </w:p>
    <w:p w:rsidR="00CF7295" w:rsidRPr="00CF7295" w:rsidRDefault="00CF7295" w:rsidP="00CF7295">
      <w:pPr>
        <w:pStyle w:val="SingleTxtGR"/>
      </w:pPr>
      <w:r w:rsidRPr="00CF7295">
        <w:rPr>
          <w:i/>
        </w:rPr>
        <w:t>Пункт 8.3.6</w:t>
      </w:r>
      <w:r w:rsidRPr="00CF7295">
        <w:t xml:space="preserve"> изменить следующим образом:</w:t>
      </w:r>
    </w:p>
    <w:p w:rsidR="00CF7295" w:rsidRPr="00CF7295" w:rsidRDefault="00CF7295" w:rsidP="00614EBE">
      <w:pPr>
        <w:pStyle w:val="SingleTxtGR"/>
        <w:tabs>
          <w:tab w:val="clear" w:pos="1701"/>
        </w:tabs>
      </w:pPr>
      <w:r w:rsidRPr="00CF7295">
        <w:t>«8.3.6</w:t>
      </w:r>
      <w:r w:rsidRPr="00CF7295">
        <w:tab/>
        <w:t>…</w:t>
      </w:r>
    </w:p>
    <w:p w:rsidR="00CF7295" w:rsidRPr="002528AB" w:rsidRDefault="00CF7295" w:rsidP="002528AB">
      <w:pPr>
        <w:pStyle w:val="SingleTxtGR"/>
        <w:tabs>
          <w:tab w:val="clear" w:pos="1701"/>
        </w:tabs>
        <w:ind w:left="2268" w:hanging="1134"/>
      </w:pPr>
      <w:r w:rsidRPr="00CF7295">
        <w:tab/>
        <w:t>Вертикальный угол, используемый для геометрической оценки, указанной выше, должен измеряться таким образом, как это указано в пункте 5.2.2.4</w:t>
      </w:r>
      <w:r w:rsidRPr="002528AB">
        <w:t xml:space="preserve"> или в Правилах № 145 ООН.</w:t>
      </w:r>
    </w:p>
    <w:p w:rsidR="00CF7295" w:rsidRDefault="00772299" w:rsidP="00772299">
      <w:pPr>
        <w:pStyle w:val="SingleTxtGR"/>
        <w:tabs>
          <w:tab w:val="clear" w:pos="1701"/>
        </w:tabs>
        <w:jc w:val="left"/>
      </w:pPr>
      <w:r>
        <w:tab/>
      </w:r>
      <w:r w:rsidR="00CF7295" w:rsidRPr="002528AB">
        <w:t>…».</w:t>
      </w:r>
    </w:p>
    <w:p w:rsidR="00E12C5F" w:rsidRPr="008D53B6" w:rsidRDefault="002528AB" w:rsidP="002528AB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F72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BE" w:rsidRPr="00A312BC" w:rsidRDefault="003365BE" w:rsidP="00A312BC"/>
  </w:endnote>
  <w:endnote w:type="continuationSeparator" w:id="0">
    <w:p w:rsidR="003365BE" w:rsidRPr="00A312BC" w:rsidRDefault="003365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5" w:rsidRPr="00CF7295" w:rsidRDefault="00CF7295">
    <w:pPr>
      <w:pStyle w:val="Footer"/>
    </w:pPr>
    <w:r w:rsidRPr="00CF7295">
      <w:rPr>
        <w:b/>
        <w:sz w:val="18"/>
      </w:rPr>
      <w:fldChar w:fldCharType="begin"/>
    </w:r>
    <w:r w:rsidRPr="00CF7295">
      <w:rPr>
        <w:b/>
        <w:sz w:val="18"/>
      </w:rPr>
      <w:instrText xml:space="preserve"> PAGE  \* MERGEFORMAT </w:instrText>
    </w:r>
    <w:r w:rsidRPr="00CF7295">
      <w:rPr>
        <w:b/>
        <w:sz w:val="18"/>
      </w:rPr>
      <w:fldChar w:fldCharType="separate"/>
    </w:r>
    <w:r w:rsidR="000C701F">
      <w:rPr>
        <w:b/>
        <w:noProof/>
        <w:sz w:val="18"/>
      </w:rPr>
      <w:t>2</w:t>
    </w:r>
    <w:r w:rsidRPr="00CF7295">
      <w:rPr>
        <w:b/>
        <w:sz w:val="18"/>
      </w:rPr>
      <w:fldChar w:fldCharType="end"/>
    </w:r>
    <w:r>
      <w:rPr>
        <w:b/>
        <w:sz w:val="18"/>
      </w:rPr>
      <w:tab/>
    </w:r>
    <w:r>
      <w:t>GE.18-13174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5" w:rsidRPr="00CF7295" w:rsidRDefault="00CF7295" w:rsidP="00CF729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GE.18-13174</w:t>
    </w:r>
    <w:r>
      <w:tab/>
    </w:r>
    <w:r w:rsidRPr="00CF7295">
      <w:rPr>
        <w:b/>
        <w:sz w:val="18"/>
      </w:rPr>
      <w:fldChar w:fldCharType="begin"/>
    </w:r>
    <w:r w:rsidRPr="00CF7295">
      <w:rPr>
        <w:b/>
        <w:sz w:val="18"/>
      </w:rPr>
      <w:instrText xml:space="preserve"> PAGE  \* MERGEFORMAT </w:instrText>
    </w:r>
    <w:r w:rsidRPr="00CF7295">
      <w:rPr>
        <w:b/>
        <w:sz w:val="18"/>
      </w:rPr>
      <w:fldChar w:fldCharType="separate"/>
    </w:r>
    <w:r w:rsidR="000C701F">
      <w:rPr>
        <w:b/>
        <w:noProof/>
        <w:sz w:val="18"/>
      </w:rPr>
      <w:t>3</w:t>
    </w:r>
    <w:r w:rsidRPr="00CF72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7295" w:rsidRDefault="00CF7295" w:rsidP="00CF7295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18-13174  (R)</w:t>
    </w:r>
    <w:r w:rsidR="00D83701">
      <w:rPr>
        <w:lang w:val="en-US"/>
      </w:rPr>
      <w:t xml:space="preserve">  220818  230818</w:t>
    </w:r>
    <w:r>
      <w:br/>
    </w:r>
    <w:r w:rsidRPr="00CF7295">
      <w:rPr>
        <w:rFonts w:ascii="C39T30Lfz" w:hAnsi="C39T30Lfz"/>
        <w:kern w:val="14"/>
        <w:sz w:val="56"/>
      </w:rPr>
      <w:t></w:t>
    </w:r>
    <w:r w:rsidRPr="00CF7295">
      <w:rPr>
        <w:rFonts w:ascii="C39T30Lfz" w:hAnsi="C39T30Lfz"/>
        <w:kern w:val="14"/>
        <w:sz w:val="56"/>
      </w:rPr>
      <w:t></w:t>
    </w:r>
    <w:r w:rsidRPr="00CF7295">
      <w:rPr>
        <w:rFonts w:ascii="C39T30Lfz" w:hAnsi="C39T30Lfz"/>
        <w:kern w:val="14"/>
        <w:sz w:val="56"/>
      </w:rPr>
      <w:t></w:t>
    </w:r>
    <w:r w:rsidRPr="00CF7295">
      <w:rPr>
        <w:rFonts w:ascii="C39T30Lfz" w:hAnsi="C39T30Lfz"/>
        <w:kern w:val="14"/>
        <w:sz w:val="56"/>
      </w:rPr>
      <w:t></w:t>
    </w:r>
    <w:r w:rsidRPr="00CF7295">
      <w:rPr>
        <w:rFonts w:ascii="C39T30Lfz" w:hAnsi="C39T30Lfz"/>
        <w:kern w:val="14"/>
        <w:sz w:val="56"/>
      </w:rPr>
      <w:t></w:t>
    </w:r>
    <w:r w:rsidRPr="00CF7295">
      <w:rPr>
        <w:rFonts w:ascii="C39T30Lfz" w:hAnsi="C39T30Lfz"/>
        <w:kern w:val="14"/>
        <w:sz w:val="56"/>
      </w:rPr>
      <w:t></w:t>
    </w:r>
    <w:r w:rsidRPr="00CF7295">
      <w:rPr>
        <w:rFonts w:ascii="C39T30Lfz" w:hAnsi="C39T30Lfz"/>
        <w:kern w:val="14"/>
        <w:sz w:val="56"/>
      </w:rPr>
      <w:t></w:t>
    </w:r>
    <w:r w:rsidRPr="00CF7295">
      <w:rPr>
        <w:rFonts w:ascii="C39T30Lfz" w:hAnsi="C39T30Lfz"/>
        <w:kern w:val="14"/>
        <w:sz w:val="56"/>
      </w:rPr>
      <w:t></w:t>
    </w:r>
    <w:r w:rsidRPr="00CF7295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9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BE" w:rsidRPr="001075E9" w:rsidRDefault="003365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65BE" w:rsidRDefault="003365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7295" w:rsidRPr="001A1B65" w:rsidRDefault="00CF7295" w:rsidP="00CF7295">
      <w:pPr>
        <w:pStyle w:val="FootnoteText"/>
      </w:pPr>
      <w:r>
        <w:tab/>
      </w:r>
      <w:r w:rsidRPr="00521264">
        <w:rPr>
          <w:sz w:val="20"/>
        </w:rPr>
        <w:t>*</w:t>
      </w:r>
      <w:r>
        <w:tab/>
        <w:t>Прежние названия Соглашения:</w:t>
      </w:r>
    </w:p>
    <w:p w:rsidR="00CF7295" w:rsidRPr="001A1B65" w:rsidRDefault="00CF7295" w:rsidP="00CF729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CF7295" w:rsidRPr="001A1B65" w:rsidRDefault="00CF7295" w:rsidP="00CF729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DF05A6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5" w:rsidRPr="00CF7295" w:rsidRDefault="000C70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E/ECE/324/Rev.1/Add.15/Rev.9/Amend.2</w:t>
    </w:r>
    <w:r>
      <w:fldChar w:fldCharType="end"/>
    </w:r>
    <w:r w:rsidR="00CF729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E/ECE/TRANS/505/Rev.1/Add.15/Rev.9/Amend.2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5" w:rsidRPr="00CF7295" w:rsidRDefault="000C701F" w:rsidP="00CF72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E/ECE/324/Rev.1/Add.15/Rev.9/Amend.2</w:t>
    </w:r>
    <w:r>
      <w:fldChar w:fldCharType="end"/>
    </w:r>
    <w:r w:rsidR="00CF729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E/ECE/TRANS/505/Rev.1/Add.15/Rev.9/Amend.2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E"/>
    <w:rsid w:val="00033EE1"/>
    <w:rsid w:val="00042B72"/>
    <w:rsid w:val="000558BD"/>
    <w:rsid w:val="000B57E7"/>
    <w:rsid w:val="000B6373"/>
    <w:rsid w:val="000C701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165"/>
    <w:rsid w:val="001C7A89"/>
    <w:rsid w:val="0021751D"/>
    <w:rsid w:val="002528AB"/>
    <w:rsid w:val="00255343"/>
    <w:rsid w:val="0027151D"/>
    <w:rsid w:val="002A2EFC"/>
    <w:rsid w:val="002A76E8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5BE"/>
    <w:rsid w:val="003402C2"/>
    <w:rsid w:val="00340D89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07A8"/>
    <w:rsid w:val="004E05B7"/>
    <w:rsid w:val="0050108D"/>
    <w:rsid w:val="00513081"/>
    <w:rsid w:val="00517901"/>
    <w:rsid w:val="00521264"/>
    <w:rsid w:val="00526683"/>
    <w:rsid w:val="00533AAC"/>
    <w:rsid w:val="005639C1"/>
    <w:rsid w:val="005709E0"/>
    <w:rsid w:val="00572E19"/>
    <w:rsid w:val="005961C8"/>
    <w:rsid w:val="005966F1"/>
    <w:rsid w:val="005D78EC"/>
    <w:rsid w:val="005D7914"/>
    <w:rsid w:val="005E2B41"/>
    <w:rsid w:val="005F0B42"/>
    <w:rsid w:val="00603BAE"/>
    <w:rsid w:val="00614EB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299"/>
    <w:rsid w:val="00792497"/>
    <w:rsid w:val="00806737"/>
    <w:rsid w:val="00825F8D"/>
    <w:rsid w:val="00834B71"/>
    <w:rsid w:val="0084459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5772"/>
    <w:rsid w:val="009D7E7D"/>
    <w:rsid w:val="00A14DA8"/>
    <w:rsid w:val="00A15816"/>
    <w:rsid w:val="00A312BC"/>
    <w:rsid w:val="00A84021"/>
    <w:rsid w:val="00A84D35"/>
    <w:rsid w:val="00A90404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7295"/>
    <w:rsid w:val="00D25E25"/>
    <w:rsid w:val="00D33D63"/>
    <w:rsid w:val="00D5253A"/>
    <w:rsid w:val="00D83701"/>
    <w:rsid w:val="00D873A8"/>
    <w:rsid w:val="00D90028"/>
    <w:rsid w:val="00D90138"/>
    <w:rsid w:val="00DD78D1"/>
    <w:rsid w:val="00DE32CD"/>
    <w:rsid w:val="00DF05A6"/>
    <w:rsid w:val="00DF5767"/>
    <w:rsid w:val="00DF71B9"/>
    <w:rsid w:val="00E07FDE"/>
    <w:rsid w:val="00E12C5F"/>
    <w:rsid w:val="00E73F76"/>
    <w:rsid w:val="00EA2C9F"/>
    <w:rsid w:val="00EA420E"/>
    <w:rsid w:val="00ED0BDA"/>
    <w:rsid w:val="00EE142A"/>
    <w:rsid w:val="00EF1360"/>
    <w:rsid w:val="00EF3220"/>
    <w:rsid w:val="00EF6408"/>
    <w:rsid w:val="00EF7DFA"/>
    <w:rsid w:val="00F2523A"/>
    <w:rsid w:val="00F43903"/>
    <w:rsid w:val="00F94155"/>
    <w:rsid w:val="00F9783F"/>
    <w:rsid w:val="00FC381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0F5425E-655C-46F1-A2AE-A71425B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5073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E/ECE/324/Rev.1/Add.15/Rev.9/Amend.2</vt:lpstr>
      <vt:lpstr>E/ECE/324/Rev.1/Add.15/Rev.9/Amend.2</vt:lpstr>
      <vt:lpstr>A/</vt:lpstr>
    </vt:vector>
  </TitlesOfParts>
  <Company>DCM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E/ECE/324/Rev.1/Add.15/Rev.9/Amend.2</dc:title>
  <dc:creator>Olga OVTCHINNIKOVA</dc:creator>
  <cp:keywords>E/ECE/TRANS/505/Rev.1/Add.15/Rev.9/Amend.2</cp:keywords>
  <cp:lastModifiedBy>Marie-Claude Collet</cp:lastModifiedBy>
  <cp:revision>3</cp:revision>
  <cp:lastPrinted>2019-03-12T13:52:00Z</cp:lastPrinted>
  <dcterms:created xsi:type="dcterms:W3CDTF">2019-03-12T13:52:00Z</dcterms:created>
  <dcterms:modified xsi:type="dcterms:W3CDTF">2019-03-12T13:53:00Z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