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7154E" w14:paraId="21937FD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ED8852" w14:textId="77777777" w:rsidR="00342370" w:rsidRPr="00342370" w:rsidRDefault="00342370" w:rsidP="00342370">
            <w:pPr>
              <w:jc w:val="right"/>
              <w:rPr>
                <w:lang w:val="en-US"/>
              </w:rPr>
            </w:pPr>
            <w:r w:rsidRPr="00342370">
              <w:rPr>
                <w:sz w:val="40"/>
                <w:lang w:val="en-US"/>
              </w:rPr>
              <w:t>E</w:t>
            </w:r>
            <w:r w:rsidRPr="00342370">
              <w:rPr>
                <w:lang w:val="en-US"/>
              </w:rPr>
              <w:t>/ECE/324/Rev.2/Add.12H/Rev.4/Amend.1−</w:t>
            </w:r>
            <w:r w:rsidRPr="00342370">
              <w:rPr>
                <w:sz w:val="40"/>
                <w:lang w:val="en-US"/>
              </w:rPr>
              <w:t>E</w:t>
            </w:r>
            <w:r w:rsidRPr="00342370">
              <w:rPr>
                <w:lang w:val="en-US"/>
              </w:rPr>
              <w:t>/ECE/TRANS/505/Rev.2/Add.12H/Rev.4/Amend.1</w:t>
            </w:r>
          </w:p>
        </w:tc>
      </w:tr>
      <w:tr w:rsidR="00421A10" w:rsidRPr="00DB58B5" w14:paraId="5F0A8DE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9D2577" w14:textId="77777777" w:rsidR="00421A10" w:rsidRPr="0034237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B31A73" w14:textId="77777777" w:rsidR="00421A10" w:rsidRPr="00DB58B5" w:rsidRDefault="00342370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32F2FF3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  <w:bookmarkStart w:id="0" w:name="_GoBack"/>
      <w:bookmarkEnd w:id="0"/>
    </w:p>
    <w:p w14:paraId="2F356CBF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342370" w:rsidRPr="009110E7">
        <w:t>de Règlements techniques harmonisés de l’ONU applicables aux véhicules à roues et aux équipements et pièces susceptibles d’être montés ou utilisés sur les véhicules à</w:t>
      </w:r>
      <w:r w:rsidR="00531B6D" w:rsidRPr="009110E7">
        <w:t> </w:t>
      </w:r>
      <w:r w:rsidR="00342370" w:rsidRPr="009110E7">
        <w:t>roues et les</w:t>
      </w:r>
      <w:r w:rsidR="00ED7181">
        <w:t> </w:t>
      </w:r>
      <w:r w:rsidR="00342370" w:rsidRPr="009110E7">
        <w:t>conditions de reconnaissance réciproque des homologations délivrées conformément à ces Règlements</w:t>
      </w:r>
      <w:r w:rsidR="00342370" w:rsidRPr="00342370">
        <w:rPr>
          <w:b w:val="0"/>
          <w:sz w:val="20"/>
        </w:rPr>
        <w:footnoteReference w:customMarkFollows="1" w:id="2"/>
        <w:t>*</w:t>
      </w:r>
    </w:p>
    <w:p w14:paraId="2F99A2B8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531B6D">
        <w:t> </w:t>
      </w:r>
      <w:r w:rsidR="00342370" w:rsidRPr="000223F8">
        <w:t>3, comprenant les amendements entrés en vigueur le 14</w:t>
      </w:r>
      <w:r w:rsidR="00342370">
        <w:t> </w:t>
      </w:r>
      <w:r w:rsidR="00342370" w:rsidRPr="000223F8">
        <w:t>septembre 2017</w:t>
      </w:r>
      <w:r w:rsidRPr="006549FF">
        <w:t>)</w:t>
      </w:r>
    </w:p>
    <w:p w14:paraId="340443B0" w14:textId="77777777" w:rsidR="00421A10" w:rsidRPr="006549FF" w:rsidRDefault="0029791D" w:rsidP="0029791D">
      <w:pPr>
        <w:jc w:val="center"/>
      </w:pPr>
      <w:r>
        <w:t>_______________</w:t>
      </w:r>
    </w:p>
    <w:p w14:paraId="22A57E6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805BFC">
        <w:t> </w:t>
      </w:r>
      <w:r w:rsidR="00342370" w:rsidRPr="00342370">
        <w:t>12-H</w:t>
      </w:r>
      <w:r w:rsidR="00342370">
        <w:t> :</w:t>
      </w:r>
      <w:r w:rsidR="00ED7181">
        <w:t xml:space="preserve"> </w:t>
      </w:r>
      <w:r w:rsidR="00342370" w:rsidRPr="00342370">
        <w:t>Règlement ONU n</w:t>
      </w:r>
      <w:r w:rsidR="00342370" w:rsidRPr="00342370">
        <w:rPr>
          <w:vertAlign w:val="superscript"/>
        </w:rPr>
        <w:t>o</w:t>
      </w:r>
      <w:r w:rsidR="00342370" w:rsidRPr="00342370">
        <w:t> 13-H</w:t>
      </w:r>
    </w:p>
    <w:p w14:paraId="41EFB3A6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342370">
        <w:t> </w:t>
      </w:r>
      <w:r w:rsidR="00342370" w:rsidRPr="00342370">
        <w:rPr>
          <w:lang w:val="fr-FR"/>
        </w:rPr>
        <w:t xml:space="preserve">4 </w:t>
      </w:r>
      <w:r w:rsidR="00342370">
        <w:rPr>
          <w:lang w:val="fr-FR"/>
        </w:rPr>
        <w:t>− </w:t>
      </w:r>
      <w:r w:rsidR="00342370" w:rsidRPr="00342370">
        <w:rPr>
          <w:lang w:val="fr-FR"/>
        </w:rPr>
        <w:t>Amendement</w:t>
      </w:r>
      <w:r w:rsidR="00342370">
        <w:rPr>
          <w:lang w:val="fr-FR"/>
        </w:rPr>
        <w:t> </w:t>
      </w:r>
      <w:r w:rsidR="00342370" w:rsidRPr="00342370">
        <w:rPr>
          <w:lang w:val="fr-FR"/>
        </w:rPr>
        <w:t>1</w:t>
      </w:r>
    </w:p>
    <w:p w14:paraId="23CBCCE9" w14:textId="77777777" w:rsidR="00421A10" w:rsidRPr="004A7E44" w:rsidRDefault="00342370" w:rsidP="0029791D">
      <w:pPr>
        <w:pStyle w:val="SingleTxtG"/>
        <w:spacing w:after="0"/>
      </w:pPr>
      <w:r w:rsidRPr="00342370">
        <w:t>Complément</w:t>
      </w:r>
      <w:r>
        <w:t> </w:t>
      </w:r>
      <w:r w:rsidRPr="00342370">
        <w:t>1 à la série</w:t>
      </w:r>
      <w:r w:rsidR="00805BFC">
        <w:t> </w:t>
      </w:r>
      <w:r w:rsidRPr="00342370">
        <w:t xml:space="preserve">01 d’amendements </w:t>
      </w:r>
      <w:r>
        <w:t>− </w:t>
      </w:r>
      <w:r w:rsidRPr="00342370">
        <w:rPr>
          <w:lang w:val="fr-FR"/>
        </w:rPr>
        <w:t>Date d’entrée en vigueur</w:t>
      </w:r>
      <w:r>
        <w:rPr>
          <w:lang w:val="fr-FR"/>
        </w:rPr>
        <w:t> </w:t>
      </w:r>
      <w:r w:rsidRPr="00342370">
        <w:rPr>
          <w:lang w:val="fr-FR"/>
        </w:rPr>
        <w:t>:</w:t>
      </w:r>
      <w:r w:rsidRPr="00342370">
        <w:t xml:space="preserve"> 29</w:t>
      </w:r>
      <w:r>
        <w:t> </w:t>
      </w:r>
      <w:r w:rsidRPr="00342370">
        <w:t>décembre 2018</w:t>
      </w:r>
    </w:p>
    <w:p w14:paraId="5C80C5CF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342370" w:rsidRPr="00342370">
        <w:t>à l’homologation des voitures particulières en ce qui concerne le freinage</w:t>
      </w:r>
    </w:p>
    <w:p w14:paraId="533174C2" w14:textId="77777777" w:rsidR="00342370" w:rsidRDefault="00442E31" w:rsidP="0034237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735FC" wp14:editId="419EF4D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B32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29975D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A972039" wp14:editId="22BC078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A18F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35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E4FB32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29975D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A972039" wp14:editId="22BC078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4A18F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2370" w:rsidRPr="00F6055B">
        <w:rPr>
          <w:lang w:eastAsia="en-GB"/>
        </w:rPr>
        <w:t xml:space="preserve">Le présent document est communiqué uniquement à titre d’information. </w:t>
      </w:r>
      <w:r w:rsidR="00342370" w:rsidRPr="00A232AE">
        <w:rPr>
          <w:lang w:eastAsia="en-GB"/>
        </w:rPr>
        <w:t xml:space="preserve">Le texte authentique, juridiquement contraignant, est celui du document </w:t>
      </w:r>
      <w:r w:rsidR="00342370" w:rsidRPr="006836DE">
        <w:rPr>
          <w:spacing w:val="-6"/>
          <w:lang w:eastAsia="en-GB"/>
        </w:rPr>
        <w:t>ECE/TRANS/WP.29/</w:t>
      </w:r>
      <w:r w:rsidR="00342370">
        <w:rPr>
          <w:spacing w:val="-6"/>
          <w:lang w:eastAsia="en-GB"/>
        </w:rPr>
        <w:br/>
      </w:r>
      <w:r w:rsidR="00342370" w:rsidRPr="006836DE">
        <w:rPr>
          <w:spacing w:val="-6"/>
          <w:lang w:eastAsia="en-GB"/>
        </w:rPr>
        <w:t>2018/54</w:t>
      </w:r>
      <w:r w:rsidR="00342370">
        <w:rPr>
          <w:spacing w:val="-6"/>
          <w:lang w:eastAsia="en-GB"/>
        </w:rPr>
        <w:t>.</w:t>
      </w:r>
    </w:p>
    <w:p w14:paraId="2B591929" w14:textId="77777777" w:rsidR="00342370" w:rsidRPr="007C6065" w:rsidRDefault="00342370" w:rsidP="00342370">
      <w:pPr>
        <w:pStyle w:val="SingleTxtG"/>
        <w:keepNext/>
        <w:keepLines/>
        <w:spacing w:line="240" w:lineRule="auto"/>
        <w:rPr>
          <w:lang w:eastAsia="nl-NL"/>
        </w:rPr>
      </w:pPr>
      <w:r>
        <w:br w:type="page"/>
      </w:r>
      <w:r w:rsidRPr="00272509">
        <w:rPr>
          <w:i/>
          <w:lang w:eastAsia="nl-NL"/>
        </w:rPr>
        <w:lastRenderedPageBreak/>
        <w:t>Paragraphe 5.2.10</w:t>
      </w:r>
      <w:r w:rsidRPr="007C6065">
        <w:rPr>
          <w:lang w:eastAsia="nl-NL"/>
        </w:rPr>
        <w:t>, lire :</w:t>
      </w:r>
    </w:p>
    <w:p w14:paraId="1426F5D7" w14:textId="77777777" w:rsidR="00342370" w:rsidRPr="007C6065" w:rsidRDefault="00342370" w:rsidP="00342370">
      <w:pPr>
        <w:pStyle w:val="SingleTxtG"/>
        <w:spacing w:line="240" w:lineRule="auto"/>
        <w:ind w:left="2268" w:hanging="1134"/>
        <w:rPr>
          <w:iCs/>
          <w:lang w:eastAsia="nl-NL"/>
        </w:rPr>
      </w:pPr>
      <w:r w:rsidRPr="007C6065">
        <w:rPr>
          <w:iCs/>
          <w:lang w:eastAsia="nl-NL"/>
        </w:rPr>
        <w:t>« 5.2.10</w:t>
      </w:r>
      <w:r w:rsidRPr="007C6065">
        <w:rPr>
          <w:iCs/>
          <w:lang w:eastAsia="nl-NL"/>
        </w:rPr>
        <w:tab/>
      </w:r>
      <w:r w:rsidRPr="007C6065">
        <w:t xml:space="preserve">Les systèmes de freinage de service, de secours et de stationnement doivent </w:t>
      </w:r>
      <w:r w:rsidRPr="007C6065">
        <w:rPr>
          <w:iCs/>
          <w:lang w:eastAsia="nl-NL"/>
        </w:rPr>
        <w:t xml:space="preserve">… </w:t>
      </w:r>
    </w:p>
    <w:p w14:paraId="35B1F892" w14:textId="77777777" w:rsidR="00342370" w:rsidRPr="007C6065" w:rsidRDefault="00342370" w:rsidP="00342370">
      <w:pPr>
        <w:pStyle w:val="SingleTxtG"/>
        <w:spacing w:line="240" w:lineRule="auto"/>
        <w:ind w:left="2268"/>
        <w:rPr>
          <w:lang w:eastAsia="nl-NL"/>
        </w:rPr>
      </w:pPr>
      <w:r>
        <w:rPr>
          <w:lang w:eastAsia="nl-NL"/>
        </w:rPr>
        <w:t>…</w:t>
      </w:r>
    </w:p>
    <w:p w14:paraId="0799CD1D" w14:textId="77777777" w:rsidR="00342370" w:rsidRPr="007C6065" w:rsidRDefault="00342370" w:rsidP="00342370">
      <w:pPr>
        <w:pStyle w:val="SingleTxtG"/>
        <w:spacing w:line="240" w:lineRule="auto"/>
        <w:ind w:left="2268"/>
      </w:pPr>
      <w:r w:rsidRPr="007C6065">
        <w:t>Néanmoins, dans tous les cas, la source de freinage à friction constamment en fonction doit garantir que tant le système de freinage de service que le système de freinage de secours continuent de fonctionner avec le degré d’efficacité prescrit.</w:t>
      </w:r>
    </w:p>
    <w:p w14:paraId="325E7D5F" w14:textId="77777777" w:rsidR="00342370" w:rsidRPr="007C6065" w:rsidRDefault="00342370" w:rsidP="00342370">
      <w:pPr>
        <w:pStyle w:val="SingleTxtG"/>
        <w:spacing w:line="240" w:lineRule="auto"/>
        <w:ind w:left="2268"/>
        <w:rPr>
          <w:b/>
          <w:iCs/>
          <w:lang w:eastAsia="nl-NL"/>
        </w:rPr>
      </w:pPr>
      <w:r w:rsidRPr="007C6065">
        <w:t xml:space="preserve">Pour le système de freinage de stationnement, un désaccouplement des surfaces freinées n’est admis qu’à condition d’être commandé par le conducteur de sa place de conduite </w:t>
      </w:r>
      <w:r w:rsidRPr="007C6065">
        <w:rPr>
          <w:iCs/>
          <w:lang w:eastAsia="nl-NL"/>
        </w:rPr>
        <w:t>ou à l’aide d’une télécommande, et</w:t>
      </w:r>
      <w:r w:rsidRPr="007C6065">
        <w:t xml:space="preserve"> au moyen d’un système ne pouvant entrer en action à cause d’une fuite.</w:t>
      </w:r>
    </w:p>
    <w:p w14:paraId="6DFC62F3" w14:textId="77777777" w:rsidR="00342370" w:rsidRPr="007C6065" w:rsidRDefault="00342370" w:rsidP="00342370">
      <w:pPr>
        <w:pStyle w:val="SingleTxtG"/>
        <w:spacing w:line="240" w:lineRule="auto"/>
        <w:ind w:left="2268"/>
      </w:pPr>
      <w:r w:rsidRPr="007C6065">
        <w:t>La télécommande susmentionnée doit faire partie d’un système satisfaisant aux prescriptions techniques d’une fonction de direction à comma</w:t>
      </w:r>
      <w:r>
        <w:t xml:space="preserve">nde automatique de la catégorie </w:t>
      </w:r>
      <w:r w:rsidRPr="007C6065">
        <w:t>A, conformément aux spécifications de la série 02 d’amendements au Règlement ONU</w:t>
      </w:r>
      <w:r>
        <w:t xml:space="preserve"> </w:t>
      </w:r>
      <w:r w:rsidRPr="00342370">
        <w:rPr>
          <w:rFonts w:eastAsia="MS Mincho"/>
          <w:szCs w:val="22"/>
        </w:rPr>
        <w:t>n</w:t>
      </w:r>
      <w:r w:rsidRPr="00342370">
        <w:rPr>
          <w:rFonts w:eastAsia="MS Mincho"/>
          <w:szCs w:val="22"/>
          <w:vertAlign w:val="superscript"/>
        </w:rPr>
        <w:t>o</w:t>
      </w:r>
      <w:r>
        <w:rPr>
          <w:rFonts w:eastAsia="MS Mincho"/>
        </w:rPr>
        <w:t> </w:t>
      </w:r>
      <w:r w:rsidRPr="007C6065">
        <w:t>79 ou d’une série ultérieure d’amendements audit Règlement. »</w:t>
      </w:r>
    </w:p>
    <w:p w14:paraId="066D0263" w14:textId="77777777" w:rsidR="00342370" w:rsidRPr="007C6065" w:rsidRDefault="00342370" w:rsidP="00342370">
      <w:pPr>
        <w:pStyle w:val="SingleTxtG"/>
        <w:keepNext/>
        <w:keepLines/>
        <w:spacing w:line="240" w:lineRule="auto"/>
        <w:rPr>
          <w:lang w:eastAsia="nl-NL"/>
        </w:rPr>
      </w:pPr>
      <w:r w:rsidRPr="00272509">
        <w:rPr>
          <w:i/>
          <w:lang w:eastAsia="nl-NL"/>
        </w:rPr>
        <w:t>Paragraphe 5.2.19.4</w:t>
      </w:r>
      <w:r w:rsidRPr="007C6065">
        <w:rPr>
          <w:lang w:eastAsia="nl-NL"/>
        </w:rPr>
        <w:t>, lire :</w:t>
      </w:r>
    </w:p>
    <w:p w14:paraId="1F01380E" w14:textId="77777777" w:rsidR="00342370" w:rsidRPr="007C6065" w:rsidRDefault="00342370" w:rsidP="00342370">
      <w:pPr>
        <w:pStyle w:val="SingleTxtG"/>
        <w:spacing w:line="240" w:lineRule="auto"/>
        <w:ind w:left="2268" w:hanging="1134"/>
      </w:pPr>
      <w:r w:rsidRPr="007C6065">
        <w:t>« 5.2.19.4</w:t>
      </w:r>
      <w:r w:rsidRPr="007C6065">
        <w:tab/>
        <w:t>Une fois que le contact d’allumage/démarrage qui commande l’alimentation en électricité de l’équipement de freinage a été coupé et/ou que la clef de contact a été retirée, il doit encore être possible d’actionner le système de freinage de stationnement, mais il doit être impossible de le desserrer.</w:t>
      </w:r>
    </w:p>
    <w:p w14:paraId="0CD02B62" w14:textId="77777777" w:rsidR="00342370" w:rsidRPr="00987F48" w:rsidRDefault="00342370" w:rsidP="00342370">
      <w:pPr>
        <w:pStyle w:val="SingleTxtG"/>
        <w:spacing w:line="240" w:lineRule="auto"/>
        <w:ind w:left="2268"/>
        <w:rPr>
          <w:b/>
        </w:rPr>
      </w:pPr>
      <w:r w:rsidRPr="007C6065">
        <w:t>Néanmoins, il doit être possible de desserrer le système de freinage de stationnement lorsque cette action</w:t>
      </w:r>
      <w:r>
        <w:t xml:space="preserve"> </w:t>
      </w:r>
      <w:r w:rsidRPr="007C6065">
        <w:t>est commandée au moyen d’une télécommande satisfaisant aux prescriptions techniques d’une fonction de direction à comma</w:t>
      </w:r>
      <w:r>
        <w:t xml:space="preserve">nde automatique de la catégorie </w:t>
      </w:r>
      <w:r w:rsidRPr="007C6065">
        <w:t>A, conformément</w:t>
      </w:r>
      <w:r>
        <w:t xml:space="preserve"> aux spécifications de la série </w:t>
      </w:r>
      <w:r w:rsidRPr="007C6065">
        <w:t>02</w:t>
      </w:r>
      <w:r>
        <w:t xml:space="preserve"> d’amendements au Règlement ONU </w:t>
      </w:r>
      <w:r w:rsidRPr="00342370">
        <w:rPr>
          <w:rFonts w:eastAsia="MS Mincho"/>
          <w:szCs w:val="22"/>
        </w:rPr>
        <w:t>n</w:t>
      </w:r>
      <w:r w:rsidRPr="00342370">
        <w:rPr>
          <w:rFonts w:eastAsia="MS Mincho"/>
          <w:szCs w:val="22"/>
          <w:vertAlign w:val="superscript"/>
        </w:rPr>
        <w:t>o</w:t>
      </w:r>
      <w:r>
        <w:rPr>
          <w:rFonts w:eastAsia="MS Mincho"/>
        </w:rPr>
        <w:t> </w:t>
      </w:r>
      <w:r w:rsidRPr="007C6065">
        <w:t>79 ou d’une série ultérieure d’amendements audit Règlement. »</w:t>
      </w:r>
    </w:p>
    <w:p w14:paraId="291D0E38" w14:textId="77777777" w:rsidR="005F0207" w:rsidRPr="00342370" w:rsidRDefault="00342370" w:rsidP="003423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342370" w:rsidSect="003423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9D88" w14:textId="77777777" w:rsidR="003F7094" w:rsidRDefault="003F7094"/>
  </w:endnote>
  <w:endnote w:type="continuationSeparator" w:id="0">
    <w:p w14:paraId="6416BB87" w14:textId="77777777" w:rsidR="003F7094" w:rsidRDefault="003F7094">
      <w:pPr>
        <w:pStyle w:val="Footer"/>
      </w:pPr>
    </w:p>
  </w:endnote>
  <w:endnote w:type="continuationNotice" w:id="1">
    <w:p w14:paraId="45294335" w14:textId="77777777" w:rsidR="003F7094" w:rsidRPr="00C451B9" w:rsidRDefault="003F709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FECD" w14:textId="77777777" w:rsidR="00342370" w:rsidRPr="00342370" w:rsidRDefault="00342370" w:rsidP="00342370">
    <w:pPr>
      <w:pStyle w:val="Footer"/>
      <w:tabs>
        <w:tab w:val="right" w:pos="9638"/>
      </w:tabs>
    </w:pPr>
    <w:r w:rsidRPr="00342370">
      <w:rPr>
        <w:b/>
        <w:sz w:val="18"/>
      </w:rPr>
      <w:fldChar w:fldCharType="begin"/>
    </w:r>
    <w:r w:rsidRPr="00342370">
      <w:rPr>
        <w:b/>
        <w:sz w:val="18"/>
      </w:rPr>
      <w:instrText xml:space="preserve"> PAGE  \* MERGEFORMAT </w:instrText>
    </w:r>
    <w:r w:rsidRPr="00342370">
      <w:rPr>
        <w:b/>
        <w:sz w:val="18"/>
      </w:rPr>
      <w:fldChar w:fldCharType="separate"/>
    </w:r>
    <w:r w:rsidRPr="00342370">
      <w:rPr>
        <w:b/>
        <w:noProof/>
        <w:sz w:val="18"/>
      </w:rPr>
      <w:t>2</w:t>
    </w:r>
    <w:r w:rsidRPr="00342370">
      <w:rPr>
        <w:b/>
        <w:sz w:val="18"/>
      </w:rPr>
      <w:fldChar w:fldCharType="end"/>
    </w:r>
    <w:r>
      <w:rPr>
        <w:b/>
        <w:sz w:val="18"/>
      </w:rPr>
      <w:tab/>
    </w:r>
    <w:r>
      <w:t>GE.19-00711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10C4" w14:textId="77777777" w:rsidR="00342370" w:rsidRPr="00342370" w:rsidRDefault="00342370" w:rsidP="00342370">
    <w:pPr>
      <w:pStyle w:val="Footer"/>
      <w:tabs>
        <w:tab w:val="right" w:pos="9638"/>
      </w:tabs>
      <w:rPr>
        <w:b/>
        <w:sz w:val="18"/>
      </w:rPr>
    </w:pPr>
    <w:r>
      <w:t>GE.19-00711</w:t>
    </w:r>
    <w:r>
      <w:tab/>
    </w:r>
    <w:r w:rsidRPr="00342370">
      <w:rPr>
        <w:b/>
        <w:sz w:val="18"/>
      </w:rPr>
      <w:fldChar w:fldCharType="begin"/>
    </w:r>
    <w:r w:rsidRPr="00342370">
      <w:rPr>
        <w:b/>
        <w:sz w:val="18"/>
      </w:rPr>
      <w:instrText xml:space="preserve"> PAGE  \* MERGEFORMAT </w:instrText>
    </w:r>
    <w:r w:rsidRPr="00342370">
      <w:rPr>
        <w:b/>
        <w:sz w:val="18"/>
      </w:rPr>
      <w:fldChar w:fldCharType="separate"/>
    </w:r>
    <w:r w:rsidRPr="00342370">
      <w:rPr>
        <w:b/>
        <w:noProof/>
        <w:sz w:val="18"/>
      </w:rPr>
      <w:t>3</w:t>
    </w:r>
    <w:r w:rsidRPr="003423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2344" w14:textId="77777777" w:rsidR="00467F2C" w:rsidRPr="00342370" w:rsidRDefault="00342370" w:rsidP="0034237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DCE35DC" wp14:editId="5AF513F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00711  (</w:t>
    </w:r>
    <w:proofErr w:type="gramEnd"/>
    <w:r>
      <w:rPr>
        <w:sz w:val="20"/>
      </w:rPr>
      <w:t>F)    260419    290419</w:t>
    </w:r>
    <w:r>
      <w:rPr>
        <w:sz w:val="20"/>
      </w:rPr>
      <w:br/>
    </w:r>
    <w:r w:rsidRPr="00342370">
      <w:rPr>
        <w:rFonts w:ascii="C39T30Lfz" w:hAnsi="C39T30Lfz"/>
        <w:sz w:val="56"/>
      </w:rPr>
      <w:t></w:t>
    </w:r>
    <w:r w:rsidRPr="00342370">
      <w:rPr>
        <w:rFonts w:ascii="C39T30Lfz" w:hAnsi="C39T30Lfz"/>
        <w:sz w:val="56"/>
      </w:rPr>
      <w:t></w:t>
    </w:r>
    <w:r w:rsidRPr="00342370">
      <w:rPr>
        <w:rFonts w:ascii="C39T30Lfz" w:hAnsi="C39T30Lfz"/>
        <w:sz w:val="56"/>
      </w:rPr>
      <w:t></w:t>
    </w:r>
    <w:r w:rsidRPr="00342370">
      <w:rPr>
        <w:rFonts w:ascii="C39T30Lfz" w:hAnsi="C39T30Lfz"/>
        <w:sz w:val="56"/>
      </w:rPr>
      <w:t></w:t>
    </w:r>
    <w:r w:rsidRPr="00342370">
      <w:rPr>
        <w:rFonts w:ascii="C39T30Lfz" w:hAnsi="C39T30Lfz"/>
        <w:sz w:val="56"/>
      </w:rPr>
      <w:t></w:t>
    </w:r>
    <w:r w:rsidRPr="00342370">
      <w:rPr>
        <w:rFonts w:ascii="C39T30Lfz" w:hAnsi="C39T30Lfz"/>
        <w:sz w:val="56"/>
      </w:rPr>
      <w:t></w:t>
    </w:r>
    <w:r w:rsidRPr="00342370">
      <w:rPr>
        <w:rFonts w:ascii="C39T30Lfz" w:hAnsi="C39T30Lfz"/>
        <w:sz w:val="56"/>
      </w:rPr>
      <w:t></w:t>
    </w:r>
    <w:r w:rsidRPr="00342370">
      <w:rPr>
        <w:rFonts w:ascii="C39T30Lfz" w:hAnsi="C39T30Lfz"/>
        <w:sz w:val="56"/>
      </w:rPr>
      <w:t></w:t>
    </w:r>
    <w:r w:rsidRPr="0034237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70B9272" wp14:editId="61FDDD3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H/Rev.4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H/Rev.4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A6D8" w14:textId="77777777" w:rsidR="003F7094" w:rsidRPr="00D27D5E" w:rsidRDefault="003F709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0BE85E" w14:textId="77777777" w:rsidR="003F7094" w:rsidRPr="00D171D4" w:rsidRDefault="003F709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AE0F296" w14:textId="77777777" w:rsidR="003F7094" w:rsidRPr="00C451B9" w:rsidRDefault="003F7094" w:rsidP="00C451B9">
      <w:pPr>
        <w:spacing w:line="240" w:lineRule="auto"/>
        <w:rPr>
          <w:sz w:val="2"/>
          <w:szCs w:val="2"/>
        </w:rPr>
      </w:pPr>
    </w:p>
  </w:footnote>
  <w:footnote w:id="2">
    <w:p w14:paraId="631CF4A7" w14:textId="77777777" w:rsidR="00342370" w:rsidRPr="00FE68FB" w:rsidRDefault="00342370" w:rsidP="00342370">
      <w:pPr>
        <w:pStyle w:val="FootnoteText"/>
      </w:pPr>
      <w:r>
        <w:tab/>
      </w:r>
      <w:r w:rsidRPr="00FE68FB">
        <w:rPr>
          <w:rStyle w:val="FootnoteReference"/>
          <w:sz w:val="20"/>
        </w:rPr>
        <w:t>*</w:t>
      </w:r>
      <w:r w:rsidRPr="00FE68FB">
        <w:rPr>
          <w:sz w:val="20"/>
        </w:rPr>
        <w:tab/>
      </w:r>
      <w:r w:rsidRPr="00FE68FB">
        <w:t>Anciens titres de l’Accord</w:t>
      </w:r>
      <w:r w:rsidR="005F3B9F">
        <w:t> :</w:t>
      </w:r>
    </w:p>
    <w:p w14:paraId="68E28ACC" w14:textId="77777777" w:rsidR="00342370" w:rsidRPr="00FE68FB" w:rsidRDefault="00342370" w:rsidP="00342370">
      <w:pPr>
        <w:pStyle w:val="FootnoteText"/>
        <w:rPr>
          <w:sz w:val="20"/>
        </w:rPr>
      </w:pPr>
      <w:r w:rsidRPr="00FE68FB">
        <w:tab/>
      </w:r>
      <w:r w:rsidRPr="00FE68FB">
        <w:tab/>
      </w:r>
      <w:r w:rsidRPr="00FE68FB">
        <w:rPr>
          <w:spacing w:val="-4"/>
        </w:rPr>
        <w:t>Accord concernant l’adoption de conditions uniformes d’homologation et la reconnaissance réciproque de l’homologation des équipements et pièces de véhicules à moteur, en date, à Genève, du 20</w:t>
      </w:r>
      <w:r w:rsidR="005F3B9F">
        <w:rPr>
          <w:spacing w:val="-4"/>
        </w:rPr>
        <w:t> </w:t>
      </w:r>
      <w:r w:rsidRPr="00FE68FB">
        <w:rPr>
          <w:spacing w:val="-4"/>
        </w:rPr>
        <w:t>mars 1958 (version originale)</w:t>
      </w:r>
      <w:r>
        <w:rPr>
          <w:spacing w:val="-4"/>
        </w:rPr>
        <w:t> ;</w:t>
      </w:r>
    </w:p>
    <w:p w14:paraId="55F3B609" w14:textId="77777777" w:rsidR="00342370" w:rsidRPr="00BD28BA" w:rsidRDefault="00342370" w:rsidP="00342370">
      <w:pPr>
        <w:pStyle w:val="FootnoteText"/>
      </w:pPr>
      <w:r w:rsidRPr="00FE68FB">
        <w:tab/>
      </w:r>
      <w:r w:rsidRPr="00FE68FB">
        <w:tab/>
      </w:r>
      <w:r w:rsidRPr="00BD28BA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805BFC">
        <w:t> </w:t>
      </w:r>
      <w:r w:rsidRPr="00BD28BA">
        <w:t>octobre 1995 (Révision</w:t>
      </w:r>
      <w:r w:rsidR="00805BFC">
        <w:t> </w:t>
      </w:r>
      <w:r w:rsidRPr="00BD28BA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06C6" w14:textId="414FA862" w:rsidR="00342370" w:rsidRPr="00342370" w:rsidRDefault="00342370">
    <w:pPr>
      <w:pStyle w:val="Header"/>
      <w:rPr>
        <w:lang w:val="en-US"/>
      </w:rPr>
    </w:pPr>
    <w:r>
      <w:fldChar w:fldCharType="begin"/>
    </w:r>
    <w:r w:rsidRPr="00342370">
      <w:rPr>
        <w:lang w:val="en-US"/>
      </w:rPr>
      <w:instrText xml:space="preserve"> TITLE  \* MERGEFORMAT </w:instrText>
    </w:r>
    <w:r>
      <w:fldChar w:fldCharType="separate"/>
    </w:r>
    <w:r w:rsidR="006717E4">
      <w:rPr>
        <w:lang w:val="en-US"/>
      </w:rPr>
      <w:t>E/ECE/324/Rev.2/Add.12H/Rev.4/Amend.1</w:t>
    </w:r>
    <w:r>
      <w:fldChar w:fldCharType="end"/>
    </w:r>
    <w:r w:rsidRPr="00342370">
      <w:rPr>
        <w:lang w:val="en-US"/>
      </w:rPr>
      <w:br/>
    </w:r>
    <w:r>
      <w:fldChar w:fldCharType="begin"/>
    </w:r>
    <w:r w:rsidRPr="00342370">
      <w:rPr>
        <w:lang w:val="en-US"/>
      </w:rPr>
      <w:instrText xml:space="preserve"> KEYWORDS  \* MERGEFORMAT </w:instrText>
    </w:r>
    <w:r>
      <w:fldChar w:fldCharType="separate"/>
    </w:r>
    <w:r w:rsidR="006717E4">
      <w:rPr>
        <w:lang w:val="en-US"/>
      </w:rPr>
      <w:t>E/ECE/TRANS/505/Rev.2/Add.12H/Rev.4/Amend.1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6482" w14:textId="56FB7258" w:rsidR="00342370" w:rsidRPr="00342370" w:rsidRDefault="00342370" w:rsidP="00342370">
    <w:pPr>
      <w:pStyle w:val="Header"/>
      <w:jc w:val="right"/>
      <w:rPr>
        <w:lang w:val="en-US"/>
      </w:rPr>
    </w:pPr>
    <w:r>
      <w:fldChar w:fldCharType="begin"/>
    </w:r>
    <w:r w:rsidRPr="00342370">
      <w:rPr>
        <w:lang w:val="en-US"/>
      </w:rPr>
      <w:instrText xml:space="preserve"> TITLE  \* MERGEFORMAT </w:instrText>
    </w:r>
    <w:r>
      <w:fldChar w:fldCharType="separate"/>
    </w:r>
    <w:r w:rsidR="006717E4">
      <w:rPr>
        <w:lang w:val="en-US"/>
      </w:rPr>
      <w:t>E/ECE/324/Rev.2/Add.12H/Rev.4/Amend.1</w:t>
    </w:r>
    <w:r>
      <w:fldChar w:fldCharType="end"/>
    </w:r>
    <w:r w:rsidRPr="00342370">
      <w:rPr>
        <w:lang w:val="en-US"/>
      </w:rPr>
      <w:br/>
    </w:r>
    <w:r>
      <w:fldChar w:fldCharType="begin"/>
    </w:r>
    <w:r w:rsidRPr="00342370">
      <w:rPr>
        <w:lang w:val="en-US"/>
      </w:rPr>
      <w:instrText xml:space="preserve"> KEYWORDS  \* MERGEFORMAT </w:instrText>
    </w:r>
    <w:r>
      <w:fldChar w:fldCharType="separate"/>
    </w:r>
    <w:r w:rsidR="006717E4">
      <w:rPr>
        <w:lang w:val="en-US"/>
      </w:rPr>
      <w:t>E/ECE/TRANS/505/Rev.2/Add.12H/Rev.4/Amend.1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9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237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09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1B6D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3B9F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54E"/>
    <w:rsid w:val="006717E4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5BFC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0E7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7FF9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7181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44066C"/>
  <w15:docId w15:val="{A21C7C8C-AC4C-4002-82C7-A4CFE81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E/ECE/324/Rev.2/Add.12H/Rev.4/Amend.1</vt:lpstr>
      <vt:lpstr>E/ECE/324/Rev.2/Add.12H/Rev.4/Amend.1</vt:lpstr>
    </vt:vector>
  </TitlesOfParts>
  <Company>CSD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E/ECE/324/Rev.2/Add.12H/Rev.4/Amend.1</dc:title>
  <dc:creator>Edith BOURION</dc:creator>
  <cp:keywords>E/ECE/TRANS/505/Rev.2/Add.12H/Rev.4/Amend.1</cp:keywords>
  <cp:lastModifiedBy>Marie-Claude Collet</cp:lastModifiedBy>
  <cp:revision>3</cp:revision>
  <cp:lastPrinted>2019-04-29T15:06:00Z</cp:lastPrinted>
  <dcterms:created xsi:type="dcterms:W3CDTF">2019-04-29T15:05:00Z</dcterms:created>
  <dcterms:modified xsi:type="dcterms:W3CDTF">2019-04-29T15:06:00Z</dcterms:modified>
</cp:coreProperties>
</file>