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E5473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43C4" w:rsidRPr="008E43C4" w:rsidRDefault="008E43C4" w:rsidP="008E43C4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E43C4">
              <w:rPr>
                <w:sz w:val="40"/>
                <w:lang w:val="en-US"/>
              </w:rPr>
              <w:t>E</w:t>
            </w:r>
            <w:r w:rsidRPr="008E43C4">
              <w:rPr>
                <w:lang w:val="en-US"/>
              </w:rPr>
              <w:t>/ECE/324/Add.2/Rev.4/Amend.3−</w:t>
            </w:r>
            <w:r w:rsidRPr="008E43C4">
              <w:rPr>
                <w:sz w:val="40"/>
                <w:lang w:val="en-US"/>
              </w:rPr>
              <w:t>E</w:t>
            </w:r>
            <w:r w:rsidRPr="008E43C4">
              <w:rPr>
                <w:lang w:val="en-US"/>
              </w:rPr>
              <w:t>/ECE/TRANS/505/Add.2/Rev.4/Amend.3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E43C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E43C4" w:rsidP="00A27C92">
            <w:pPr>
              <w:spacing w:before="480" w:line="240" w:lineRule="exact"/>
            </w:pPr>
            <w:r>
              <w:t>5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BC40FC" w:rsidRPr="0079237A">
        <w:rPr>
          <w:rFonts w:eastAsia="Times New Roman"/>
          <w:lang w:val="fr-FR"/>
        </w:rPr>
        <w:t>Concernant l</w:t>
      </w:r>
      <w:r w:rsidR="00DB23F9">
        <w:rPr>
          <w:rFonts w:eastAsia="Times New Roman"/>
          <w:lang w:val="fr-FR"/>
        </w:rPr>
        <w:t>’</w:t>
      </w:r>
      <w:r w:rsidR="00BC40FC" w:rsidRPr="0079237A">
        <w:rPr>
          <w:rFonts w:eastAsia="Times New Roman"/>
          <w:lang w:val="fr-FR"/>
        </w:rPr>
        <w:t xml:space="preserve">adoption de Règlements techniques harmonisés </w:t>
      </w:r>
      <w:r w:rsidR="00E375DA">
        <w:rPr>
          <w:rFonts w:eastAsia="Times New Roman"/>
          <w:lang w:val="fr-FR"/>
        </w:rPr>
        <w:br/>
      </w:r>
      <w:r w:rsidR="00BC40FC" w:rsidRPr="0079237A">
        <w:rPr>
          <w:rFonts w:eastAsia="Times New Roman"/>
          <w:lang w:val="fr-FR"/>
        </w:rPr>
        <w:t>de l</w:t>
      </w:r>
      <w:r w:rsidR="00DB23F9">
        <w:rPr>
          <w:rFonts w:eastAsia="Times New Roman"/>
          <w:lang w:val="fr-FR"/>
        </w:rPr>
        <w:t>’</w:t>
      </w:r>
      <w:r w:rsidR="00BC40FC" w:rsidRPr="0079237A">
        <w:rPr>
          <w:rFonts w:eastAsia="Times New Roman"/>
          <w:lang w:val="fr-FR"/>
        </w:rPr>
        <w:t xml:space="preserve">ONU applicables aux véhicules à roues et aux équipements </w:t>
      </w:r>
      <w:r w:rsidR="00E375DA">
        <w:rPr>
          <w:rFonts w:eastAsia="Times New Roman"/>
          <w:lang w:val="fr-FR"/>
        </w:rPr>
        <w:br/>
      </w:r>
      <w:r w:rsidR="00BC40FC" w:rsidRPr="0079237A">
        <w:rPr>
          <w:rFonts w:eastAsia="Times New Roman"/>
          <w:lang w:val="fr-FR"/>
        </w:rPr>
        <w:t>et pièces susceptibles d</w:t>
      </w:r>
      <w:r w:rsidR="00DB23F9">
        <w:rPr>
          <w:rFonts w:eastAsia="Times New Roman"/>
          <w:lang w:val="fr-FR"/>
        </w:rPr>
        <w:t>’</w:t>
      </w:r>
      <w:r w:rsidR="00BC40FC" w:rsidRPr="0079237A">
        <w:rPr>
          <w:rFonts w:eastAsia="Times New Roman"/>
          <w:lang w:val="fr-FR"/>
        </w:rPr>
        <w:t xml:space="preserve">être montés ou utilisés sur les véhicules </w:t>
      </w:r>
      <w:r w:rsidR="00E375DA">
        <w:rPr>
          <w:rFonts w:eastAsia="Times New Roman"/>
          <w:lang w:val="fr-FR"/>
        </w:rPr>
        <w:br/>
      </w:r>
      <w:r w:rsidR="00BC40FC" w:rsidRPr="0079237A">
        <w:rPr>
          <w:rFonts w:eastAsia="Times New Roman"/>
          <w:lang w:val="fr-FR"/>
        </w:rPr>
        <w:t>à roues et les conditions de reconnaissance réciproque des homologations délivrées conformément à ces Règlements</w:t>
      </w:r>
      <w:r w:rsidR="00BC40FC" w:rsidRPr="00BC40FC">
        <w:rPr>
          <w:rFonts w:eastAsia="Times New Roman"/>
          <w:b w:val="0"/>
          <w:sz w:val="20"/>
          <w:lang w:val="fr-FR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BC40FC" w:rsidRPr="0079237A">
        <w:rPr>
          <w:rFonts w:eastAsia="Times New Roman"/>
          <w:lang w:val="fr-FR"/>
        </w:rPr>
        <w:t>3, comprenant les amendements entrés en vigueur le 14</w:t>
      </w:r>
      <w:r w:rsidR="00BC40FC">
        <w:rPr>
          <w:rFonts w:eastAsia="Times New Roman"/>
          <w:lang w:val="fr-FR"/>
        </w:rPr>
        <w:t> </w:t>
      </w:r>
      <w:r w:rsidR="00BC40FC" w:rsidRPr="0079237A">
        <w:rPr>
          <w:rFonts w:eastAsia="Times New Roman"/>
          <w:lang w:val="fr-FR"/>
        </w:rPr>
        <w:t xml:space="preserve">septembre </w:t>
      </w:r>
      <w:r w:rsidR="00BC40FC" w:rsidRPr="006A17FF">
        <w:rPr>
          <w:rFonts w:eastAsia="Times New Roman"/>
          <w:lang w:val="fr-FR"/>
        </w:rPr>
        <w:t>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BC40FC">
        <w:t xml:space="preserve">2 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C40FC">
        <w:t>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BC40FC">
        <w:t>4 − Amendement 3</w:t>
      </w:r>
    </w:p>
    <w:p w:rsidR="00421A10" w:rsidRPr="004A7E44" w:rsidRDefault="00BC40FC" w:rsidP="0029791D">
      <w:pPr>
        <w:pStyle w:val="SingleTxtG"/>
        <w:spacing w:after="0"/>
      </w:pPr>
      <w:r>
        <w:rPr>
          <w:rFonts w:eastAsia="Times New Roman"/>
          <w:spacing w:val="-2"/>
          <w:lang w:val="fr-FR"/>
        </w:rPr>
        <w:t>Complément</w:t>
      </w:r>
      <w:r w:rsidRPr="006A17FF">
        <w:rPr>
          <w:rFonts w:eastAsia="Times New Roman"/>
          <w:spacing w:val="-2"/>
          <w:lang w:val="fr-FR"/>
        </w:rPr>
        <w:t xml:space="preserve"> 17 </w:t>
      </w:r>
      <w:r w:rsidRPr="0079237A">
        <w:rPr>
          <w:rFonts w:eastAsia="Times New Roman"/>
          <w:spacing w:val="-2"/>
          <w:lang w:val="fr-FR"/>
        </w:rPr>
        <w:t>à la série 02 d</w:t>
      </w:r>
      <w:r w:rsidR="00DB23F9">
        <w:rPr>
          <w:rFonts w:eastAsia="Times New Roman"/>
          <w:spacing w:val="-2"/>
          <w:lang w:val="fr-FR"/>
        </w:rPr>
        <w:t>’</w:t>
      </w:r>
      <w:r w:rsidRPr="0079237A">
        <w:rPr>
          <w:rFonts w:eastAsia="Times New Roman"/>
          <w:spacing w:val="-2"/>
          <w:lang w:val="fr-FR"/>
        </w:rPr>
        <w:t xml:space="preserve">amendements au Règlement </w:t>
      </w:r>
      <w:r>
        <w:rPr>
          <w:rFonts w:eastAsia="Times New Roman"/>
          <w:spacing w:val="-2"/>
          <w:lang w:val="fr-FR"/>
        </w:rPr>
        <w:t>−</w:t>
      </w:r>
      <w:r w:rsidRPr="0079237A">
        <w:rPr>
          <w:rFonts w:eastAsia="Times New Roman"/>
          <w:spacing w:val="-2"/>
          <w:lang w:val="fr-FR"/>
        </w:rPr>
        <w:t xml:space="preserve"> Date d</w:t>
      </w:r>
      <w:r w:rsidR="00DB23F9">
        <w:rPr>
          <w:rFonts w:eastAsia="Times New Roman"/>
          <w:spacing w:val="-2"/>
          <w:lang w:val="fr-FR"/>
        </w:rPr>
        <w:t>’</w:t>
      </w:r>
      <w:r w:rsidRPr="0079237A">
        <w:rPr>
          <w:rFonts w:eastAsia="Times New Roman"/>
          <w:spacing w:val="-2"/>
          <w:lang w:val="fr-FR"/>
        </w:rPr>
        <w:t>entrée en vigueur</w:t>
      </w:r>
      <w:r>
        <w:rPr>
          <w:rFonts w:eastAsia="Times New Roman"/>
          <w:spacing w:val="-2"/>
          <w:lang w:val="fr-FR"/>
        </w:rPr>
        <w:t> </w:t>
      </w:r>
      <w:r w:rsidRPr="0079237A">
        <w:rPr>
          <w:rFonts w:eastAsia="Times New Roman"/>
          <w:spacing w:val="-2"/>
          <w:lang w:val="fr-FR"/>
        </w:rPr>
        <w:t>: 10</w:t>
      </w:r>
      <w:r>
        <w:rPr>
          <w:rFonts w:eastAsia="Times New Roman"/>
          <w:spacing w:val="-2"/>
          <w:lang w:val="fr-FR"/>
        </w:rPr>
        <w:t> </w:t>
      </w:r>
      <w:r w:rsidRPr="0079237A">
        <w:rPr>
          <w:rFonts w:eastAsia="Times New Roman"/>
          <w:spacing w:val="-2"/>
          <w:lang w:val="fr-FR"/>
        </w:rPr>
        <w:t>octobre</w:t>
      </w:r>
      <w:r w:rsidRPr="006A17FF">
        <w:rPr>
          <w:rFonts w:eastAsia="Times New Roman"/>
          <w:lang w:val="fr-FR"/>
        </w:rPr>
        <w:t xml:space="preserve">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DB23F9" w:rsidRPr="0079237A">
        <w:rPr>
          <w:rFonts w:eastAsia="Times New Roman"/>
        </w:rPr>
        <w:t>relatives à l</w:t>
      </w:r>
      <w:r w:rsidR="00DB23F9">
        <w:rPr>
          <w:rFonts w:eastAsia="Times New Roman"/>
        </w:rPr>
        <w:t>’</w:t>
      </w:r>
      <w:r w:rsidR="00DB23F9" w:rsidRPr="0079237A">
        <w:rPr>
          <w:rFonts w:eastAsia="Times New Roman"/>
        </w:rPr>
        <w:t>homologation des dispositifs catadioptriques pour véhicules à moteur et leurs remorques</w:t>
      </w:r>
    </w:p>
    <w:p w:rsidR="008E43C4" w:rsidRDefault="00DB23F9" w:rsidP="00DB23F9">
      <w:pPr>
        <w:pStyle w:val="SingleTxtG"/>
      </w:pPr>
      <w:r w:rsidRPr="005B6A8C">
        <w:rPr>
          <w:rFonts w:eastAsia="Times New Roman"/>
          <w:spacing w:val="-4"/>
          <w:lang w:eastAsia="en-GB"/>
        </w:rPr>
        <w:t>Le présent document est communiqué uniquement à titre d</w:t>
      </w:r>
      <w:r>
        <w:rPr>
          <w:rFonts w:eastAsia="Times New Roman"/>
          <w:spacing w:val="-4"/>
          <w:lang w:eastAsia="en-GB"/>
        </w:rPr>
        <w:t>’</w:t>
      </w:r>
      <w:r w:rsidRPr="005B6A8C">
        <w:rPr>
          <w:rFonts w:eastAsia="Times New Roman"/>
          <w:spacing w:val="-4"/>
          <w:lang w:eastAsia="en-GB"/>
        </w:rPr>
        <w:t xml:space="preserve">information. Le texte authentique, juridiquement contraignant, est celui du document </w:t>
      </w:r>
      <w:r w:rsidRPr="006A17FF">
        <w:rPr>
          <w:rFonts w:eastAsia="Times New Roman"/>
          <w:spacing w:val="-6"/>
          <w:lang w:val="fr-FR" w:eastAsia="en-GB"/>
        </w:rPr>
        <w:t>ECE/TRANS/WP.29/2017/19 (</w:t>
      </w:r>
      <w:r w:rsidRPr="006A17FF">
        <w:rPr>
          <w:rFonts w:eastAsia="Times New Roman"/>
          <w:lang w:val="fr-FR"/>
        </w:rPr>
        <w:t>1622325).</w:t>
      </w:r>
    </w:p>
    <w:p w:rsidR="00DB23F9" w:rsidRPr="0079237A" w:rsidRDefault="00DB23F9" w:rsidP="00DB23F9">
      <w:pPr>
        <w:pStyle w:val="SingleTxtG"/>
        <w:rPr>
          <w:rFonts w:eastAsia="Times New Roman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9C4B" wp14:editId="207BE135">
                <wp:simplePos x="0" y="0"/>
                <wp:positionH relativeFrom="margin">
                  <wp:posOffset>0</wp:posOffset>
                </wp:positionH>
                <wp:positionV relativeFrom="margin">
                  <wp:posOffset>6257129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34BD9A6" wp14:editId="3FE9B7D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F9C4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2.7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hUaYUd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34BD9A6" wp14:editId="3FE9B7D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43C4">
        <w:br w:type="page"/>
      </w:r>
      <w:r w:rsidRPr="0079237A">
        <w:rPr>
          <w:rFonts w:eastAsia="Times New Roman"/>
          <w:i/>
          <w:lang w:val="fr-FR"/>
        </w:rPr>
        <w:lastRenderedPageBreak/>
        <w:t>Paragraphe 6</w:t>
      </w:r>
      <w:r w:rsidRPr="0079237A">
        <w:rPr>
          <w:rFonts w:eastAsia="Times New Roman"/>
          <w:lang w:val="fr-FR"/>
        </w:rPr>
        <w:t xml:space="preserve">, </w:t>
      </w:r>
      <w:r>
        <w:rPr>
          <w:rFonts w:eastAsia="Times New Roman"/>
          <w:lang w:val="fr-FR"/>
        </w:rPr>
        <w:t>lire</w:t>
      </w:r>
      <w:r w:rsidRPr="0079237A">
        <w:rPr>
          <w:rFonts w:eastAsia="Times New Roman"/>
          <w:lang w:val="fr-FR"/>
        </w:rPr>
        <w:t> :</w:t>
      </w:r>
    </w:p>
    <w:p w:rsidR="00DB23F9" w:rsidRPr="006A17FF" w:rsidRDefault="00DB23F9" w:rsidP="007C2598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rFonts w:eastAsia="Times New Roman"/>
          <w:b/>
          <w:sz w:val="28"/>
          <w:lang w:val="fr-FR"/>
        </w:rPr>
      </w:pPr>
      <w:r w:rsidRPr="006A17FF">
        <w:rPr>
          <w:rFonts w:eastAsia="Times New Roman"/>
          <w:lang w:val="fr-FR"/>
        </w:rPr>
        <w:t>«</w:t>
      </w:r>
      <w:r w:rsidRPr="006A17FF">
        <w:rPr>
          <w:rFonts w:eastAsia="Times New Roman"/>
          <w:b/>
          <w:sz w:val="28"/>
          <w:lang w:val="fr-FR"/>
        </w:rPr>
        <w:t> 6.</w:t>
      </w:r>
      <w:r w:rsidRPr="006A17FF">
        <w:rPr>
          <w:rFonts w:eastAsia="Times New Roman"/>
          <w:b/>
          <w:sz w:val="28"/>
          <w:lang w:val="fr-FR"/>
        </w:rPr>
        <w:tab/>
      </w:r>
      <w:r w:rsidRPr="006A17FF">
        <w:rPr>
          <w:rFonts w:eastAsia="Times New Roman"/>
          <w:b/>
          <w:sz w:val="28"/>
          <w:lang w:val="fr-FR"/>
        </w:rPr>
        <w:tab/>
        <w:t>Prescriptions générales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 xml:space="preserve">Les prescriptions contenues dans les sections 5 “Prescriptions générales” et 6 “Prescriptions particulières” ainsi que dans les annexes citées dans lesdites sections des Règlements </w:t>
      </w:r>
      <w:r w:rsidRPr="006A17FF">
        <w:rPr>
          <w:rFonts w:eastAsia="MS Mincho"/>
          <w:szCs w:val="22"/>
          <w:lang w:val="fr-FR"/>
        </w:rPr>
        <w:t>n</w:t>
      </w:r>
      <w:r w:rsidRPr="006A17FF">
        <w:rPr>
          <w:rFonts w:eastAsia="MS Mincho"/>
          <w:szCs w:val="22"/>
          <w:vertAlign w:val="superscript"/>
          <w:lang w:val="fr-FR"/>
        </w:rPr>
        <w:t>os</w:t>
      </w:r>
      <w:r w:rsidRPr="006A17FF">
        <w:rPr>
          <w:rFonts w:eastAsia="Times New Roman"/>
          <w:lang w:val="fr-FR"/>
        </w:rPr>
        <w:t> 48, 53, 74 et 86 et de leurs séries d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amendements en vigueur à la date de la demande d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homologation du type de dispositif catadioptrique s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appliquent au présent Règlement.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Les prescriptions pertinentes pour chaque dispositif catadioptrique et la (les) catégorie(s) de véhicule sur laquelle/lesquelles il est prévu d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installer le dispositif catadioptrique sont applicables, pour autant que leur vérification soit possible lors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homologation du type de dispositif catadioptrique.</w:t>
      </w:r>
    </w:p>
    <w:p w:rsidR="00DB23F9" w:rsidRPr="006A17FF" w:rsidRDefault="00DB23F9" w:rsidP="007C2598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6.1</w:t>
      </w:r>
      <w:r w:rsidRPr="006A17FF">
        <w:rPr>
          <w:rFonts w:eastAsia="Times New Roman"/>
          <w:lang w:val="fr-FR"/>
        </w:rPr>
        <w:tab/>
      </w:r>
      <w:r w:rsidR="007C2598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>… ».</w:t>
      </w:r>
    </w:p>
    <w:p w:rsidR="00DB23F9" w:rsidRPr="006A17FF" w:rsidRDefault="00DB23F9" w:rsidP="00DB23F9">
      <w:pPr>
        <w:spacing w:after="120"/>
        <w:ind w:left="1134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i/>
          <w:lang w:val="fr-FR"/>
        </w:rPr>
        <w:t>Paragraphe 8.1</w:t>
      </w:r>
      <w:r w:rsidRPr="006A17FF">
        <w:rPr>
          <w:rFonts w:eastAsia="Times New Roman"/>
          <w:lang w:val="fr-FR"/>
        </w:rPr>
        <w:t xml:space="preserve">, </w:t>
      </w:r>
      <w:r>
        <w:rPr>
          <w:rFonts w:eastAsia="Times New Roman"/>
          <w:lang w:val="fr-FR"/>
        </w:rPr>
        <w:t>lire</w:t>
      </w:r>
      <w:r w:rsidRPr="006A17FF">
        <w:rPr>
          <w:rFonts w:eastAsia="Times New Roman"/>
          <w:lang w:val="fr-FR"/>
        </w:rPr>
        <w:t> :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« 8.1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 xml:space="preserve">Les dispositifs catadioptriques doivent être fabriqués de façon à être conformes au type homologué en vertu du présent Règlement. 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Le respect des prescriptions indiquées aux paragraphes</w:t>
      </w:r>
      <w:r w:rsidR="007C2598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6 et 7 ci-dessus sera vérifié comme suit : ».</w:t>
      </w:r>
    </w:p>
    <w:p w:rsidR="00DB23F9" w:rsidRPr="006A17FF" w:rsidRDefault="00DB23F9" w:rsidP="00DB23F9">
      <w:pPr>
        <w:spacing w:after="120"/>
        <w:ind w:left="1134" w:right="1134"/>
        <w:jc w:val="both"/>
        <w:rPr>
          <w:rFonts w:eastAsia="Times New Roman"/>
          <w:i/>
          <w:lang w:val="fr-FR"/>
        </w:rPr>
      </w:pPr>
      <w:r>
        <w:rPr>
          <w:rFonts w:eastAsia="Times New Roman"/>
          <w:i/>
          <w:lang w:val="fr-FR"/>
        </w:rPr>
        <w:t>Le p</w:t>
      </w:r>
      <w:r w:rsidRPr="006A17FF">
        <w:rPr>
          <w:rFonts w:eastAsia="Times New Roman"/>
          <w:i/>
          <w:lang w:val="fr-FR"/>
        </w:rPr>
        <w:t>aragraphe 8.2</w:t>
      </w:r>
      <w:r w:rsidRPr="006A17FF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devient le </w:t>
      </w:r>
      <w:r w:rsidRPr="006A17FF">
        <w:rPr>
          <w:rFonts w:eastAsia="Times New Roman"/>
          <w:lang w:val="fr-FR"/>
        </w:rPr>
        <w:t>paragraphe 8.1.1.</w:t>
      </w:r>
    </w:p>
    <w:p w:rsidR="00DB23F9" w:rsidRPr="006A17FF" w:rsidRDefault="00DB23F9" w:rsidP="00DB23F9">
      <w:pPr>
        <w:spacing w:after="120"/>
        <w:ind w:left="1134" w:right="1134"/>
        <w:jc w:val="both"/>
        <w:rPr>
          <w:rFonts w:eastAsia="Times New Roman"/>
          <w:i/>
          <w:lang w:val="fr-FR"/>
        </w:rPr>
      </w:pPr>
      <w:r>
        <w:rPr>
          <w:rFonts w:eastAsia="Times New Roman"/>
          <w:i/>
          <w:lang w:val="fr-FR"/>
        </w:rPr>
        <w:t>Le p</w:t>
      </w:r>
      <w:r w:rsidRPr="006A17FF">
        <w:rPr>
          <w:rFonts w:eastAsia="Times New Roman"/>
          <w:i/>
          <w:lang w:val="fr-FR"/>
        </w:rPr>
        <w:t>aragraphe 8.3</w:t>
      </w:r>
      <w:r w:rsidRPr="006A17FF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devient le </w:t>
      </w:r>
      <w:r w:rsidRPr="006A17FF">
        <w:rPr>
          <w:rFonts w:eastAsia="Times New Roman"/>
          <w:lang w:val="fr-FR"/>
        </w:rPr>
        <w:t>paragraphe 8.1.2.</w:t>
      </w:r>
    </w:p>
    <w:p w:rsidR="00DB23F9" w:rsidRPr="006A17FF" w:rsidRDefault="00DB23F9" w:rsidP="00DB23F9">
      <w:pPr>
        <w:spacing w:after="120"/>
        <w:ind w:left="1134" w:right="1134"/>
        <w:jc w:val="both"/>
        <w:rPr>
          <w:rFonts w:eastAsia="Times New Roman"/>
          <w:lang w:val="fr-FR"/>
        </w:rPr>
      </w:pPr>
      <w:r>
        <w:rPr>
          <w:rFonts w:eastAsia="Times New Roman"/>
          <w:i/>
          <w:lang w:val="fr-FR"/>
        </w:rPr>
        <w:t>Le p</w:t>
      </w:r>
      <w:r w:rsidRPr="006A17FF">
        <w:rPr>
          <w:rFonts w:eastAsia="Times New Roman"/>
          <w:i/>
          <w:lang w:val="fr-FR"/>
        </w:rPr>
        <w:t>aragraphe 8.4</w:t>
      </w:r>
      <w:r w:rsidRPr="006A17FF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devient le </w:t>
      </w:r>
      <w:r w:rsidRPr="006A17FF">
        <w:rPr>
          <w:rFonts w:eastAsia="Times New Roman"/>
          <w:lang w:val="fr-FR"/>
        </w:rPr>
        <w:t>paragraphe 8.2.</w:t>
      </w:r>
    </w:p>
    <w:p w:rsidR="00DB23F9" w:rsidRPr="006A17FF" w:rsidRDefault="00DB23F9" w:rsidP="00DB23F9">
      <w:pPr>
        <w:spacing w:after="120"/>
        <w:ind w:left="1134" w:right="1134"/>
        <w:jc w:val="both"/>
        <w:rPr>
          <w:rFonts w:eastAsia="Times New Roman"/>
          <w:i/>
          <w:lang w:val="fr-FR"/>
        </w:rPr>
      </w:pPr>
      <w:r w:rsidRPr="006A17FF">
        <w:rPr>
          <w:rFonts w:eastAsia="Times New Roman"/>
          <w:i/>
          <w:lang w:val="fr-FR"/>
        </w:rPr>
        <w:t>Annexe 6</w:t>
      </w:r>
    </w:p>
    <w:p w:rsidR="00DB23F9" w:rsidRPr="006A17FF" w:rsidRDefault="00DB23F9" w:rsidP="00DB23F9">
      <w:pPr>
        <w:spacing w:after="120"/>
        <w:ind w:left="1134" w:right="1134"/>
        <w:jc w:val="both"/>
        <w:rPr>
          <w:rFonts w:eastAsia="Times New Roman"/>
          <w:i/>
          <w:lang w:val="fr-FR"/>
        </w:rPr>
      </w:pPr>
      <w:r w:rsidRPr="006A17FF">
        <w:rPr>
          <w:rFonts w:eastAsia="Times New Roman"/>
          <w:i/>
          <w:lang w:val="fr-FR"/>
        </w:rPr>
        <w:t>Paragraphes 2 à 6</w:t>
      </w:r>
      <w:r w:rsidRPr="006A17FF">
        <w:rPr>
          <w:rFonts w:eastAsia="Times New Roman"/>
          <w:lang w:val="fr-FR"/>
        </w:rPr>
        <w:t xml:space="preserve">, </w:t>
      </w:r>
      <w:r>
        <w:rPr>
          <w:rFonts w:eastAsia="Times New Roman"/>
          <w:lang w:val="fr-FR"/>
        </w:rPr>
        <w:t>lire</w:t>
      </w:r>
      <w:r w:rsidRPr="006A17FF">
        <w:rPr>
          <w:rFonts w:eastAsia="Times New Roman"/>
          <w:lang w:val="fr-FR"/>
        </w:rPr>
        <w:t> :</w:t>
      </w:r>
    </w:p>
    <w:p w:rsidR="00DB23F9" w:rsidRPr="006A17FF" w:rsidRDefault="00DB23F9" w:rsidP="00DB23F9">
      <w:pPr>
        <w:spacing w:after="120"/>
        <w:ind w:left="1701" w:right="1134" w:hanging="567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« 2.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>Premier prélèvement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Lors du premier prélèvement, quatre dispositifs catadioptriques sont choisis au hasard. La lettre A est apposée sur le premier et le troisième, et la lettre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B sur le deuxième et le quatrième.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2.1</w:t>
      </w:r>
      <w:r w:rsidRPr="006A17FF">
        <w:rPr>
          <w:rFonts w:eastAsia="Times New Roman"/>
          <w:lang w:val="fr-FR"/>
        </w:rPr>
        <w:tab/>
        <w:t>La conformité des dispositifs catadioptriques de série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contestée si les écarts mesurés sur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un quelconque des spécimens des échantillons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A et B (pour les quatre dispositifs catadioptriques) ne sont pas supérieurs à 20 %.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Dans le cas où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des deux dispositifs catadioptriques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échantillon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A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supérieur à 0 %, il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nécessaire de poursuivre les mesures.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2.2</w:t>
      </w:r>
      <w:r w:rsidRPr="006A17FF">
        <w:rPr>
          <w:rFonts w:eastAsia="Times New Roman"/>
          <w:lang w:val="fr-FR"/>
        </w:rPr>
        <w:tab/>
        <w:t>La conformité des dispositifs catadioptriques de série est contestée si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mesuré sur au moins un spécimen des échantillons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A ou B est supérieur à 20 %.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Le fabricant est prié de mettre sa production en conformité avec les prescriptions et un nouveau prélèvement est effectué, comme indiqué au paragraphe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3 ci-dessous, dans les deux mois qui suivent la notification. Les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échantillons A et B sont conservés par le service technique jusqu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à la fin du processus de mise en conformité de la production.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3.</w:t>
      </w:r>
      <w:r w:rsidRPr="006A17FF">
        <w:rPr>
          <w:rFonts w:eastAsia="Times New Roman"/>
          <w:lang w:val="fr-FR"/>
        </w:rPr>
        <w:tab/>
        <w:t>Premier nouveau prélèvement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Un échantillon de quatre dispositifs catadioptriques est choisi au hasard parmi le stock produit après mise en conformité.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La lettre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C est apposée sur le premier et le troisième, la lettre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 xml:space="preserve">D sur le deuxième et le quatrième. 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lastRenderedPageBreak/>
        <w:t>3.1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>La conformité des dispositifs catadioptriques de série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contestée si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mesuré sur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un des spécimens des échantillons C et D (les quatre dispositifs catadioptriques)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supérieur à 20 %.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Dans le cas où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mesuré sur les deux dispositifs catadioptriques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échantillon C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supérieur à 0 %, il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nécessaire de poursuivre les mesures.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3.2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>La conformité des dispositifs catadioptriques de série est contestée si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mesuré sur au moins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3.2.1</w:t>
      </w:r>
      <w:r w:rsidRPr="006A17FF">
        <w:rPr>
          <w:rFonts w:eastAsia="Times New Roman"/>
          <w:lang w:val="fr-FR"/>
        </w:rPr>
        <w:tab/>
      </w:r>
      <w:r w:rsidR="00F4655B">
        <w:rPr>
          <w:rFonts w:eastAsia="Times New Roman"/>
          <w:lang w:val="fr-FR"/>
        </w:rPr>
        <w:t>U</w:t>
      </w:r>
      <w:r w:rsidRPr="006A17FF">
        <w:rPr>
          <w:rFonts w:eastAsia="Times New Roman"/>
          <w:lang w:val="fr-FR"/>
        </w:rPr>
        <w:t>n spécimen des échantillons C ou D est supérieur à 20 % mais que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sur tous les spécimens de ces échantillons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supérieur à 30 %.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Le fabricant est prié à nouveau de mettre sa production en conformité avec les prescriptions.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Un deuxième nouveau prélèvement est effectué, conformément au paragraphe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4 ci-dessous, dans les deux mois qui suivent la notification. Les échantillons C et D sont conservés par le service technique jusqu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à la fin du processus de contrôle de la conformité.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3.2.2</w:t>
      </w:r>
      <w:r w:rsidRPr="006A17FF">
        <w:rPr>
          <w:rFonts w:eastAsia="Times New Roman"/>
          <w:lang w:val="fr-FR"/>
        </w:rPr>
        <w:tab/>
        <w:t>La valeur mesurée sur un spécimen des échantillons C et D est supérieure à 30 %.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Dans ce cas,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homologation est retirée et le paragraphe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5 ci-dessous s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applique.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4.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>Deuxième nouveau prélèvement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Un échantillon de quatre dispositifs catadioptriques est choisi au hasard parmi le stock fabriqué après la mise en conformité.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La lettre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E est apposée sur le premier et le troisième et la lettre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F sur le deuxième et le quatrième.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4.1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>La conformité des dispositifs catadioptriques de série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contestée si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mesuré sur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un des spécimens des échantillons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E et F (les quatre dispositifs catadioptriques)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supérieur à 20 %. Si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des deux dispositifs catadioptriques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échantillon E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supérieur à 0 % il n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est pas nécessaire de poursuivre les mesures.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4.2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>La conformité des dispositifs catadioptriques de série est contestée si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écart mesuré sur au moins un spécimen des échantillons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E ou F est supérieur à 20 %.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Dans ce cas,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homologation est retirée et le paragraphe 5 ci-après s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applique.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5.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>Retrait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homologation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homologation est retirée conformément au paragraphe</w:t>
      </w:r>
      <w:r w:rsidR="00F4655B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9 du présent Règlement.</w:t>
      </w:r>
    </w:p>
    <w:p w:rsidR="00DB23F9" w:rsidRPr="006A17FF" w:rsidRDefault="00DB23F9" w:rsidP="00DB23F9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>6.</w:t>
      </w:r>
      <w:r w:rsidRPr="006A17FF">
        <w:rPr>
          <w:rFonts w:eastAsia="Times New Roman"/>
          <w:lang w:val="fr-FR"/>
        </w:rPr>
        <w:tab/>
      </w:r>
      <w:r w:rsidRPr="006A17FF">
        <w:rPr>
          <w:rFonts w:eastAsia="Times New Roman"/>
          <w:lang w:val="fr-FR"/>
        </w:rPr>
        <w:tab/>
        <w:t>Résistance à la pénétration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eau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En ce qui concerne la vérification de résistance à la pénétration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eau, la procédure suivante s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applique :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un des dispositifs catadioptriques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échantillon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A, après la procédure de prélèvement décrite au paragraphe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2 de la présente annexe, est soumis à la procédure décrite au paragraphe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1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annexe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8 respectivement et au paragraphe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3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annexe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14 pour les dispositifs de la classe IVA.</w:t>
      </w:r>
    </w:p>
    <w:p w:rsidR="00DB23F9" w:rsidRPr="006A17FF" w:rsidRDefault="00DB23F9" w:rsidP="00DB23F9">
      <w:pPr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tab/>
        <w:t>Le dispositif catadioptrique est considéré comme satisfaisant si les résultats des essais sont favorables.</w:t>
      </w:r>
    </w:p>
    <w:p w:rsidR="00DB23F9" w:rsidRPr="006A17FF" w:rsidRDefault="00DB23F9" w:rsidP="00304C3D">
      <w:pPr>
        <w:keepNext/>
        <w:spacing w:after="120"/>
        <w:ind w:left="2268" w:right="1134"/>
        <w:jc w:val="both"/>
        <w:rPr>
          <w:rFonts w:eastAsia="Times New Roman"/>
          <w:lang w:val="fr-FR"/>
        </w:rPr>
      </w:pPr>
      <w:r w:rsidRPr="006A17FF">
        <w:rPr>
          <w:rFonts w:eastAsia="Times New Roman"/>
          <w:lang w:val="fr-FR"/>
        </w:rPr>
        <w:lastRenderedPageBreak/>
        <w:tab/>
        <w:t>Toutefois, si les essais sont défavorables pour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échantillon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A, les deux dispositifs catadioptriques de l</w:t>
      </w:r>
      <w:r>
        <w:rPr>
          <w:rFonts w:eastAsia="Times New Roman"/>
          <w:lang w:val="fr-FR"/>
        </w:rPr>
        <w:t>’</w:t>
      </w:r>
      <w:r w:rsidRPr="006A17FF">
        <w:rPr>
          <w:rFonts w:eastAsia="Times New Roman"/>
          <w:lang w:val="fr-FR"/>
        </w:rPr>
        <w:t>échantillon</w:t>
      </w:r>
      <w:r w:rsidR="00BA4F27">
        <w:rPr>
          <w:rFonts w:eastAsia="Times New Roman"/>
          <w:lang w:val="fr-FR"/>
        </w:rPr>
        <w:t> </w:t>
      </w:r>
      <w:r w:rsidRPr="006A17FF">
        <w:rPr>
          <w:rFonts w:eastAsia="Times New Roman"/>
          <w:lang w:val="fr-FR"/>
        </w:rPr>
        <w:t>B sont soumis aux mêmes procédures et chacun doit passer les essais avec les résultats favorables. ».</w:t>
      </w:r>
    </w:p>
    <w:p w:rsidR="005F0207" w:rsidRDefault="00DB23F9" w:rsidP="00DB23F9">
      <w:pPr>
        <w:pStyle w:val="SingleTxtG"/>
        <w:rPr>
          <w:lang w:val="fr-FR"/>
        </w:rPr>
      </w:pPr>
      <w:r w:rsidRPr="006A17FF">
        <w:rPr>
          <w:i/>
          <w:lang w:val="fr-FR"/>
        </w:rPr>
        <w:t>Figure 1</w:t>
      </w:r>
      <w:r w:rsidRPr="006A17FF">
        <w:rPr>
          <w:lang w:val="fr-FR"/>
        </w:rPr>
        <w:t>, supprimer.</w:t>
      </w:r>
    </w:p>
    <w:p w:rsidR="00DB23F9" w:rsidRPr="00DB23F9" w:rsidRDefault="00DB23F9" w:rsidP="00DB23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3F9" w:rsidRPr="00DB23F9" w:rsidSect="008E43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1B" w:rsidRDefault="00877E1B"/>
  </w:endnote>
  <w:endnote w:type="continuationSeparator" w:id="0">
    <w:p w:rsidR="00877E1B" w:rsidRDefault="00877E1B">
      <w:pPr>
        <w:pStyle w:val="Footer"/>
      </w:pPr>
    </w:p>
  </w:endnote>
  <w:endnote w:type="continuationNotice" w:id="1">
    <w:p w:rsidR="00877E1B" w:rsidRPr="00C451B9" w:rsidRDefault="00877E1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C4" w:rsidRPr="008E43C4" w:rsidRDefault="008E43C4" w:rsidP="008E43C4">
    <w:pPr>
      <w:pStyle w:val="Footer"/>
      <w:tabs>
        <w:tab w:val="right" w:pos="9638"/>
      </w:tabs>
    </w:pPr>
    <w:r w:rsidRPr="008E43C4">
      <w:rPr>
        <w:b/>
        <w:sz w:val="18"/>
      </w:rPr>
      <w:fldChar w:fldCharType="begin"/>
    </w:r>
    <w:r w:rsidRPr="008E43C4">
      <w:rPr>
        <w:b/>
        <w:sz w:val="18"/>
      </w:rPr>
      <w:instrText xml:space="preserve"> PAGE  \* MERGEFORMAT </w:instrText>
    </w:r>
    <w:r w:rsidRPr="008E43C4">
      <w:rPr>
        <w:b/>
        <w:sz w:val="18"/>
      </w:rPr>
      <w:fldChar w:fldCharType="separate"/>
    </w:r>
    <w:r w:rsidR="00DA441B">
      <w:rPr>
        <w:b/>
        <w:noProof/>
        <w:sz w:val="18"/>
      </w:rPr>
      <w:t>4</w:t>
    </w:r>
    <w:r w:rsidRPr="008E43C4">
      <w:rPr>
        <w:b/>
        <w:sz w:val="18"/>
      </w:rPr>
      <w:fldChar w:fldCharType="end"/>
    </w:r>
    <w:r>
      <w:rPr>
        <w:b/>
        <w:sz w:val="18"/>
      </w:rPr>
      <w:tab/>
    </w:r>
    <w:r>
      <w:t>GE.17-21625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C4" w:rsidRPr="008E43C4" w:rsidRDefault="008E43C4" w:rsidP="008E43C4">
    <w:pPr>
      <w:pStyle w:val="Footer"/>
      <w:tabs>
        <w:tab w:val="right" w:pos="9638"/>
      </w:tabs>
      <w:rPr>
        <w:b/>
        <w:sz w:val="18"/>
      </w:rPr>
    </w:pPr>
    <w:r>
      <w:t>GE.17-21625</w:t>
    </w:r>
    <w:r>
      <w:tab/>
    </w:r>
    <w:r w:rsidRPr="008E43C4">
      <w:rPr>
        <w:b/>
        <w:sz w:val="18"/>
      </w:rPr>
      <w:fldChar w:fldCharType="begin"/>
    </w:r>
    <w:r w:rsidRPr="008E43C4">
      <w:rPr>
        <w:b/>
        <w:sz w:val="18"/>
      </w:rPr>
      <w:instrText xml:space="preserve"> PAGE  \* MERGEFORMAT </w:instrText>
    </w:r>
    <w:r w:rsidRPr="008E43C4">
      <w:rPr>
        <w:b/>
        <w:sz w:val="18"/>
      </w:rPr>
      <w:fldChar w:fldCharType="separate"/>
    </w:r>
    <w:r w:rsidR="00DA441B">
      <w:rPr>
        <w:b/>
        <w:noProof/>
        <w:sz w:val="18"/>
      </w:rPr>
      <w:t>3</w:t>
    </w:r>
    <w:r w:rsidRPr="008E43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8E43C4" w:rsidRDefault="008E43C4" w:rsidP="008E43C4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21625  (</w:t>
    </w:r>
    <w:proofErr w:type="gramEnd"/>
    <w:r>
      <w:rPr>
        <w:sz w:val="20"/>
      </w:rPr>
      <w:t>F)</w:t>
    </w:r>
    <w:r w:rsidR="0012758B">
      <w:rPr>
        <w:sz w:val="20"/>
      </w:rPr>
      <w:t xml:space="preserve">    090418    160418</w:t>
    </w:r>
    <w:r>
      <w:rPr>
        <w:sz w:val="20"/>
      </w:rPr>
      <w:br/>
    </w:r>
    <w:r w:rsidRPr="008E43C4">
      <w:rPr>
        <w:rFonts w:ascii="C39T30Lfz" w:hAnsi="C39T30Lfz"/>
        <w:sz w:val="56"/>
      </w:rPr>
      <w:t></w:t>
    </w:r>
    <w:r w:rsidRPr="008E43C4">
      <w:rPr>
        <w:rFonts w:ascii="C39T30Lfz" w:hAnsi="C39T30Lfz"/>
        <w:sz w:val="56"/>
      </w:rPr>
      <w:t></w:t>
    </w:r>
    <w:r w:rsidRPr="008E43C4">
      <w:rPr>
        <w:rFonts w:ascii="C39T30Lfz" w:hAnsi="C39T30Lfz"/>
        <w:sz w:val="56"/>
      </w:rPr>
      <w:t></w:t>
    </w:r>
    <w:r w:rsidRPr="008E43C4">
      <w:rPr>
        <w:rFonts w:ascii="C39T30Lfz" w:hAnsi="C39T30Lfz"/>
        <w:sz w:val="56"/>
      </w:rPr>
      <w:t></w:t>
    </w:r>
    <w:r w:rsidRPr="008E43C4">
      <w:rPr>
        <w:rFonts w:ascii="C39T30Lfz" w:hAnsi="C39T30Lfz"/>
        <w:sz w:val="56"/>
      </w:rPr>
      <w:t></w:t>
    </w:r>
    <w:r w:rsidRPr="008E43C4">
      <w:rPr>
        <w:rFonts w:ascii="C39T30Lfz" w:hAnsi="C39T30Lfz"/>
        <w:sz w:val="56"/>
      </w:rPr>
      <w:t></w:t>
    </w:r>
    <w:r w:rsidRPr="008E43C4">
      <w:rPr>
        <w:rFonts w:ascii="C39T30Lfz" w:hAnsi="C39T30Lfz"/>
        <w:sz w:val="56"/>
      </w:rPr>
      <w:t></w:t>
    </w:r>
    <w:r w:rsidRPr="008E43C4">
      <w:rPr>
        <w:rFonts w:ascii="C39T30Lfz" w:hAnsi="C39T30Lfz"/>
        <w:sz w:val="56"/>
      </w:rPr>
      <w:t></w:t>
    </w:r>
    <w:r w:rsidRPr="008E43C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2/Rev.4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2/Rev.4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1B" w:rsidRPr="00D27D5E" w:rsidRDefault="00877E1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7E1B" w:rsidRPr="00D171D4" w:rsidRDefault="00877E1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77E1B" w:rsidRPr="00C451B9" w:rsidRDefault="00877E1B" w:rsidP="00C451B9">
      <w:pPr>
        <w:spacing w:line="240" w:lineRule="auto"/>
        <w:rPr>
          <w:sz w:val="2"/>
          <w:szCs w:val="2"/>
        </w:rPr>
      </w:pPr>
    </w:p>
  </w:footnote>
  <w:footnote w:id="2">
    <w:p w:rsidR="00BC40FC" w:rsidRPr="0079237A" w:rsidRDefault="00BC40FC" w:rsidP="00BC40FC">
      <w:pPr>
        <w:pStyle w:val="FootnoteText"/>
      </w:pPr>
      <w:r>
        <w:tab/>
      </w:r>
      <w:r w:rsidRPr="00DB23F9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79237A">
        <w:t>Anciens titres de l’Accord :</w:t>
      </w:r>
    </w:p>
    <w:p w:rsidR="00BC40FC" w:rsidRPr="0079237A" w:rsidRDefault="00BC40FC" w:rsidP="00BC40FC">
      <w:pPr>
        <w:pStyle w:val="FootnoteText"/>
      </w:pPr>
      <w:r w:rsidRPr="0079237A">
        <w:tab/>
      </w:r>
      <w:r w:rsidRPr="0079237A">
        <w:tab/>
        <w:t>Accord concernant l’adoption de conditions uniformes d’homologation et la reconnaissance réciproque de l’homologation des équipements et pièces de véhicules à moteur, en date, à Genève, du</w:t>
      </w:r>
      <w:r w:rsidR="00D231D5">
        <w:t> </w:t>
      </w:r>
      <w:r w:rsidRPr="0079237A">
        <w:t>20 mars 1958 (version originale)</w:t>
      </w:r>
      <w:r w:rsidR="00D231D5">
        <w:t> </w:t>
      </w:r>
      <w:r w:rsidRPr="0079237A">
        <w:t>;</w:t>
      </w:r>
    </w:p>
    <w:p w:rsidR="00BC40FC" w:rsidRDefault="00BC40FC" w:rsidP="00BC40FC">
      <w:pPr>
        <w:pStyle w:val="FootnoteText"/>
      </w:pPr>
      <w:r w:rsidRPr="0079237A">
        <w:tab/>
      </w:r>
      <w:r w:rsidRPr="0079237A">
        <w:tab/>
        <w:t>Accord concernant l’adoption de prescriptions techniques uniformes applicables aux véhicules à</w:t>
      </w:r>
      <w:r w:rsidR="004746D7">
        <w:t> </w:t>
      </w:r>
      <w:r w:rsidRPr="0079237A">
        <w:t>roues, aux équipements et aux pièces susceptibles d’être montés ou utilisés sur un véhicule à roues et les conditions de reconnaissance réciproque des homologations délivrées conformément à ces prescriptions, en date, à Genève, du 5 octobre 1995 (Révision 2)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C4" w:rsidRPr="008E43C4" w:rsidRDefault="002E54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7768A">
      <w:t>E/ECE/324/Add.2/Rev.4/Amend.3</w:t>
    </w:r>
    <w:r>
      <w:fldChar w:fldCharType="end"/>
    </w:r>
    <w:r w:rsidR="008E43C4">
      <w:br/>
    </w:r>
    <w:r>
      <w:fldChar w:fldCharType="begin"/>
    </w:r>
    <w:r>
      <w:instrText xml:space="preserve"> KEYWORDS  \* MERGEFORMAT </w:instrText>
    </w:r>
    <w:r>
      <w:fldChar w:fldCharType="separate"/>
    </w:r>
    <w:r w:rsidR="0017768A">
      <w:t>E/ECE/TRANS/505/Add.2/Rev.4/Amend.3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C4" w:rsidRPr="008E43C4" w:rsidRDefault="002E5473" w:rsidP="008E43C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7768A">
      <w:t>E/ECE/324/Add.2/Rev.4/Amend.3</w:t>
    </w:r>
    <w:r>
      <w:fldChar w:fldCharType="end"/>
    </w:r>
    <w:r w:rsidR="008E43C4">
      <w:br/>
    </w:r>
    <w:r>
      <w:fldChar w:fldCharType="begin"/>
    </w:r>
    <w:r>
      <w:instrText xml:space="preserve"> KEYWORDS  </w:instrText>
    </w:r>
    <w:r>
      <w:instrText xml:space="preserve">\* MERGEFORMAT </w:instrText>
    </w:r>
    <w:r>
      <w:fldChar w:fldCharType="separate"/>
    </w:r>
    <w:r w:rsidR="0017768A">
      <w:t>E/ECE/TRANS/505/Add.2/Rev.4/Amend.3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1B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2758B"/>
    <w:rsid w:val="001358D9"/>
    <w:rsid w:val="00141E26"/>
    <w:rsid w:val="00143EB9"/>
    <w:rsid w:val="00152C5A"/>
    <w:rsid w:val="0015389C"/>
    <w:rsid w:val="00160540"/>
    <w:rsid w:val="00166C68"/>
    <w:rsid w:val="00174814"/>
    <w:rsid w:val="0017768A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097C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E5473"/>
    <w:rsid w:val="002F0C48"/>
    <w:rsid w:val="003016B7"/>
    <w:rsid w:val="00304C3D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46D7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A87"/>
    <w:rsid w:val="00785F1F"/>
    <w:rsid w:val="007869B6"/>
    <w:rsid w:val="00790B9D"/>
    <w:rsid w:val="00796316"/>
    <w:rsid w:val="007A1C58"/>
    <w:rsid w:val="007A20D2"/>
    <w:rsid w:val="007A79CD"/>
    <w:rsid w:val="007C16EA"/>
    <w:rsid w:val="007C2598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7E1B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3C4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4F27"/>
    <w:rsid w:val="00BC3F20"/>
    <w:rsid w:val="00BC40FC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31D5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441B"/>
    <w:rsid w:val="00DA5E1D"/>
    <w:rsid w:val="00DB01CD"/>
    <w:rsid w:val="00DB23F9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375D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049F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655B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DA439FB3-5905-4987-A4F4-2FFF78C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E/ECE/324/Add.2/Rev.4/Amend.3</vt:lpstr>
      <vt:lpstr>E/ECE/324/Add.2/Rev.4/Amend.3</vt:lpstr>
    </vt:vector>
  </TitlesOfParts>
  <Company>CSD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E/ECE/324/Add.2/Rev.4/Amend.3</dc:title>
  <dc:creator>Corinne ROBERT</dc:creator>
  <cp:keywords>E/ECE/TRANS/505/Add.2/Rev.4/Amend.3</cp:keywords>
  <cp:lastModifiedBy>Olivia Braud</cp:lastModifiedBy>
  <cp:revision>2</cp:revision>
  <cp:lastPrinted>2018-04-13T14:10:00Z</cp:lastPrinted>
  <dcterms:created xsi:type="dcterms:W3CDTF">2018-08-14T10:03:00Z</dcterms:created>
  <dcterms:modified xsi:type="dcterms:W3CDTF">2018-08-14T10:03:00Z</dcterms:modified>
</cp:coreProperties>
</file>