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F0E8D" w:rsidTr="00457676">
        <w:trPr>
          <w:trHeight w:hRule="exact" w:val="851"/>
        </w:trPr>
        <w:tc>
          <w:tcPr>
            <w:tcW w:w="9639" w:type="dxa"/>
            <w:gridSpan w:val="2"/>
            <w:tcBorders>
              <w:bottom w:val="single" w:sz="4" w:space="0" w:color="auto"/>
            </w:tcBorders>
            <w:shd w:val="clear" w:color="auto" w:fill="auto"/>
            <w:vAlign w:val="bottom"/>
          </w:tcPr>
          <w:p w:rsidR="009A1826" w:rsidRPr="009F0E8D" w:rsidRDefault="009A1826" w:rsidP="009A1826">
            <w:pPr>
              <w:jc w:val="right"/>
              <w:rPr>
                <w:lang w:val="en-GB"/>
              </w:rPr>
            </w:pPr>
            <w:bookmarkStart w:id="0" w:name="_GoBack"/>
            <w:bookmarkEnd w:id="0"/>
            <w:r w:rsidRPr="009F0E8D">
              <w:rPr>
                <w:sz w:val="40"/>
                <w:lang w:val="en-GB"/>
              </w:rPr>
              <w:t>E</w:t>
            </w:r>
            <w:r w:rsidRPr="009F0E8D">
              <w:rPr>
                <w:lang w:val="en-GB"/>
              </w:rPr>
              <w:t>/ECE/324/Rev.2/Add.124/Rev.2/Amend.1−</w:t>
            </w:r>
            <w:r w:rsidRPr="009F0E8D">
              <w:rPr>
                <w:sz w:val="40"/>
                <w:lang w:val="en-GB"/>
              </w:rPr>
              <w:t>E</w:t>
            </w:r>
            <w:r w:rsidRPr="009F0E8D">
              <w:rPr>
                <w:lang w:val="en-GB"/>
              </w:rPr>
              <w:t>/ECE/TRANS/505/Rev.2/Add.124/Rev.2/Amend.1</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9F0E8D"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9A1826" w:rsidP="00457676">
            <w:pPr>
              <w:spacing w:before="480" w:line="240" w:lineRule="exact"/>
            </w:pPr>
            <w:r>
              <w:t>28 octobre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9A1826">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9A1826">
      <w:pPr>
        <w:pStyle w:val="HChG"/>
        <w:spacing w:before="320" w:after="200"/>
      </w:pPr>
      <w:r>
        <w:tab/>
      </w:r>
      <w:r>
        <w:tab/>
      </w:r>
      <w:r w:rsidR="00421A10" w:rsidRPr="006549FF">
        <w:t xml:space="preserve">Additif </w:t>
      </w:r>
      <w:r w:rsidR="009A1826">
        <w:t>124 </w:t>
      </w:r>
      <w:r w:rsidR="00421A10" w:rsidRPr="006549FF">
        <w:t>: Règlement</w:t>
      </w:r>
      <w:r w:rsidR="00421A10">
        <w:t xml:space="preserve"> </w:t>
      </w:r>
      <w:r w:rsidR="00421A10" w:rsidRPr="00B371BF">
        <w:t>n</w:t>
      </w:r>
      <w:r w:rsidR="00421A10" w:rsidRPr="00B371BF">
        <w:rPr>
          <w:vertAlign w:val="superscript"/>
        </w:rPr>
        <w:t>o</w:t>
      </w:r>
      <w:r w:rsidR="00421A10">
        <w:t> </w:t>
      </w:r>
      <w:r w:rsidR="009A1826">
        <w:t>125</w:t>
      </w:r>
    </w:p>
    <w:p w:rsidR="00421A10" w:rsidRPr="006549FF" w:rsidRDefault="0029791D" w:rsidP="009A1826">
      <w:pPr>
        <w:pStyle w:val="H1G"/>
        <w:spacing w:before="320" w:after="200"/>
      </w:pPr>
      <w:r>
        <w:tab/>
      </w:r>
      <w:r>
        <w:tab/>
      </w:r>
      <w:r w:rsidR="00421A10" w:rsidRPr="006549FF">
        <w:t xml:space="preserve">Révision </w:t>
      </w:r>
      <w:r w:rsidR="009A1826">
        <w:t>2 − Amendement 1</w:t>
      </w:r>
    </w:p>
    <w:p w:rsidR="00421A10" w:rsidRPr="004A7E44" w:rsidRDefault="009A1826" w:rsidP="0029791D">
      <w:pPr>
        <w:pStyle w:val="SingleTxtG"/>
        <w:spacing w:after="0"/>
      </w:pPr>
      <w:r>
        <w:rPr>
          <w:lang w:val="fr-FR"/>
        </w:rPr>
        <w:t>Complément 1 à la série 1 d’amendements au Règlement − Date d’entrée en vigueur : 8 octobre 2016</w:t>
      </w:r>
    </w:p>
    <w:p w:rsidR="00421A10" w:rsidRDefault="0029791D" w:rsidP="009A1826">
      <w:pPr>
        <w:pStyle w:val="H1G"/>
        <w:keepNext w:val="0"/>
        <w:spacing w:before="320" w:after="200" w:line="260" w:lineRule="exact"/>
      </w:pPr>
      <w:r>
        <w:tab/>
      </w:r>
      <w:r>
        <w:tab/>
      </w:r>
      <w:r w:rsidR="009A1826">
        <w:rPr>
          <w:lang w:val="fr-FR"/>
        </w:rPr>
        <w:t xml:space="preserve">Prescriptions uniformes concernant l'homologation des véhicules à moteur en ce qui concerne le champ de vision du conducteur des véhicules à </w:t>
      </w:r>
      <w:r w:rsidR="009A1826" w:rsidRPr="009F5D30">
        <w:rPr>
          <w:lang w:val="fr-FR"/>
        </w:rPr>
        <w:t>moteur</w:t>
      </w:r>
    </w:p>
    <w:p w:rsidR="009A1826" w:rsidRPr="003858AF" w:rsidRDefault="009A1826" w:rsidP="009A1826">
      <w:pPr>
        <w:pStyle w:val="SingleTxtG"/>
        <w:spacing w:after="0" w:line="230" w:lineRule="atLeast"/>
        <w:rPr>
          <w:spacing w:val="-4"/>
          <w:lang w:val="fr-FR"/>
        </w:rPr>
      </w:pPr>
      <w:r>
        <w:rPr>
          <w:lang w:val="fr-FR"/>
        </w:rPr>
        <w:t xml:space="preserve">Le présent document est communiqué uniquement à titre d’information. Le texte </w:t>
      </w:r>
      <w:r w:rsidRPr="003858AF">
        <w:rPr>
          <w:spacing w:val="-4"/>
          <w:lang w:val="fr-FR"/>
        </w:rPr>
        <w:t>authentique</w:t>
      </w:r>
      <w:r w:rsidR="003858AF" w:rsidRPr="003858AF">
        <w:rPr>
          <w:spacing w:val="-4"/>
          <w:lang w:val="fr-FR"/>
        </w:rPr>
        <w:t xml:space="preserve">, juridiquement </w:t>
      </w:r>
      <w:r w:rsidRPr="003858AF">
        <w:rPr>
          <w:spacing w:val="-4"/>
          <w:lang w:val="fr-FR"/>
        </w:rPr>
        <w:t>contraignant</w:t>
      </w:r>
      <w:r w:rsidR="003858AF" w:rsidRPr="003858AF">
        <w:rPr>
          <w:spacing w:val="-4"/>
          <w:lang w:val="fr-FR"/>
        </w:rPr>
        <w:t>,</w:t>
      </w:r>
      <w:r w:rsidRPr="003858AF">
        <w:rPr>
          <w:spacing w:val="-4"/>
          <w:lang w:val="fr-FR"/>
        </w:rPr>
        <w:t xml:space="preserve"> est </w:t>
      </w:r>
      <w:r w:rsidR="003858AF" w:rsidRPr="003858AF">
        <w:rPr>
          <w:spacing w:val="-4"/>
          <w:lang w:val="fr-FR"/>
        </w:rPr>
        <w:t>celui du</w:t>
      </w:r>
      <w:r w:rsidRPr="003858AF">
        <w:rPr>
          <w:spacing w:val="-4"/>
          <w:lang w:val="fr-FR"/>
        </w:rPr>
        <w:t xml:space="preserve"> document ECE/TRANS/WP.29/2016/15.</w:t>
      </w:r>
    </w:p>
    <w:p w:rsidR="009A1826" w:rsidRPr="009F0E8D" w:rsidRDefault="009A1826" w:rsidP="009A1826">
      <w:pPr>
        <w:pStyle w:val="SingleTxtG"/>
      </w:pPr>
      <w:r>
        <w:rPr>
          <w:lang w:val="fr-FR"/>
        </w:rPr>
        <w:br w:type="page"/>
      </w:r>
      <w:r w:rsidRPr="009A1826">
        <w:rPr>
          <w:i/>
          <w:iCs/>
          <w:lang w:val="fr-FR"/>
        </w:rPr>
        <w:lastRenderedPageBreak/>
        <w:t>Paragraphe 5.1.3</w:t>
      </w:r>
      <w:r w:rsidRPr="009A1826">
        <w:rPr>
          <w:lang w:val="fr-FR"/>
        </w:rPr>
        <w:t xml:space="preserve">, </w:t>
      </w:r>
      <w:r w:rsidR="003858AF">
        <w:rPr>
          <w:lang w:val="fr-FR"/>
        </w:rPr>
        <w:t>lire</w:t>
      </w:r>
      <w:r>
        <w:rPr>
          <w:lang w:val="fr-FR"/>
        </w:rPr>
        <w:t> </w:t>
      </w:r>
      <w:r w:rsidRPr="009A1826">
        <w:rPr>
          <w:lang w:val="fr-FR"/>
        </w:rPr>
        <w:t>:</w:t>
      </w:r>
    </w:p>
    <w:p w:rsidR="009A1826" w:rsidRPr="009A1826" w:rsidRDefault="009A1826" w:rsidP="009A1826">
      <w:pPr>
        <w:pStyle w:val="SingleTxtG"/>
        <w:ind w:left="2268" w:hanging="1134"/>
        <w:rPr>
          <w:lang w:val="en-GB"/>
        </w:rPr>
      </w:pPr>
      <w:r>
        <w:rPr>
          <w:lang w:val="fr-FR"/>
        </w:rPr>
        <w:t>« </w:t>
      </w:r>
      <w:r w:rsidR="003858AF">
        <w:rPr>
          <w:lang w:val="fr-FR"/>
        </w:rPr>
        <w:t>5.1.3</w:t>
      </w:r>
      <w:r w:rsidRPr="009A1826">
        <w:rPr>
          <w:lang w:val="fr-FR"/>
        </w:rPr>
        <w:tab/>
        <w:t>Sous réserve des dispositions des paragraphes 5.1.3.3 et 5.1.3.4 ci-dessous, à l’exception des obstructions dues aux montants avant, aux montants de séparation des déflecteurs fixes ou mobiles ou des vitres latérales, aux antennes radio extérieures, aux dispositifs de vision indirecte satisfaisant aux prescriptions concernant le champ obligatoire de vision indirecte, ainsi qu’aux essuie-glaces, il ne doit exister (…)</w:t>
      </w:r>
      <w:r>
        <w:rPr>
          <w:lang w:val="fr-FR"/>
        </w:rPr>
        <w:t> ».</w:t>
      </w:r>
    </w:p>
    <w:p w:rsidR="009A1826" w:rsidRPr="009F0E8D" w:rsidRDefault="009A1826" w:rsidP="009A1826">
      <w:pPr>
        <w:pStyle w:val="SingleTxtG"/>
      </w:pPr>
      <w:r w:rsidRPr="009A1826">
        <w:rPr>
          <w:i/>
          <w:iCs/>
          <w:lang w:val="fr-FR"/>
        </w:rPr>
        <w:t>Ajouter les nouveaux paragraphes 5.1.3.1 et</w:t>
      </w:r>
      <w:r w:rsidRPr="009A1826">
        <w:rPr>
          <w:lang w:val="fr-FR"/>
        </w:rPr>
        <w:t xml:space="preserve"> </w:t>
      </w:r>
      <w:r w:rsidRPr="009A1826">
        <w:rPr>
          <w:i/>
          <w:iCs/>
          <w:lang w:val="fr-FR"/>
        </w:rPr>
        <w:t>5.1.3.2</w:t>
      </w:r>
      <w:r w:rsidRPr="009A1826">
        <w:rPr>
          <w:lang w:val="fr-FR"/>
        </w:rPr>
        <w:t>, ainsi libellés (y compris une nouvelle note</w:t>
      </w:r>
      <w:r w:rsidRPr="009A1826">
        <w:rPr>
          <w:vertAlign w:val="superscript"/>
          <w:lang w:val="fr-FR"/>
        </w:rPr>
        <w:t>6</w:t>
      </w:r>
      <w:r w:rsidRPr="009A1826">
        <w:rPr>
          <w:lang w:val="fr-FR"/>
        </w:rPr>
        <w:t>)</w:t>
      </w:r>
      <w:r w:rsidR="003858AF">
        <w:rPr>
          <w:lang w:val="fr-FR"/>
        </w:rPr>
        <w:t> </w:t>
      </w:r>
      <w:r w:rsidRPr="009A1826">
        <w:rPr>
          <w:lang w:val="fr-FR"/>
        </w:rPr>
        <w:t>:</w:t>
      </w:r>
    </w:p>
    <w:p w:rsidR="009A1826" w:rsidRPr="009F0E8D" w:rsidRDefault="003858AF" w:rsidP="003858AF">
      <w:pPr>
        <w:pStyle w:val="SingleTxtG"/>
        <w:ind w:left="2268" w:hanging="1134"/>
      </w:pPr>
      <w:r>
        <w:rPr>
          <w:lang w:val="fr-FR"/>
        </w:rPr>
        <w:t>« 5.1.3.1</w:t>
      </w:r>
      <w:r w:rsidR="009A1826" w:rsidRPr="009A1826">
        <w:rPr>
          <w:lang w:val="fr-FR"/>
        </w:rPr>
        <w:tab/>
        <w:t>En ce qui concerne les systèmes à caméra et moniteur, les exceptions visées au paragraphe 5.1.3 s'appliquent aux caméras, supports et boîtiers inclus, montées à l'extérieur du véhicule</w:t>
      </w:r>
      <w:r w:rsidR="000D67ED">
        <w:rPr>
          <w:lang w:val="fr-FR"/>
        </w:rPr>
        <w:t>.</w:t>
      </w:r>
      <w:r w:rsidR="009A1826" w:rsidRPr="009A1826">
        <w:rPr>
          <w:lang w:val="fr-FR"/>
        </w:rPr>
        <w:t xml:space="preserve"> Ces mêmes exceptions s’appliquent aux systèmes à caméra et moniteur montés en remplacement de rétroviseurs de la classe I.</w:t>
      </w:r>
    </w:p>
    <w:p w:rsidR="003858AF" w:rsidRPr="009F0E8D" w:rsidRDefault="003858AF" w:rsidP="003858AF">
      <w:pPr>
        <w:pStyle w:val="SingleTxtG"/>
        <w:ind w:left="2268" w:hanging="1134"/>
      </w:pPr>
      <w:r>
        <w:rPr>
          <w:lang w:val="fr-FR"/>
        </w:rPr>
        <w:t>5.1.3.2</w:t>
      </w:r>
      <w:r w:rsidR="009A1826" w:rsidRPr="009A1826">
        <w:rPr>
          <w:lang w:val="fr-FR"/>
        </w:rPr>
        <w:tab/>
        <w:t>Dans le cas des véhicules qui sont équipés en série de rétroviseurs homologués pouvant être remplacés par des systèmes à caméra et moniteur, les exceptions visées au paragraphe 5.1.3 s’appliquent aussi aux moniteurs, pourvu</w:t>
      </w:r>
      <w:r w:rsidR="009A1826" w:rsidRPr="009A1826">
        <w:rPr>
          <w:vertAlign w:val="superscript"/>
          <w:lang w:val="fr-FR"/>
        </w:rPr>
        <w:t>6</w:t>
      </w:r>
      <w:r w:rsidR="009A1826" w:rsidRPr="009A1826">
        <w:rPr>
          <w:lang w:val="fr-FR"/>
        </w:rPr>
        <w:t xml:space="preserve">: </w:t>
      </w:r>
    </w:p>
    <w:p w:rsidR="009A1826" w:rsidRPr="009F0E8D" w:rsidRDefault="009A1826" w:rsidP="003858AF">
      <w:pPr>
        <w:pStyle w:val="SingleTxtG"/>
        <w:ind w:left="2835" w:hanging="567"/>
      </w:pPr>
      <w:r w:rsidRPr="009A1826">
        <w:rPr>
          <w:lang w:val="fr-FR"/>
        </w:rPr>
        <w:t>a)</w:t>
      </w:r>
      <w:r w:rsidRPr="009A1826">
        <w:rPr>
          <w:lang w:val="fr-FR"/>
        </w:rPr>
        <w:tab/>
        <w:t>Que l’obstruction directe que ceux-ci causent n’excède pas le degré d’obstruction du rétroviseur remplacé, support et boîtier inclus</w:t>
      </w:r>
      <w:r w:rsidR="003858AF">
        <w:rPr>
          <w:lang w:val="fr-FR"/>
        </w:rPr>
        <w:t> </w:t>
      </w:r>
      <w:r w:rsidRPr="009A1826">
        <w:rPr>
          <w:lang w:val="fr-FR"/>
        </w:rPr>
        <w:t>; et</w:t>
      </w:r>
    </w:p>
    <w:p w:rsidR="009A1826" w:rsidRPr="009F0E8D" w:rsidRDefault="009A1826" w:rsidP="003858AF">
      <w:pPr>
        <w:pStyle w:val="SingleTxtG"/>
        <w:ind w:left="2835" w:hanging="567"/>
      </w:pPr>
      <w:r w:rsidRPr="009A1826">
        <w:rPr>
          <w:lang w:val="fr-FR"/>
        </w:rPr>
        <w:t>b)</w:t>
      </w:r>
      <w:r w:rsidRPr="009A1826">
        <w:rPr>
          <w:lang w:val="fr-FR"/>
        </w:rPr>
        <w:tab/>
        <w:t>Que le moniteur soit monté aussi près que possible de l’emplacement du rétroviseur qu’il remplace.</w:t>
      </w:r>
    </w:p>
    <w:p w:rsidR="009A1826" w:rsidRPr="009F0E8D" w:rsidRDefault="009A1826" w:rsidP="009A1826">
      <w:pPr>
        <w:pStyle w:val="SingleTxtG"/>
        <w:rPr>
          <w:vertAlign w:val="superscript"/>
        </w:rPr>
      </w:pPr>
      <w:r w:rsidRPr="009A1826">
        <w:rPr>
          <w:lang w:val="fr-FR"/>
        </w:rPr>
        <w:t>________________</w:t>
      </w:r>
    </w:p>
    <w:p w:rsidR="009A1826" w:rsidRPr="009F0E8D" w:rsidRDefault="009A1826" w:rsidP="0027569A">
      <w:pPr>
        <w:pStyle w:val="SingleTxtG"/>
        <w:tabs>
          <w:tab w:val="left" w:pos="1560"/>
        </w:tabs>
        <w:ind w:firstLine="170"/>
      </w:pPr>
      <w:r w:rsidRPr="009A1826">
        <w:rPr>
          <w:vertAlign w:val="superscript"/>
          <w:lang w:val="fr-FR"/>
        </w:rPr>
        <w:t>6</w:t>
      </w:r>
      <w:r w:rsidR="0027569A">
        <w:rPr>
          <w:vertAlign w:val="superscript"/>
          <w:lang w:val="fr-FR"/>
        </w:rPr>
        <w:tab/>
      </w:r>
      <w:r w:rsidRPr="009A1826">
        <w:rPr>
          <w:lang w:val="fr-FR"/>
        </w:rPr>
        <w:t>Voir, dans le rapport publié sous la cote ECE/TRANS/WP.29/GRSG/88, le paragraphe 46 sur la durée d’application du présent paragraphe.</w:t>
      </w:r>
      <w:r w:rsidR="003858AF">
        <w:rPr>
          <w:lang w:val="fr-FR"/>
        </w:rPr>
        <w:t> ».</w:t>
      </w:r>
    </w:p>
    <w:p w:rsidR="005F0207" w:rsidRDefault="009A1826" w:rsidP="009A1826">
      <w:pPr>
        <w:pStyle w:val="SingleTxtG"/>
        <w:rPr>
          <w:lang w:val="fr-FR"/>
        </w:rPr>
      </w:pPr>
      <w:r w:rsidRPr="009A1826">
        <w:rPr>
          <w:i/>
          <w:lang w:val="fr-FR"/>
        </w:rPr>
        <w:t>Les anciens paragraphes 5.1.3.1 à 5.1.3.2.2</w:t>
      </w:r>
      <w:r w:rsidRPr="009A1826">
        <w:rPr>
          <w:lang w:val="fr-FR"/>
        </w:rPr>
        <w:t xml:space="preserve"> deviennent les paragraphes 5.1.3.3 à 5.1.3.4.2.</w:t>
      </w:r>
    </w:p>
    <w:p w:rsidR="003858AF" w:rsidRPr="003858AF" w:rsidRDefault="003858AF" w:rsidP="003858AF">
      <w:pPr>
        <w:pStyle w:val="SingleTxtG"/>
        <w:spacing w:before="240" w:after="0"/>
        <w:jc w:val="center"/>
        <w:rPr>
          <w:u w:val="single"/>
        </w:rPr>
      </w:pPr>
      <w:r>
        <w:rPr>
          <w:u w:val="single"/>
        </w:rPr>
        <w:tab/>
      </w:r>
      <w:r>
        <w:rPr>
          <w:u w:val="single"/>
        </w:rPr>
        <w:tab/>
      </w:r>
      <w:r>
        <w:rPr>
          <w:u w:val="single"/>
        </w:rPr>
        <w:tab/>
      </w:r>
    </w:p>
    <w:sectPr w:rsidR="003858AF" w:rsidRPr="003858AF" w:rsidSect="009A1826">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48" w:rsidRDefault="00153F48"/>
  </w:endnote>
  <w:endnote w:type="continuationSeparator" w:id="0">
    <w:p w:rsidR="00153F48" w:rsidRDefault="00153F48">
      <w:pPr>
        <w:pStyle w:val="Footer"/>
      </w:pPr>
    </w:p>
  </w:endnote>
  <w:endnote w:type="continuationNotice" w:id="1">
    <w:p w:rsidR="00153F48" w:rsidRPr="00C451B9" w:rsidRDefault="00153F4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26" w:rsidRPr="009A1826" w:rsidRDefault="009A1826" w:rsidP="009A1826">
    <w:pPr>
      <w:pStyle w:val="Footer"/>
      <w:tabs>
        <w:tab w:val="right" w:pos="9638"/>
      </w:tabs>
    </w:pPr>
    <w:r w:rsidRPr="009A1826">
      <w:rPr>
        <w:b/>
        <w:sz w:val="18"/>
      </w:rPr>
      <w:fldChar w:fldCharType="begin"/>
    </w:r>
    <w:r w:rsidRPr="009A1826">
      <w:rPr>
        <w:b/>
        <w:sz w:val="18"/>
      </w:rPr>
      <w:instrText xml:space="preserve"> PAGE  \* MERGEFORMAT </w:instrText>
    </w:r>
    <w:r w:rsidRPr="009A1826">
      <w:rPr>
        <w:b/>
        <w:sz w:val="18"/>
      </w:rPr>
      <w:fldChar w:fldCharType="separate"/>
    </w:r>
    <w:r w:rsidR="009F0E8D">
      <w:rPr>
        <w:b/>
        <w:noProof/>
        <w:sz w:val="18"/>
      </w:rPr>
      <w:t>2</w:t>
    </w:r>
    <w:r w:rsidRPr="009A1826">
      <w:rPr>
        <w:b/>
        <w:sz w:val="18"/>
      </w:rPr>
      <w:fldChar w:fldCharType="end"/>
    </w:r>
    <w:r>
      <w:rPr>
        <w:b/>
        <w:sz w:val="18"/>
      </w:rPr>
      <w:tab/>
    </w:r>
    <w:r>
      <w:t>GE.16-17890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26" w:rsidRPr="009A1826" w:rsidRDefault="009A1826" w:rsidP="009A1826">
    <w:pPr>
      <w:pStyle w:val="Footer"/>
      <w:tabs>
        <w:tab w:val="right" w:pos="9638"/>
      </w:tabs>
      <w:rPr>
        <w:b/>
        <w:sz w:val="18"/>
      </w:rPr>
    </w:pPr>
    <w:r>
      <w:t>GE.16-17890</w:t>
    </w:r>
    <w:r>
      <w:tab/>
    </w:r>
    <w:r w:rsidRPr="009A1826">
      <w:rPr>
        <w:b/>
        <w:sz w:val="18"/>
      </w:rPr>
      <w:fldChar w:fldCharType="begin"/>
    </w:r>
    <w:r w:rsidRPr="009A1826">
      <w:rPr>
        <w:b/>
        <w:sz w:val="18"/>
      </w:rPr>
      <w:instrText xml:space="preserve"> PAGE  \* MERGEFORMAT </w:instrText>
    </w:r>
    <w:r w:rsidRPr="009A1826">
      <w:rPr>
        <w:b/>
        <w:sz w:val="18"/>
      </w:rPr>
      <w:fldChar w:fldCharType="separate"/>
    </w:r>
    <w:r>
      <w:rPr>
        <w:b/>
        <w:noProof/>
        <w:sz w:val="18"/>
      </w:rPr>
      <w:t>3</w:t>
    </w:r>
    <w:r w:rsidRPr="009A18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56" w:rsidRPr="0029791D" w:rsidRDefault="00D8095A"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D8095A" w:rsidP="00E97E2C">
    <w:pPr>
      <w:jc w:val="center"/>
      <w:rPr>
        <w:b/>
        <w:bCs/>
        <w:sz w:val="22"/>
      </w:rPr>
    </w:pPr>
    <w:r>
      <w:rPr>
        <w:noProof/>
        <w:lang w:val="en-GB" w:eastAsia="en-GB"/>
      </w:rPr>
      <w:drawing>
        <wp:inline distT="0" distB="0" distL="0" distR="0">
          <wp:extent cx="914400" cy="771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9A1826">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9A1826">
      <w:t> </w:t>
    </w:r>
    <w:r w:rsidRPr="007817A7">
      <w:t>mars 1958.</w:t>
    </w:r>
  </w:p>
  <w:p w:rsidR="00CA0756" w:rsidRPr="009A1826" w:rsidRDefault="009A1826" w:rsidP="009A1826">
    <w:pPr>
      <w:pStyle w:val="Footer"/>
      <w:spacing w:before="120"/>
      <w:rPr>
        <w:sz w:val="20"/>
      </w:rPr>
    </w:pPr>
    <w:r>
      <w:rPr>
        <w:sz w:val="20"/>
      </w:rPr>
      <w:t>GE.16-17890  (F)</w:t>
    </w:r>
    <w:r w:rsidR="003858AF">
      <w:rPr>
        <w:sz w:val="20"/>
      </w:rPr>
      <w:t xml:space="preserve">    131216    161216</w:t>
    </w:r>
    <w:r>
      <w:rPr>
        <w:sz w:val="20"/>
      </w:rPr>
      <w:br/>
    </w:r>
    <w:r w:rsidRPr="009A1826">
      <w:rPr>
        <w:rFonts w:ascii="C39T30Lfz" w:hAnsi="C39T30Lfz"/>
        <w:sz w:val="56"/>
      </w:rPr>
      <w:t></w:t>
    </w:r>
    <w:r w:rsidRPr="009A1826">
      <w:rPr>
        <w:rFonts w:ascii="C39T30Lfz" w:hAnsi="C39T30Lfz"/>
        <w:sz w:val="56"/>
      </w:rPr>
      <w:t></w:t>
    </w:r>
    <w:r w:rsidRPr="009A1826">
      <w:rPr>
        <w:rFonts w:ascii="C39T30Lfz" w:hAnsi="C39T30Lfz"/>
        <w:sz w:val="56"/>
      </w:rPr>
      <w:t></w:t>
    </w:r>
    <w:r w:rsidRPr="009A1826">
      <w:rPr>
        <w:rFonts w:ascii="C39T30Lfz" w:hAnsi="C39T30Lfz"/>
        <w:sz w:val="56"/>
      </w:rPr>
      <w:t></w:t>
    </w:r>
    <w:r w:rsidRPr="009A1826">
      <w:rPr>
        <w:rFonts w:ascii="C39T30Lfz" w:hAnsi="C39T30Lfz"/>
        <w:sz w:val="56"/>
      </w:rPr>
      <w:t></w:t>
    </w:r>
    <w:r w:rsidRPr="009A1826">
      <w:rPr>
        <w:rFonts w:ascii="C39T30Lfz" w:hAnsi="C39T30Lfz"/>
        <w:sz w:val="56"/>
      </w:rPr>
      <w:t></w:t>
    </w:r>
    <w:r w:rsidRPr="009A1826">
      <w:rPr>
        <w:rFonts w:ascii="C39T30Lfz" w:hAnsi="C39T30Lfz"/>
        <w:sz w:val="56"/>
      </w:rPr>
      <w:t></w:t>
    </w:r>
    <w:r w:rsidRPr="009A1826">
      <w:rPr>
        <w:rFonts w:ascii="C39T30Lfz" w:hAnsi="C39T30Lfz"/>
        <w:sz w:val="56"/>
      </w:rPr>
      <w:t></w:t>
    </w:r>
    <w:r w:rsidRPr="009A1826">
      <w:rPr>
        <w:rFonts w:ascii="C39T30Lfz" w:hAnsi="C39T30Lfz"/>
        <w:sz w:val="56"/>
      </w:rPr>
      <w:t></w:t>
    </w:r>
    <w:r w:rsidR="00D8095A">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48" w:rsidRPr="00D27D5E" w:rsidRDefault="00153F48" w:rsidP="00D27D5E">
      <w:pPr>
        <w:tabs>
          <w:tab w:val="right" w:pos="2155"/>
        </w:tabs>
        <w:spacing w:after="80"/>
        <w:ind w:left="680"/>
        <w:rPr>
          <w:u w:val="single"/>
        </w:rPr>
      </w:pPr>
      <w:r>
        <w:rPr>
          <w:u w:val="single"/>
        </w:rPr>
        <w:tab/>
      </w:r>
    </w:p>
  </w:footnote>
  <w:footnote w:type="continuationSeparator" w:id="0">
    <w:p w:rsidR="00153F48" w:rsidRPr="00D171D4" w:rsidRDefault="00153F48" w:rsidP="00D171D4">
      <w:pPr>
        <w:tabs>
          <w:tab w:val="right" w:pos="2155"/>
        </w:tabs>
        <w:spacing w:after="80"/>
        <w:ind w:left="680"/>
        <w:rPr>
          <w:u w:val="single"/>
        </w:rPr>
      </w:pPr>
      <w:r w:rsidRPr="00D171D4">
        <w:rPr>
          <w:u w:val="single"/>
        </w:rPr>
        <w:tab/>
      </w:r>
    </w:p>
  </w:footnote>
  <w:footnote w:type="continuationNotice" w:id="1">
    <w:p w:rsidR="00153F48" w:rsidRPr="00C451B9" w:rsidRDefault="00153F48"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26" w:rsidRPr="009F0E8D" w:rsidRDefault="009A1826">
    <w:pPr>
      <w:pStyle w:val="Header"/>
      <w:rPr>
        <w:lang w:val="en-GB"/>
      </w:rPr>
    </w:pPr>
    <w:r w:rsidRPr="009F0E8D">
      <w:rPr>
        <w:lang w:val="en-GB"/>
      </w:rPr>
      <w:t>E/ECE/324/Rev.2/Add.124/Rev.2/Amend.1</w:t>
    </w:r>
    <w:r w:rsidRPr="009F0E8D">
      <w:rPr>
        <w:lang w:val="en-GB"/>
      </w:rPr>
      <w:br/>
      <w:t>E/ECE/TRANS/505/Rev.2/Add.124/Rev.2/Amend.1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26" w:rsidRPr="009F0E8D" w:rsidRDefault="009A1826" w:rsidP="009A1826">
    <w:pPr>
      <w:pStyle w:val="Header"/>
      <w:jc w:val="right"/>
      <w:rPr>
        <w:lang w:val="en-GB"/>
      </w:rPr>
    </w:pPr>
    <w:r w:rsidRPr="009F0E8D">
      <w:rPr>
        <w:lang w:val="en-GB"/>
      </w:rPr>
      <w:t>E/ECE/324/Rev.2/Add.124/Rev.2/Amend.1</w:t>
    </w:r>
    <w:r w:rsidRPr="009F0E8D">
      <w:rPr>
        <w:lang w:val="en-GB"/>
      </w:rPr>
      <w:br/>
      <w:t>E/ECE/TRANS/505/Rev.2/Add.124/Rev.2/Amend.1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4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D67ED"/>
    <w:rsid w:val="000E4F06"/>
    <w:rsid w:val="000E5601"/>
    <w:rsid w:val="000E5602"/>
    <w:rsid w:val="000F41F2"/>
    <w:rsid w:val="0010373B"/>
    <w:rsid w:val="0011415F"/>
    <w:rsid w:val="00125446"/>
    <w:rsid w:val="001321A1"/>
    <w:rsid w:val="001358D9"/>
    <w:rsid w:val="00141E26"/>
    <w:rsid w:val="00143EB9"/>
    <w:rsid w:val="00152C5A"/>
    <w:rsid w:val="0015389C"/>
    <w:rsid w:val="00153F48"/>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7569A"/>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858AF"/>
    <w:rsid w:val="00390EEF"/>
    <w:rsid w:val="00394410"/>
    <w:rsid w:val="00396EAD"/>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1826"/>
    <w:rsid w:val="009A3048"/>
    <w:rsid w:val="009A6C26"/>
    <w:rsid w:val="009B17AD"/>
    <w:rsid w:val="009B3F8C"/>
    <w:rsid w:val="009B45E0"/>
    <w:rsid w:val="009B540F"/>
    <w:rsid w:val="009D3A8C"/>
    <w:rsid w:val="009E1BA9"/>
    <w:rsid w:val="009E2876"/>
    <w:rsid w:val="009E2F0B"/>
    <w:rsid w:val="009E7956"/>
    <w:rsid w:val="009F072F"/>
    <w:rsid w:val="009F0E8D"/>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01A9"/>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8095A"/>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6717DBE-6748-4793-992E-C0C03EBB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E/ECE/324/Rev.2/Add.124/Rev.2/Amend.1</vt:lpstr>
      <vt:lpstr>E/ECE/324/Rev.2/Add.124/Rev.2/Amend.1</vt:lpstr>
    </vt:vector>
  </TitlesOfParts>
  <Company>CSD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E/ECE/324/Rev.2/Add.124/Rev.2/Amend.1</dc:title>
  <dc:subject>Final</dc:subject>
  <dc:creator>Fabienne Crelier</dc:creator>
  <cp:lastModifiedBy>Lucille</cp:lastModifiedBy>
  <cp:revision>2</cp:revision>
  <cp:lastPrinted>2016-12-16T08:05:00Z</cp:lastPrinted>
  <dcterms:created xsi:type="dcterms:W3CDTF">2017-01-06T10:45:00Z</dcterms:created>
  <dcterms:modified xsi:type="dcterms:W3CDTF">2017-01-06T10:45:00Z</dcterms:modified>
</cp:coreProperties>
</file>