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CE5FA9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CE5FA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CE5FA9" w:rsidRPr="00CE5FA9" w:rsidRDefault="00CE5FA9" w:rsidP="00CE5FA9">
            <w:pPr>
              <w:jc w:val="right"/>
              <w:rPr>
                <w:lang w:val="en-US"/>
              </w:rPr>
            </w:pPr>
            <w:r w:rsidRPr="00CE5FA9">
              <w:rPr>
                <w:sz w:val="40"/>
                <w:lang w:val="en-US"/>
              </w:rPr>
              <w:t>E</w:t>
            </w:r>
            <w:r w:rsidRPr="00CE5FA9">
              <w:rPr>
                <w:lang w:val="en-US"/>
              </w:rPr>
              <w:t>/ECE/324/Rev.2/Add.120/Rev.2/Amend.1</w:t>
            </w:r>
            <w:r w:rsidRPr="00CE5FA9">
              <w:rPr>
                <w:rFonts w:cs="Times New Roman"/>
                <w:lang w:val="en-US"/>
              </w:rPr>
              <w:t>−</w:t>
            </w:r>
            <w:r w:rsidRPr="00CE5FA9">
              <w:rPr>
                <w:sz w:val="40"/>
                <w:lang w:val="en-US"/>
              </w:rPr>
              <w:t>E</w:t>
            </w:r>
            <w:r w:rsidRPr="00CE5FA9">
              <w:rPr>
                <w:lang w:val="en-US"/>
              </w:rPr>
              <w:t>/ECE/TRANS/505/Rev.2/Add.120/Rev.2/Amend.1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CE5FA9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CE5FA9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:rsidR="00CE5FA9" w:rsidRDefault="00CE5FA9" w:rsidP="00CE5FA9">
            <w:pPr>
              <w:rPr>
                <w:szCs w:val="20"/>
                <w:lang w:val="en-US"/>
              </w:rPr>
            </w:pPr>
          </w:p>
          <w:p w:rsidR="00CE5FA9" w:rsidRDefault="00CE5FA9" w:rsidP="00CE5FA9">
            <w:pPr>
              <w:rPr>
                <w:szCs w:val="20"/>
                <w:lang w:val="en-US"/>
              </w:rPr>
            </w:pPr>
          </w:p>
          <w:p w:rsidR="00CE5FA9" w:rsidRPr="009D084C" w:rsidRDefault="00CE5FA9" w:rsidP="00CE5FA9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26 July 2017</w:t>
            </w:r>
          </w:p>
        </w:tc>
      </w:tr>
    </w:tbl>
    <w:p w:rsidR="00CE5FA9" w:rsidRPr="002057B0" w:rsidRDefault="00CE5FA9" w:rsidP="00CE5FA9">
      <w:pPr>
        <w:pStyle w:val="HChGR"/>
        <w:spacing w:before="200" w:after="120"/>
      </w:pPr>
      <w:r>
        <w:rPr>
          <w:lang w:val="en-US"/>
        </w:rPr>
        <w:tab/>
      </w:r>
      <w:r>
        <w:rPr>
          <w:lang w:val="en-US"/>
        </w:rPr>
        <w:tab/>
      </w:r>
      <w:r w:rsidRPr="002F2FC0">
        <w:t>Соглашение</w:t>
      </w:r>
    </w:p>
    <w:p w:rsidR="00CE5FA9" w:rsidRPr="002F2FC0" w:rsidRDefault="00CE5FA9" w:rsidP="00512F6B">
      <w:pPr>
        <w:pStyle w:val="H1GR"/>
        <w:spacing w:before="240"/>
      </w:pPr>
      <w:r w:rsidRPr="009E10F2">
        <w:tab/>
      </w:r>
      <w:r w:rsidRPr="009E10F2">
        <w:tab/>
      </w:r>
      <w:r w:rsidRPr="002F2FC0">
        <w:t>О принятии единообраз</w:t>
      </w:r>
      <w:r w:rsidR="003E75E6">
        <w:t>ных технических предписаний для</w:t>
      </w:r>
      <w:r w:rsidR="003E75E6">
        <w:rPr>
          <w:lang w:val="en-US"/>
        </w:rPr>
        <w:t> </w:t>
      </w:r>
      <w:r w:rsidRPr="002F2FC0">
        <w:t>колесных транспортных ср</w:t>
      </w:r>
      <w:r>
        <w:t>едств, предметов оборудования и</w:t>
      </w:r>
      <w:r>
        <w:rPr>
          <w:lang w:val="en-US"/>
        </w:rPr>
        <w:t> </w:t>
      </w:r>
      <w:r w:rsidRPr="002F2FC0">
        <w:t>частей, котор</w:t>
      </w:r>
      <w:r w:rsidR="003E75E6">
        <w:t>ые могут быть установлены и/или</w:t>
      </w:r>
      <w:r w:rsidR="003E75E6" w:rsidRPr="003E75E6">
        <w:t xml:space="preserve"> </w:t>
      </w:r>
      <w:r w:rsidRPr="002F2FC0">
        <w:t xml:space="preserve">использованы на колесных транспортных средствах, </w:t>
      </w:r>
      <w:r w:rsidRPr="002057B0">
        <w:br/>
      </w:r>
      <w:r w:rsidRPr="002F2FC0">
        <w:t>и об условиях взаимного признания официальных утверждений, выдаваемых на основе этих предписаний</w:t>
      </w:r>
      <w:r w:rsidRPr="00CE5FA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2057B0">
        <w:rPr>
          <w:b w:val="0"/>
          <w:lang w:eastAsia="en-US"/>
        </w:rPr>
        <w:t xml:space="preserve"> </w:t>
      </w:r>
    </w:p>
    <w:p w:rsidR="00CE5FA9" w:rsidRPr="002F2FC0" w:rsidRDefault="00CE5FA9" w:rsidP="00CE5FA9">
      <w:pPr>
        <w:pStyle w:val="SingleTxtGR"/>
        <w:spacing w:line="220" w:lineRule="exact"/>
      </w:pPr>
      <w:r w:rsidRPr="002F2FC0">
        <w:t>(Пересмотр 2, включающий поправки, вступившие в силу 16 октября 1995 года)</w:t>
      </w:r>
    </w:p>
    <w:p w:rsidR="00CE5FA9" w:rsidRPr="00B961B2" w:rsidRDefault="00CE5FA9" w:rsidP="00CE5FA9">
      <w:pPr>
        <w:spacing w:before="240"/>
        <w:jc w:val="center"/>
        <w:rPr>
          <w:b/>
          <w:u w:val="single"/>
          <w:lang w:val="en-US"/>
        </w:rPr>
      </w:pPr>
      <w:r w:rsidRPr="00B961B2">
        <w:rPr>
          <w:b/>
          <w:u w:val="single"/>
        </w:rPr>
        <w:tab/>
      </w:r>
      <w:r w:rsidRPr="00B961B2">
        <w:rPr>
          <w:b/>
          <w:u w:val="single"/>
        </w:rPr>
        <w:tab/>
      </w:r>
    </w:p>
    <w:p w:rsidR="00CE5FA9" w:rsidRPr="002F2FC0" w:rsidRDefault="00CE5FA9" w:rsidP="00CE5FA9">
      <w:pPr>
        <w:pStyle w:val="H1GR"/>
      </w:pPr>
      <w:r w:rsidRPr="002F2FC0">
        <w:tab/>
      </w:r>
      <w:r w:rsidRPr="002F2FC0">
        <w:tab/>
        <w:t>Добавление 1</w:t>
      </w:r>
      <w:r w:rsidRPr="00590B5F">
        <w:t>20</w:t>
      </w:r>
      <w:r w:rsidRPr="002057B0">
        <w:t xml:space="preserve"> – </w:t>
      </w:r>
      <w:r w:rsidRPr="002F2FC0">
        <w:t>Правила № 1</w:t>
      </w:r>
      <w:r w:rsidRPr="00590B5F">
        <w:t>21</w:t>
      </w:r>
    </w:p>
    <w:p w:rsidR="00CE5FA9" w:rsidRPr="00EF72C4" w:rsidRDefault="00CE5FA9" w:rsidP="00512F6B">
      <w:pPr>
        <w:pStyle w:val="H1GR"/>
        <w:spacing w:before="240"/>
      </w:pPr>
      <w:r w:rsidRPr="00BD466A">
        <w:tab/>
      </w:r>
      <w:r w:rsidRPr="00BD466A">
        <w:tab/>
      </w:r>
      <w:r w:rsidRPr="002F2FC0">
        <w:t xml:space="preserve">Пересмотр </w:t>
      </w:r>
      <w:r w:rsidRPr="00EF72C4">
        <w:t>2</w:t>
      </w:r>
      <w:r w:rsidRPr="000D245C">
        <w:t xml:space="preserve"> − </w:t>
      </w:r>
      <w:r>
        <w:t xml:space="preserve">Поправка </w:t>
      </w:r>
      <w:r w:rsidRPr="00EF72C4">
        <w:t>1</w:t>
      </w:r>
    </w:p>
    <w:p w:rsidR="00CE5FA9" w:rsidRPr="002F2FC0" w:rsidRDefault="00CE5FA9" w:rsidP="00CE5FA9">
      <w:pPr>
        <w:pStyle w:val="SingleTxtGR"/>
        <w:jc w:val="left"/>
      </w:pPr>
      <w:r>
        <w:t>Дополнение 9 к поправкам серии 01−</w:t>
      </w:r>
      <w:r w:rsidRPr="002F2FC0">
        <w:t xml:space="preserve"> Дата вступления в силу: </w:t>
      </w:r>
      <w:r>
        <w:t xml:space="preserve">22 июня </w:t>
      </w:r>
      <w:r w:rsidRPr="002F2FC0">
        <w:t>201</w:t>
      </w:r>
      <w:r>
        <w:t>7</w:t>
      </w:r>
      <w:r w:rsidRPr="002F2FC0">
        <w:t> года</w:t>
      </w:r>
    </w:p>
    <w:p w:rsidR="00CE5FA9" w:rsidRPr="00DB4149" w:rsidRDefault="00CE5FA9" w:rsidP="00512F6B">
      <w:pPr>
        <w:pStyle w:val="H1GR"/>
        <w:spacing w:before="240"/>
      </w:pPr>
      <w:r w:rsidRPr="00DB4149">
        <w:tab/>
      </w:r>
      <w:r w:rsidRPr="00DB4149">
        <w:tab/>
      </w:r>
      <w:r w:rsidRPr="002F2FC0">
        <w:t xml:space="preserve">Единообразные предписания, касающиеся официального утверждения </w:t>
      </w:r>
      <w:r>
        <w:t>транспортных средств в отношении расположения и идентификации ручных органов управления, контрольных сигналов и индикаторов</w:t>
      </w:r>
    </w:p>
    <w:p w:rsidR="00CE5FA9" w:rsidRDefault="00CE5FA9" w:rsidP="00CE5FA9">
      <w:pPr>
        <w:pStyle w:val="SingleTxtGR"/>
        <w:spacing w:after="0"/>
        <w:rPr>
          <w:rStyle w:val="hps"/>
        </w:rPr>
      </w:pPr>
      <w:r>
        <w:rPr>
          <w:rStyle w:val="hps"/>
        </w:rPr>
        <w:t>Настоящий документ опубликован исключительно</w:t>
      </w:r>
      <w:r w:rsidRPr="000C52F5">
        <w:rPr>
          <w:rStyle w:val="hp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 w:rsidRPr="000C52F5"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документ:</w:t>
      </w:r>
    </w:p>
    <w:p w:rsidR="00CE5FA9" w:rsidRPr="006A7AB3" w:rsidRDefault="00CE5FA9" w:rsidP="00CE5FA9">
      <w:pPr>
        <w:pStyle w:val="SingleTxtG"/>
        <w:spacing w:after="0" w:line="200" w:lineRule="atLeast"/>
        <w:ind w:left="1701" w:hanging="567"/>
        <w:rPr>
          <w:lang w:val="ru-RU"/>
        </w:rPr>
      </w:pPr>
      <w:r w:rsidRPr="000C52F5">
        <w:rPr>
          <w:lang w:val="ru-RU"/>
        </w:rPr>
        <w:tab/>
      </w:r>
      <w:r>
        <w:rPr>
          <w:spacing w:val="-6"/>
          <w:lang w:eastAsia="en-GB"/>
        </w:rPr>
        <w:t>ECE</w:t>
      </w:r>
      <w:r w:rsidRPr="000C52F5">
        <w:rPr>
          <w:spacing w:val="-6"/>
          <w:lang w:val="ru-RU" w:eastAsia="en-GB"/>
        </w:rPr>
        <w:t>/</w:t>
      </w:r>
      <w:r>
        <w:rPr>
          <w:spacing w:val="-6"/>
          <w:lang w:eastAsia="en-GB"/>
        </w:rPr>
        <w:t>TRANS</w:t>
      </w:r>
      <w:r w:rsidRPr="000C52F5">
        <w:rPr>
          <w:spacing w:val="-6"/>
          <w:lang w:val="ru-RU" w:eastAsia="en-GB"/>
        </w:rPr>
        <w:t>/</w:t>
      </w:r>
      <w:r>
        <w:rPr>
          <w:spacing w:val="-6"/>
          <w:lang w:eastAsia="en-GB"/>
        </w:rPr>
        <w:t>WP</w:t>
      </w:r>
      <w:r w:rsidRPr="000C52F5">
        <w:rPr>
          <w:spacing w:val="-6"/>
          <w:lang w:val="ru-RU" w:eastAsia="en-GB"/>
        </w:rPr>
        <w:t>.29/201</w:t>
      </w:r>
      <w:r>
        <w:rPr>
          <w:spacing w:val="-6"/>
          <w:lang w:val="ru-RU" w:eastAsia="en-GB"/>
        </w:rPr>
        <w:t>6</w:t>
      </w:r>
      <w:r w:rsidRPr="000C52F5">
        <w:rPr>
          <w:spacing w:val="-6"/>
          <w:lang w:val="ru-RU" w:eastAsia="en-GB"/>
        </w:rPr>
        <w:t>/</w:t>
      </w:r>
      <w:r>
        <w:rPr>
          <w:spacing w:val="-6"/>
          <w:lang w:val="ru-RU" w:eastAsia="en-GB"/>
        </w:rPr>
        <w:t>97</w:t>
      </w:r>
      <w:r w:rsidRPr="006A7AB3">
        <w:rPr>
          <w:spacing w:val="-6"/>
          <w:lang w:val="ru-RU" w:eastAsia="en-GB"/>
        </w:rPr>
        <w:t>.</w:t>
      </w:r>
    </w:p>
    <w:p w:rsidR="00CE5FA9" w:rsidRPr="00B961B2" w:rsidRDefault="00CE5FA9" w:rsidP="00CE5FA9">
      <w:pPr>
        <w:spacing w:before="120" w:after="240"/>
        <w:jc w:val="center"/>
        <w:rPr>
          <w:b/>
          <w:u w:val="single"/>
          <w:lang w:eastAsia="ru-RU"/>
        </w:rPr>
      </w:pPr>
      <w:r w:rsidRPr="00B961B2">
        <w:rPr>
          <w:b/>
          <w:u w:val="single"/>
          <w:lang w:eastAsia="ru-RU"/>
        </w:rPr>
        <w:tab/>
      </w:r>
      <w:r w:rsidRPr="00B961B2">
        <w:rPr>
          <w:b/>
          <w:u w:val="single"/>
          <w:lang w:eastAsia="ru-RU"/>
        </w:rPr>
        <w:tab/>
      </w:r>
    </w:p>
    <w:p w:rsidR="00CE5FA9" w:rsidRDefault="00CE5FA9" w:rsidP="00CE5FA9">
      <w:pPr>
        <w:spacing w:after="240"/>
        <w:jc w:val="center"/>
      </w:pPr>
      <w:bookmarkStart w:id="1" w:name="_MON_1000209745"/>
      <w:bookmarkEnd w:id="1"/>
      <w:r>
        <w:rPr>
          <w:noProof/>
          <w:lang w:val="en-GB" w:eastAsia="en-GB"/>
        </w:rPr>
        <w:drawing>
          <wp:inline distT="0" distB="0" distL="0" distR="0" wp14:anchorId="00C0BA27" wp14:editId="7CB20F08">
            <wp:extent cx="914400" cy="84960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A9" w:rsidRDefault="00CE5FA9" w:rsidP="00CE5FA9">
      <w:pPr>
        <w:pStyle w:val="SingleTxtGR"/>
        <w:jc w:val="center"/>
      </w:pPr>
      <w:r w:rsidRPr="00752A52">
        <w:rPr>
          <w:b/>
        </w:rPr>
        <w:t>ОРГАНИЗАЦИЯ ОБЪЕДИНЕННЫХ НАЦИЙ</w:t>
      </w:r>
    </w:p>
    <w:p w:rsidR="00CE5FA9" w:rsidRPr="006A183C" w:rsidRDefault="00CE5FA9" w:rsidP="00CE5FA9">
      <w:pPr>
        <w:pStyle w:val="SingleTxtGR"/>
        <w:rPr>
          <w:rFonts w:eastAsia="Calibri"/>
        </w:rPr>
      </w:pPr>
      <w:r>
        <w:br w:type="page"/>
      </w:r>
      <w:r w:rsidRPr="001D0BE8">
        <w:rPr>
          <w:i/>
        </w:rPr>
        <w:lastRenderedPageBreak/>
        <w:t>В таблице 1, строки 2 и 19, добавить ссылку на сноску</w:t>
      </w:r>
      <w:r w:rsidRPr="003E75E6">
        <w:rPr>
          <w:sz w:val="18"/>
          <w:szCs w:val="18"/>
          <w:vertAlign w:val="superscript"/>
        </w:rPr>
        <w:t>18</w:t>
      </w:r>
      <w:r w:rsidRPr="0030172C">
        <w:t xml:space="preserve"> следующего содержания:</w:t>
      </w:r>
    </w:p>
    <w:p w:rsidR="00CE5FA9" w:rsidRPr="0030172C" w:rsidRDefault="00CE5FA9" w:rsidP="00CE5FA9">
      <w:pPr>
        <w:pStyle w:val="H23GR"/>
      </w:pPr>
      <w:r w:rsidRPr="00EA5AB2">
        <w:tab/>
      </w:r>
      <w:r w:rsidRPr="00EA5AB2">
        <w:tab/>
      </w:r>
      <w:r w:rsidRPr="006A183C">
        <w:rPr>
          <w:b w:val="0"/>
        </w:rPr>
        <w:t>«Таблица 1</w:t>
      </w:r>
      <w:r w:rsidRPr="006A183C">
        <w:br/>
      </w:r>
      <w:r w:rsidRPr="0030172C">
        <w:t>Условные обозначения, их освещение и цвета</w:t>
      </w:r>
    </w:p>
    <w:tbl>
      <w:tblPr>
        <w:tblStyle w:val="TabNum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378"/>
        <w:gridCol w:w="2240"/>
        <w:gridCol w:w="1825"/>
        <w:gridCol w:w="1518"/>
        <w:gridCol w:w="1320"/>
        <w:gridCol w:w="1223"/>
      </w:tblGrid>
      <w:tr w:rsidR="00CE5FA9" w:rsidRPr="00BE0F50" w:rsidTr="00BE0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A9" w:rsidRPr="00BE0F50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rPr>
                <w:i/>
                <w:sz w:val="16"/>
              </w:rPr>
            </w:pPr>
            <w:r w:rsidRPr="00BE0F50">
              <w:rPr>
                <w:i/>
                <w:sz w:val="16"/>
              </w:rPr>
              <w:t>№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A9" w:rsidRPr="00BE0F50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en-US"/>
              </w:rPr>
            </w:pPr>
            <w:r w:rsidRPr="00BE0F50">
              <w:rPr>
                <w:i/>
                <w:sz w:val="16"/>
                <w:lang w:val="en-US"/>
              </w:rPr>
              <w:t>Колонка 1</w:t>
            </w:r>
          </w:p>
        </w:tc>
        <w:tc>
          <w:tcPr>
            <w:tcW w:w="1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A9" w:rsidRPr="00BE0F50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en-US"/>
              </w:rPr>
            </w:pPr>
            <w:r w:rsidRPr="00BE0F50">
              <w:rPr>
                <w:i/>
                <w:sz w:val="16"/>
                <w:lang w:val="en-US"/>
              </w:rPr>
              <w:t>Колонка 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A9" w:rsidRPr="00BE0F50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en-US"/>
              </w:rPr>
            </w:pPr>
            <w:r w:rsidRPr="00BE0F50">
              <w:rPr>
                <w:i/>
                <w:sz w:val="16"/>
                <w:lang w:val="en-US"/>
              </w:rPr>
              <w:t>Колонка 3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A9" w:rsidRPr="00BE0F50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en-US"/>
              </w:rPr>
            </w:pPr>
            <w:r w:rsidRPr="00BE0F50">
              <w:rPr>
                <w:i/>
                <w:sz w:val="16"/>
                <w:lang w:val="en-US"/>
              </w:rPr>
              <w:t>Колонка 4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FA9" w:rsidRPr="00BE0F50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en-US"/>
              </w:rPr>
            </w:pPr>
            <w:r w:rsidRPr="00BE0F50">
              <w:rPr>
                <w:i/>
                <w:sz w:val="16"/>
                <w:lang w:val="en-US"/>
              </w:rPr>
              <w:t>Колонка 5</w:t>
            </w:r>
          </w:p>
        </w:tc>
      </w:tr>
      <w:tr w:rsidR="00CE5FA9" w:rsidRPr="00886BDA" w:rsidTr="00BE0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5FA9" w:rsidRPr="00B1333C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E5FA9" w:rsidRPr="00B1333C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en-US"/>
              </w:rPr>
            </w:pPr>
            <w:r w:rsidRPr="00B1333C">
              <w:rPr>
                <w:i/>
                <w:sz w:val="16"/>
                <w:lang w:val="en-US"/>
              </w:rPr>
              <w:t>Позиция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E5FA9" w:rsidRPr="00B1333C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en-US"/>
              </w:rPr>
            </w:pPr>
            <w:r w:rsidRPr="00B1333C">
              <w:rPr>
                <w:i/>
                <w:sz w:val="16"/>
                <w:lang w:val="en-US"/>
              </w:rPr>
              <w:t>Условное обозначение</w:t>
            </w:r>
            <w:r w:rsidRPr="00B1333C">
              <w:rPr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E5FA9" w:rsidRPr="00B1333C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en-US"/>
              </w:rPr>
            </w:pPr>
            <w:r w:rsidRPr="00B1333C">
              <w:rPr>
                <w:i/>
                <w:sz w:val="16"/>
                <w:lang w:val="en-US"/>
              </w:rPr>
              <w:t>Функция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E5FA9" w:rsidRPr="00B1333C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en-US"/>
              </w:rPr>
            </w:pPr>
            <w:r w:rsidRPr="00B1333C">
              <w:rPr>
                <w:i/>
                <w:sz w:val="16"/>
                <w:lang w:val="en-US"/>
              </w:rPr>
              <w:t>Освещение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E5FA9" w:rsidRPr="00B1333C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lang w:val="en-US"/>
              </w:rPr>
            </w:pPr>
            <w:r w:rsidRPr="00B1333C">
              <w:rPr>
                <w:i/>
                <w:sz w:val="16"/>
                <w:lang w:val="en-US"/>
              </w:rPr>
              <w:t>Цвет</w:t>
            </w:r>
          </w:p>
        </w:tc>
      </w:tr>
      <w:tr w:rsidR="00CE5FA9" w:rsidRPr="00886BDA" w:rsidTr="00BE0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rPr>
                <w:lang w:val="en-US"/>
              </w:rPr>
            </w:pPr>
            <w:r w:rsidRPr="007A4974">
              <w:rPr>
                <w:lang w:val="en-US"/>
              </w:rPr>
              <w:t>…</w:t>
            </w:r>
          </w:p>
        </w:tc>
        <w:tc>
          <w:tcPr>
            <w:tcW w:w="2240" w:type="dxa"/>
            <w:tcBorders>
              <w:top w:val="single" w:sz="12" w:space="0" w:color="auto"/>
            </w:tcBorders>
            <w:vAlign w:val="top"/>
            <w:hideMark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4974">
              <w:rPr>
                <w:lang w:val="en-US"/>
              </w:rPr>
              <w:t>…</w:t>
            </w:r>
          </w:p>
        </w:tc>
        <w:tc>
          <w:tcPr>
            <w:tcW w:w="1825" w:type="dxa"/>
            <w:tcBorders>
              <w:top w:val="single" w:sz="12" w:space="0" w:color="auto"/>
            </w:tcBorders>
            <w:vAlign w:val="top"/>
            <w:hideMark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4974">
              <w:rPr>
                <w:lang w:val="en-US"/>
              </w:rPr>
              <w:t>…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vAlign w:val="top"/>
            <w:hideMark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4974">
              <w:rPr>
                <w:lang w:val="en-US"/>
              </w:rPr>
              <w:t>…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top"/>
            <w:hideMark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4974">
              <w:rPr>
                <w:lang w:val="en-US"/>
              </w:rPr>
              <w:t>…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vAlign w:val="top"/>
            <w:hideMark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4974">
              <w:rPr>
                <w:lang w:val="en-US"/>
              </w:rPr>
              <w:t>…</w:t>
            </w:r>
          </w:p>
        </w:tc>
      </w:tr>
      <w:tr w:rsidR="00CE5FA9" w:rsidRPr="00886BDA" w:rsidTr="00BE0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rPr>
                <w:lang w:val="en-US"/>
              </w:rPr>
            </w:pPr>
            <w:r w:rsidRPr="007A4974">
              <w:rPr>
                <w:lang w:val="en-US"/>
              </w:rPr>
              <w:t>2.</w:t>
            </w:r>
          </w:p>
        </w:tc>
        <w:tc>
          <w:tcPr>
            <w:tcW w:w="2240" w:type="dxa"/>
            <w:vMerge w:val="restart"/>
            <w:vAlign w:val="center"/>
            <w:hideMark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4974">
              <w:rPr>
                <w:lang w:val="en-US"/>
              </w:rPr>
              <w:t>Ближний свет</w:t>
            </w:r>
          </w:p>
        </w:tc>
        <w:tc>
          <w:tcPr>
            <w:tcW w:w="1825" w:type="dxa"/>
            <w:vMerge w:val="restart"/>
            <w:vAlign w:val="center"/>
            <w:hideMark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4974">
              <w:rPr>
                <w:noProof/>
                <w:lang w:val="en-GB" w:eastAsia="en-GB"/>
              </w:rPr>
              <w:drawing>
                <wp:inline distT="0" distB="0" distL="0" distR="0" wp14:anchorId="79C0374A" wp14:editId="5E160CB0">
                  <wp:extent cx="321945" cy="289560"/>
                  <wp:effectExtent l="0" t="0" r="1905" b="0"/>
                  <wp:docPr id="12" name="Рисунок 12" descr="Low b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w b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A23">
              <w:rPr>
                <w:vertAlign w:val="superscript"/>
                <w:lang w:val="en-US"/>
              </w:rPr>
              <w:t xml:space="preserve"> </w:t>
            </w:r>
            <w:r w:rsidRPr="001E3A23">
              <w:rPr>
                <w:szCs w:val="18"/>
                <w:vertAlign w:val="superscript"/>
                <w:lang w:val="en-US"/>
              </w:rPr>
              <w:t xml:space="preserve"> 1, 6, 13, 18</w:t>
            </w:r>
          </w:p>
        </w:tc>
        <w:tc>
          <w:tcPr>
            <w:tcW w:w="1518" w:type="dxa"/>
            <w:vAlign w:val="top"/>
            <w:hideMark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4974">
              <w:rPr>
                <w:lang w:val="en-US"/>
              </w:rPr>
              <w:t>Орган управления</w:t>
            </w:r>
          </w:p>
        </w:tc>
        <w:tc>
          <w:tcPr>
            <w:tcW w:w="1320" w:type="dxa"/>
            <w:vAlign w:val="top"/>
            <w:hideMark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4974">
              <w:rPr>
                <w:lang w:val="en-US"/>
              </w:rPr>
              <w:t>Нет</w:t>
            </w:r>
          </w:p>
        </w:tc>
        <w:tc>
          <w:tcPr>
            <w:tcW w:w="1223" w:type="dxa"/>
            <w:vAlign w:val="top"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E5FA9" w:rsidRPr="00886BDA" w:rsidTr="00BE0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rPr>
                <w:lang w:val="en-US"/>
              </w:rPr>
            </w:pPr>
          </w:p>
        </w:tc>
        <w:tc>
          <w:tcPr>
            <w:tcW w:w="2240" w:type="dxa"/>
            <w:vMerge/>
            <w:vAlign w:val="top"/>
            <w:hideMark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825" w:type="dxa"/>
            <w:vMerge/>
            <w:vAlign w:val="top"/>
            <w:hideMark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518" w:type="dxa"/>
            <w:vAlign w:val="top"/>
            <w:hideMark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4974">
              <w:rPr>
                <w:lang w:val="en-US"/>
              </w:rPr>
              <w:t>Контрольный сигнал</w:t>
            </w:r>
          </w:p>
        </w:tc>
        <w:tc>
          <w:tcPr>
            <w:tcW w:w="1320" w:type="dxa"/>
            <w:vAlign w:val="top"/>
            <w:hideMark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4974">
              <w:rPr>
                <w:lang w:val="en-US"/>
              </w:rPr>
              <w:t>Да</w:t>
            </w:r>
          </w:p>
        </w:tc>
        <w:tc>
          <w:tcPr>
            <w:tcW w:w="1223" w:type="dxa"/>
            <w:vAlign w:val="top"/>
            <w:hideMark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4974">
              <w:rPr>
                <w:lang w:val="en-US"/>
              </w:rPr>
              <w:t>Зеленый</w:t>
            </w:r>
          </w:p>
        </w:tc>
      </w:tr>
      <w:tr w:rsidR="00CE5FA9" w:rsidRPr="00886BDA" w:rsidTr="00BE0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rPr>
                <w:lang w:val="en-US"/>
              </w:rPr>
            </w:pPr>
            <w:r w:rsidRPr="007A4974">
              <w:rPr>
                <w:lang w:val="en-US"/>
              </w:rPr>
              <w:t>…</w:t>
            </w:r>
          </w:p>
        </w:tc>
        <w:tc>
          <w:tcPr>
            <w:tcW w:w="2240" w:type="dxa"/>
            <w:vAlign w:val="top"/>
            <w:hideMark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4974">
              <w:rPr>
                <w:lang w:val="en-US"/>
              </w:rPr>
              <w:t>…</w:t>
            </w:r>
          </w:p>
        </w:tc>
        <w:tc>
          <w:tcPr>
            <w:tcW w:w="1825" w:type="dxa"/>
            <w:vAlign w:val="top"/>
            <w:hideMark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4974">
              <w:rPr>
                <w:lang w:val="en-US"/>
              </w:rPr>
              <w:t>…</w:t>
            </w:r>
          </w:p>
        </w:tc>
        <w:tc>
          <w:tcPr>
            <w:tcW w:w="1518" w:type="dxa"/>
            <w:vAlign w:val="top"/>
            <w:hideMark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4974">
              <w:rPr>
                <w:lang w:val="en-US"/>
              </w:rPr>
              <w:t>…</w:t>
            </w:r>
          </w:p>
        </w:tc>
        <w:tc>
          <w:tcPr>
            <w:tcW w:w="1320" w:type="dxa"/>
            <w:vAlign w:val="top"/>
            <w:hideMark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4974">
              <w:rPr>
                <w:lang w:val="en-US"/>
              </w:rPr>
              <w:t>…</w:t>
            </w:r>
          </w:p>
        </w:tc>
        <w:tc>
          <w:tcPr>
            <w:tcW w:w="1223" w:type="dxa"/>
            <w:vAlign w:val="top"/>
            <w:hideMark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A4974">
              <w:rPr>
                <w:lang w:val="en-US"/>
              </w:rPr>
              <w:t>…</w:t>
            </w:r>
          </w:p>
        </w:tc>
      </w:tr>
      <w:tr w:rsidR="00CE5FA9" w:rsidRPr="00886BDA" w:rsidTr="00BE0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:rsidR="00CE5FA9" w:rsidRPr="007A4974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rPr>
                <w:lang w:val="en-US"/>
              </w:rPr>
            </w:pPr>
            <w:r w:rsidRPr="007A4974">
              <w:rPr>
                <w:lang w:val="en-US"/>
              </w:rPr>
              <w:t>19.</w:t>
            </w:r>
          </w:p>
        </w:tc>
        <w:tc>
          <w:tcPr>
            <w:tcW w:w="2240" w:type="dxa"/>
            <w:vMerge w:val="restart"/>
            <w:vAlign w:val="center"/>
            <w:hideMark/>
          </w:tcPr>
          <w:p w:rsidR="00CE5FA9" w:rsidRPr="00AB376F" w:rsidRDefault="00CE5FA9" w:rsidP="00BE0F5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76F">
              <w:t>Передние габаритные огни, боковые габаритные огни и/или контурные огни</w:t>
            </w:r>
          </w:p>
        </w:tc>
        <w:tc>
          <w:tcPr>
            <w:tcW w:w="1825" w:type="dxa"/>
            <w:vMerge w:val="restart"/>
            <w:vAlign w:val="center"/>
            <w:hideMark/>
          </w:tcPr>
          <w:p w:rsidR="00CE5FA9" w:rsidRPr="00AB376F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4974">
              <w:rPr>
                <w:noProof/>
                <w:lang w:val="en-GB" w:eastAsia="en-GB"/>
              </w:rPr>
              <w:drawing>
                <wp:inline distT="0" distB="0" distL="0" distR="0" wp14:anchorId="0EF1B10E" wp14:editId="692215E3">
                  <wp:extent cx="424815" cy="264160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76F">
              <w:t xml:space="preserve"> </w:t>
            </w:r>
            <w:r w:rsidRPr="00AB376F">
              <w:rPr>
                <w:szCs w:val="18"/>
                <w:vertAlign w:val="superscript"/>
              </w:rPr>
              <w:t xml:space="preserve">  1, 6, 18</w:t>
            </w:r>
          </w:p>
        </w:tc>
        <w:tc>
          <w:tcPr>
            <w:tcW w:w="1518" w:type="dxa"/>
            <w:vAlign w:val="top"/>
            <w:hideMark/>
          </w:tcPr>
          <w:p w:rsidR="00CE5FA9" w:rsidRPr="00AB376F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76F">
              <w:t>Орган управления</w:t>
            </w:r>
          </w:p>
        </w:tc>
        <w:tc>
          <w:tcPr>
            <w:tcW w:w="1320" w:type="dxa"/>
            <w:vAlign w:val="top"/>
            <w:hideMark/>
          </w:tcPr>
          <w:p w:rsidR="00CE5FA9" w:rsidRPr="00AB376F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76F">
              <w:t>Нет</w:t>
            </w:r>
          </w:p>
        </w:tc>
        <w:tc>
          <w:tcPr>
            <w:tcW w:w="1223" w:type="dxa"/>
            <w:vAlign w:val="top"/>
          </w:tcPr>
          <w:p w:rsidR="00CE5FA9" w:rsidRPr="00AB376F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5FA9" w:rsidRPr="00886BDA" w:rsidTr="00BE04AA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CE5FA9" w:rsidRPr="00AB376F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</w:pPr>
          </w:p>
        </w:tc>
        <w:tc>
          <w:tcPr>
            <w:tcW w:w="2240" w:type="dxa"/>
            <w:vMerge/>
            <w:vAlign w:val="top"/>
            <w:hideMark/>
          </w:tcPr>
          <w:p w:rsidR="00CE5FA9" w:rsidRPr="00AB376F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5" w:type="dxa"/>
            <w:vMerge/>
            <w:vAlign w:val="top"/>
            <w:hideMark/>
          </w:tcPr>
          <w:p w:rsidR="00CE5FA9" w:rsidRPr="00AB376F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  <w:vAlign w:val="top"/>
            <w:hideMark/>
          </w:tcPr>
          <w:p w:rsidR="00CE5FA9" w:rsidRPr="00AB376F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76F">
              <w:t>Контрольный сигнал</w:t>
            </w:r>
            <w:r w:rsidRPr="00AB376F">
              <w:rPr>
                <w:szCs w:val="18"/>
                <w:vertAlign w:val="superscript"/>
              </w:rPr>
              <w:t>12</w:t>
            </w:r>
          </w:p>
        </w:tc>
        <w:tc>
          <w:tcPr>
            <w:tcW w:w="1320" w:type="dxa"/>
            <w:vAlign w:val="top"/>
            <w:hideMark/>
          </w:tcPr>
          <w:p w:rsidR="00CE5FA9" w:rsidRPr="00AB376F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76F">
              <w:t>Да</w:t>
            </w:r>
            <w:r w:rsidRPr="00AB376F">
              <w:rPr>
                <w:szCs w:val="18"/>
                <w:vertAlign w:val="superscript"/>
              </w:rPr>
              <w:t>6</w:t>
            </w:r>
          </w:p>
        </w:tc>
        <w:tc>
          <w:tcPr>
            <w:tcW w:w="1223" w:type="dxa"/>
            <w:vAlign w:val="top"/>
            <w:hideMark/>
          </w:tcPr>
          <w:p w:rsidR="00CE5FA9" w:rsidRPr="00AB376F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76F">
              <w:t>Зеленый</w:t>
            </w:r>
          </w:p>
        </w:tc>
      </w:tr>
      <w:tr w:rsidR="00CE5FA9" w:rsidRPr="00886BDA" w:rsidTr="00BE0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CE5FA9" w:rsidRPr="00AB376F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</w:pPr>
            <w:r w:rsidRPr="00AB376F">
              <w:t>…</w:t>
            </w:r>
          </w:p>
        </w:tc>
        <w:tc>
          <w:tcPr>
            <w:tcW w:w="2240" w:type="dxa"/>
            <w:tcBorders>
              <w:bottom w:val="single" w:sz="12" w:space="0" w:color="auto"/>
            </w:tcBorders>
            <w:vAlign w:val="top"/>
            <w:hideMark/>
          </w:tcPr>
          <w:p w:rsidR="00CE5FA9" w:rsidRPr="00AB376F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76F">
              <w:t>…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vAlign w:val="top"/>
            <w:hideMark/>
          </w:tcPr>
          <w:p w:rsidR="00CE5FA9" w:rsidRPr="00AB376F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76F">
              <w:t>…</w:t>
            </w:r>
          </w:p>
        </w:tc>
        <w:tc>
          <w:tcPr>
            <w:tcW w:w="1518" w:type="dxa"/>
            <w:tcBorders>
              <w:bottom w:val="single" w:sz="12" w:space="0" w:color="auto"/>
            </w:tcBorders>
            <w:vAlign w:val="top"/>
            <w:hideMark/>
          </w:tcPr>
          <w:p w:rsidR="00CE5FA9" w:rsidRPr="00AB376F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76F">
              <w:t>…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top"/>
            <w:hideMark/>
          </w:tcPr>
          <w:p w:rsidR="00CE5FA9" w:rsidRPr="00AB376F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76F">
              <w:t>…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vAlign w:val="top"/>
            <w:hideMark/>
          </w:tcPr>
          <w:p w:rsidR="00CE5FA9" w:rsidRPr="00AB376F" w:rsidRDefault="00CE5FA9" w:rsidP="00BE04A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76F">
              <w:t>…</w:t>
            </w:r>
          </w:p>
        </w:tc>
      </w:tr>
    </w:tbl>
    <w:p w:rsidR="00381C24" w:rsidRDefault="00CE5FA9" w:rsidP="00CE5FA9">
      <w:pPr>
        <w:pStyle w:val="SingleTxtGR"/>
        <w:rPr>
          <w:lang w:val="en-US"/>
        </w:rPr>
      </w:pPr>
      <w:r w:rsidRPr="0030172C">
        <w:t>…»</w:t>
      </w:r>
    </w:p>
    <w:p w:rsidR="00CE5FA9" w:rsidRPr="00CE5FA9" w:rsidRDefault="00CE5FA9" w:rsidP="00CE5FA9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CE5FA9" w:rsidRPr="00CE5FA9" w:rsidSect="00CE5FA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45" w:rsidRPr="00A312BC" w:rsidRDefault="00897945" w:rsidP="00A312BC"/>
  </w:endnote>
  <w:endnote w:type="continuationSeparator" w:id="0">
    <w:p w:rsidR="00897945" w:rsidRPr="00A312BC" w:rsidRDefault="0089794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FA9" w:rsidRPr="00CE5FA9" w:rsidRDefault="00CE5FA9">
    <w:pPr>
      <w:pStyle w:val="Footer"/>
    </w:pPr>
    <w:r w:rsidRPr="00CE5FA9">
      <w:rPr>
        <w:b/>
        <w:sz w:val="18"/>
      </w:rPr>
      <w:fldChar w:fldCharType="begin"/>
    </w:r>
    <w:r w:rsidRPr="00CE5FA9">
      <w:rPr>
        <w:b/>
        <w:sz w:val="18"/>
      </w:rPr>
      <w:instrText xml:space="preserve"> PAGE  \* MERGEFORMAT </w:instrText>
    </w:r>
    <w:r w:rsidRPr="00CE5FA9">
      <w:rPr>
        <w:b/>
        <w:sz w:val="18"/>
      </w:rPr>
      <w:fldChar w:fldCharType="separate"/>
    </w:r>
    <w:r w:rsidR="00D67958">
      <w:rPr>
        <w:b/>
        <w:noProof/>
        <w:sz w:val="18"/>
      </w:rPr>
      <w:t>2</w:t>
    </w:r>
    <w:r w:rsidRPr="00CE5FA9">
      <w:rPr>
        <w:b/>
        <w:sz w:val="18"/>
      </w:rPr>
      <w:fldChar w:fldCharType="end"/>
    </w:r>
    <w:r>
      <w:rPr>
        <w:b/>
        <w:sz w:val="18"/>
      </w:rPr>
      <w:tab/>
    </w:r>
    <w:r>
      <w:t>GE.17-11628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FA9" w:rsidRPr="00CE5FA9" w:rsidRDefault="00CE5FA9" w:rsidP="00CE5FA9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GE.17-11628</w:t>
    </w:r>
    <w:r>
      <w:tab/>
    </w:r>
    <w:r w:rsidRPr="00CE5FA9">
      <w:rPr>
        <w:b/>
        <w:sz w:val="18"/>
      </w:rPr>
      <w:fldChar w:fldCharType="begin"/>
    </w:r>
    <w:r w:rsidRPr="00CE5FA9">
      <w:rPr>
        <w:b/>
        <w:sz w:val="18"/>
      </w:rPr>
      <w:instrText xml:space="preserve"> PAGE  \* MERGEFORMAT </w:instrText>
    </w:r>
    <w:r w:rsidRPr="00CE5FA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E5F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E5FA9" w:rsidRDefault="00CE5FA9" w:rsidP="00CE5FA9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E1F50A2" wp14:editId="32650FA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17-11628  (R)</w:t>
    </w:r>
    <w:r w:rsidR="003E75E6">
      <w:rPr>
        <w:lang w:val="en-US"/>
      </w:rPr>
      <w:t xml:space="preserve">  091017  101017</w:t>
    </w:r>
    <w:r>
      <w:br/>
    </w:r>
    <w:r w:rsidRPr="00CE5FA9">
      <w:rPr>
        <w:rFonts w:ascii="C39T30Lfz" w:hAnsi="C39T30Lfz"/>
        <w:spacing w:val="0"/>
        <w:w w:val="100"/>
        <w:sz w:val="56"/>
      </w:rPr>
      <w:t></w:t>
    </w:r>
    <w:r w:rsidRPr="00CE5FA9">
      <w:rPr>
        <w:rFonts w:ascii="C39T30Lfz" w:hAnsi="C39T30Lfz"/>
        <w:spacing w:val="0"/>
        <w:w w:val="100"/>
        <w:sz w:val="56"/>
      </w:rPr>
      <w:t></w:t>
    </w:r>
    <w:r w:rsidRPr="00CE5FA9">
      <w:rPr>
        <w:rFonts w:ascii="C39T30Lfz" w:hAnsi="C39T30Lfz"/>
        <w:spacing w:val="0"/>
        <w:w w:val="100"/>
        <w:sz w:val="56"/>
      </w:rPr>
      <w:t></w:t>
    </w:r>
    <w:r w:rsidRPr="00CE5FA9">
      <w:rPr>
        <w:rFonts w:ascii="C39T30Lfz" w:hAnsi="C39T30Lfz"/>
        <w:spacing w:val="0"/>
        <w:w w:val="100"/>
        <w:sz w:val="56"/>
      </w:rPr>
      <w:t></w:t>
    </w:r>
    <w:r w:rsidRPr="00CE5FA9">
      <w:rPr>
        <w:rFonts w:ascii="C39T30Lfz" w:hAnsi="C39T30Lfz"/>
        <w:spacing w:val="0"/>
        <w:w w:val="100"/>
        <w:sz w:val="56"/>
      </w:rPr>
      <w:t></w:t>
    </w:r>
    <w:r w:rsidRPr="00CE5FA9">
      <w:rPr>
        <w:rFonts w:ascii="C39T30Lfz" w:hAnsi="C39T30Lfz"/>
        <w:spacing w:val="0"/>
        <w:w w:val="100"/>
        <w:sz w:val="56"/>
      </w:rPr>
      <w:t></w:t>
    </w:r>
    <w:r w:rsidRPr="00CE5FA9">
      <w:rPr>
        <w:rFonts w:ascii="C39T30Lfz" w:hAnsi="C39T30Lfz"/>
        <w:spacing w:val="0"/>
        <w:w w:val="100"/>
        <w:sz w:val="56"/>
      </w:rPr>
      <w:t></w:t>
    </w:r>
    <w:r w:rsidRPr="00CE5FA9">
      <w:rPr>
        <w:rFonts w:ascii="C39T30Lfz" w:hAnsi="C39T30Lfz"/>
        <w:spacing w:val="0"/>
        <w:w w:val="100"/>
        <w:sz w:val="56"/>
      </w:rPr>
      <w:t></w:t>
    </w:r>
    <w:r w:rsidRPr="00CE5FA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/ECE/324/Rev.2/Add.120/Rev.2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0/Rev.2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45" w:rsidRPr="001075E9" w:rsidRDefault="0089794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97945" w:rsidRDefault="0089794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E5FA9" w:rsidRPr="002057B0" w:rsidRDefault="00CE5FA9" w:rsidP="00CE5FA9">
      <w:pPr>
        <w:pStyle w:val="FootnoteText"/>
        <w:rPr>
          <w:sz w:val="20"/>
          <w:lang w:val="ru-RU"/>
        </w:rPr>
      </w:pPr>
      <w:r>
        <w:tab/>
      </w:r>
      <w:r w:rsidRPr="00CE5FA9">
        <w:rPr>
          <w:rStyle w:val="FootnoteReference"/>
          <w:sz w:val="20"/>
          <w:vertAlign w:val="baseline"/>
          <w:lang w:val="ru-RU"/>
        </w:rPr>
        <w:t>*</w:t>
      </w:r>
      <w:r w:rsidRPr="002057B0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2057B0">
        <w:rPr>
          <w:lang w:val="en-US"/>
        </w:rPr>
        <w:t> </w:t>
      </w:r>
      <w:r w:rsidRPr="002057B0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FA9" w:rsidRPr="00CE5FA9" w:rsidRDefault="00D6795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E/ECE/324/Rev.2/Add.120/Rev.2/Amend.1</w:t>
    </w:r>
    <w:r>
      <w:fldChar w:fldCharType="end"/>
    </w:r>
    <w:r w:rsidR="00CE5FA9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E/ECE/TRANS/505/Rev.2/Add.120/Rev.2/Amend.1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FA9" w:rsidRPr="00CE5FA9" w:rsidRDefault="00D67958" w:rsidP="00CE5FA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E/ECE/324/Rev.2/Add.120/Rev.2/Amend.1</w:t>
    </w:r>
    <w:r>
      <w:fldChar w:fldCharType="end"/>
    </w:r>
    <w:r w:rsidR="00CE5FA9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E/ECE/TRANS/505/Rev.2/Add.120/Rev.2/Amend.1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45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E75E6"/>
    <w:rsid w:val="00407B78"/>
    <w:rsid w:val="00424203"/>
    <w:rsid w:val="00452493"/>
    <w:rsid w:val="00454E07"/>
    <w:rsid w:val="00471B10"/>
    <w:rsid w:val="00472C5C"/>
    <w:rsid w:val="00491047"/>
    <w:rsid w:val="004D08F3"/>
    <w:rsid w:val="004D541E"/>
    <w:rsid w:val="0050108D"/>
    <w:rsid w:val="00512F6B"/>
    <w:rsid w:val="00513081"/>
    <w:rsid w:val="00516510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97945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961B2"/>
    <w:rsid w:val="00BC18B2"/>
    <w:rsid w:val="00BD33EE"/>
    <w:rsid w:val="00BE0F50"/>
    <w:rsid w:val="00C106D6"/>
    <w:rsid w:val="00C60F0C"/>
    <w:rsid w:val="00C805C9"/>
    <w:rsid w:val="00C92939"/>
    <w:rsid w:val="00CA1679"/>
    <w:rsid w:val="00CB151C"/>
    <w:rsid w:val="00CE5A1A"/>
    <w:rsid w:val="00CE5FA9"/>
    <w:rsid w:val="00CF55F6"/>
    <w:rsid w:val="00D33D63"/>
    <w:rsid w:val="00D67958"/>
    <w:rsid w:val="00D90028"/>
    <w:rsid w:val="00D90138"/>
    <w:rsid w:val="00DF71B9"/>
    <w:rsid w:val="00E16204"/>
    <w:rsid w:val="00E62CA1"/>
    <w:rsid w:val="00E73F76"/>
    <w:rsid w:val="00E74E9E"/>
    <w:rsid w:val="00EA2C9F"/>
    <w:rsid w:val="00EB1EAF"/>
    <w:rsid w:val="00ED0BDA"/>
    <w:rsid w:val="00EF1360"/>
    <w:rsid w:val="00EF3220"/>
    <w:rsid w:val="00F444E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9D2D748-250A-44C2-BE7D-8D22DCFE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link w:val="HChGR0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link w:val="H1GR0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_GR,5_G,PP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_GR Char,5_G Char,PP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  <w:style w:type="paragraph" w:styleId="HTMLAddress">
    <w:name w:val="HTML Address"/>
    <w:basedOn w:val="Normal"/>
    <w:link w:val="HTMLAddressChar"/>
    <w:semiHidden/>
    <w:rsid w:val="00CE5FA9"/>
    <w:rPr>
      <w:rFonts w:eastAsia="Times New Roman" w:cs="Times New Roman"/>
      <w:i/>
      <w:iCs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CE5FA9"/>
    <w:rPr>
      <w:i/>
      <w:iCs/>
      <w:spacing w:val="4"/>
      <w:w w:val="103"/>
      <w:kern w:val="14"/>
      <w:lang w:val="ru-RU" w:eastAsia="en-US"/>
    </w:rPr>
  </w:style>
  <w:style w:type="character" w:customStyle="1" w:styleId="SingleTxtGR0">
    <w:name w:val="_ Single Txt_GR Знак"/>
    <w:link w:val="SingleTxtGR"/>
    <w:rsid w:val="00CE5FA9"/>
    <w:rPr>
      <w:spacing w:val="4"/>
      <w:w w:val="103"/>
      <w:kern w:val="14"/>
      <w:lang w:val="ru-RU" w:eastAsia="en-US"/>
    </w:rPr>
  </w:style>
  <w:style w:type="character" w:customStyle="1" w:styleId="hps">
    <w:name w:val="hps"/>
    <w:rsid w:val="00CE5FA9"/>
  </w:style>
  <w:style w:type="character" w:customStyle="1" w:styleId="H1GR0">
    <w:name w:val="_ H_1_GR Знак"/>
    <w:link w:val="H1GR"/>
    <w:rsid w:val="00CE5FA9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CE5FA9"/>
    <w:rPr>
      <w:b/>
      <w:spacing w:val="4"/>
      <w:w w:val="103"/>
      <w:kern w:val="14"/>
      <w:sz w:val="28"/>
      <w:lang w:val="ru-RU" w:eastAsia="ru-RU"/>
    </w:rPr>
  </w:style>
  <w:style w:type="paragraph" w:customStyle="1" w:styleId="SingleTxtG">
    <w:name w:val="_ Single Txt_G"/>
    <w:basedOn w:val="Normal"/>
    <w:link w:val="SingleTxtGChar"/>
    <w:rsid w:val="00CE5FA9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/>
    </w:rPr>
  </w:style>
  <w:style w:type="character" w:customStyle="1" w:styleId="SingleTxtGChar">
    <w:name w:val="_ Single Txt_G Char"/>
    <w:link w:val="SingleTxtG"/>
    <w:locked/>
    <w:rsid w:val="00CE5FA9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E/ECE/324/Rev.2/Add.120/Rev.2/Amend.1</vt:lpstr>
      <vt:lpstr>E/ECE/324/Rev.2/Add.120/Rev.2/Amend.1</vt:lpstr>
      <vt:lpstr>A/</vt:lpstr>
    </vt:vector>
  </TitlesOfParts>
  <Company>DCM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E/ECE/324/Rev.2/Add.120/Rev.2/Amend.1</dc:title>
  <dc:creator>Marina Korotkova</dc:creator>
  <cp:keywords>E/ECE/TRANS/505/Rev.2/Add.120/Rev.2/Amend.1</cp:keywords>
  <cp:lastModifiedBy>Marie-Claude Collet</cp:lastModifiedBy>
  <cp:revision>3</cp:revision>
  <cp:lastPrinted>2017-11-28T06:48:00Z</cp:lastPrinted>
  <dcterms:created xsi:type="dcterms:W3CDTF">2017-11-28T06:47:00Z</dcterms:created>
  <dcterms:modified xsi:type="dcterms:W3CDTF">2017-11-28T06:48:00Z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