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E4A20" w:rsidRPr="00DB58B5" w:rsidTr="009E4A2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9E4A20" w:rsidRPr="00DB58B5" w:rsidRDefault="009E4A20" w:rsidP="0002432E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9E4A20" w:rsidRPr="00DB58B5" w:rsidRDefault="009E4A20" w:rsidP="009E4A20">
            <w:pPr>
              <w:jc w:val="right"/>
            </w:pPr>
            <w:r w:rsidRPr="009E4A20">
              <w:rPr>
                <w:sz w:val="40"/>
              </w:rPr>
              <w:t>E</w:t>
            </w:r>
            <w:r>
              <w:t>/ECE/324/Rev.2/Add.114/Rev.1/Amend.2−</w:t>
            </w:r>
            <w:r w:rsidRPr="009E4A20">
              <w:rPr>
                <w:sz w:val="40"/>
              </w:rPr>
              <w:t>E</w:t>
            </w:r>
            <w:r>
              <w:t>/ECE/TRANS/505/Rev.2/Add.114/Rev.1/Amend.2</w:t>
            </w:r>
          </w:p>
        </w:tc>
      </w:tr>
      <w:tr w:rsidR="0080236C" w:rsidRPr="00DB58B5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Pr="00DB58B5" w:rsidRDefault="0080236C" w:rsidP="0002432E">
            <w:pPr>
              <w:spacing w:before="12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4A20" w:rsidRPr="00DB58B5" w:rsidRDefault="009E4A20" w:rsidP="009E4A20">
            <w:pPr>
              <w:spacing w:before="720" w:line="240" w:lineRule="exact"/>
            </w:pPr>
            <w:r>
              <w:t>22 février 2017</w:t>
            </w:r>
          </w:p>
        </w:tc>
      </w:tr>
    </w:tbl>
    <w:p w:rsidR="009E4A20" w:rsidRDefault="009E4A20" w:rsidP="00083F1B">
      <w:pPr>
        <w:pStyle w:val="HChG"/>
        <w:spacing w:after="220" w:line="280" w:lineRule="exact"/>
      </w:pPr>
      <w:r>
        <w:tab/>
      </w:r>
      <w:r>
        <w:tab/>
        <w:t>Accord</w:t>
      </w:r>
    </w:p>
    <w:p w:rsidR="009E4A20" w:rsidRDefault="009E4A20" w:rsidP="00083F1B">
      <w:pPr>
        <w:pStyle w:val="H1G"/>
        <w:rPr>
          <w:b w:val="0"/>
          <w:sz w:val="20"/>
        </w:rPr>
      </w:pPr>
      <w:r>
        <w:tab/>
      </w:r>
      <w:r>
        <w:tab/>
        <w:t xml:space="preserve">Concernant l’adoption de prescriptions techniques uniformes applicables aux véhicules à roues, aux équipements et aux pièces susceptibles d’être montés ou utilisés sur un véhicule à roues et </w:t>
      </w:r>
      <w:r>
        <w:br/>
        <w:t xml:space="preserve">les conditions de </w:t>
      </w:r>
      <w:r w:rsidRPr="00083F1B">
        <w:t>reconnaissance</w:t>
      </w:r>
      <w:r>
        <w:t xml:space="preserve"> réciproque des homologations délivrées conformément à ces prescriptions</w:t>
      </w:r>
      <w:r w:rsidRPr="00EF606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E4A20" w:rsidRDefault="009E4A20" w:rsidP="00052D42">
      <w:pPr>
        <w:pStyle w:val="SingleTxtG"/>
        <w:spacing w:after="100" w:line="220" w:lineRule="atLeast"/>
      </w:pPr>
      <w:r>
        <w:t>(Révision 2, comprenant les amendements entrés en vigueur le 16 octobre 1995)</w:t>
      </w:r>
    </w:p>
    <w:p w:rsidR="009E4A20" w:rsidRPr="00C36A3B" w:rsidRDefault="009E4A20" w:rsidP="00E97268">
      <w:pPr>
        <w:pStyle w:val="SingleTxtG"/>
        <w:spacing w:before="120" w:after="0" w:line="120" w:lineRule="atLeast"/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E4A20" w:rsidRDefault="009E4A20" w:rsidP="00052D42">
      <w:pPr>
        <w:pStyle w:val="H1G"/>
        <w:spacing w:before="340" w:after="220" w:line="250" w:lineRule="exact"/>
      </w:pPr>
      <w:r>
        <w:tab/>
      </w:r>
      <w:r>
        <w:tab/>
        <w:t>Additif 114 : Règlement n</w:t>
      </w:r>
      <w:r w:rsidRPr="007859A7">
        <w:rPr>
          <w:vertAlign w:val="superscript"/>
        </w:rPr>
        <w:t>o</w:t>
      </w:r>
      <w:r>
        <w:t> 115</w:t>
      </w:r>
    </w:p>
    <w:p w:rsidR="009E4A20" w:rsidRDefault="009E4A20" w:rsidP="00052D42">
      <w:pPr>
        <w:pStyle w:val="H1G"/>
        <w:spacing w:before="340" w:after="220" w:line="250" w:lineRule="exact"/>
      </w:pPr>
      <w:r>
        <w:tab/>
      </w:r>
      <w:r>
        <w:tab/>
        <w:t>Révision 1 − Amendement 2</w:t>
      </w:r>
    </w:p>
    <w:p w:rsidR="009E4A20" w:rsidRPr="00083F1B" w:rsidRDefault="009E4A20" w:rsidP="009E4A20">
      <w:pPr>
        <w:pStyle w:val="SingleTxtG"/>
        <w:rPr>
          <w:spacing w:val="-3"/>
        </w:rPr>
      </w:pPr>
      <w:r w:rsidRPr="00083F1B">
        <w:rPr>
          <w:spacing w:val="-3"/>
        </w:rPr>
        <w:t>Complément 7</w:t>
      </w:r>
      <w:r w:rsidR="00A94078" w:rsidRPr="00083F1B">
        <w:rPr>
          <w:spacing w:val="-3"/>
        </w:rPr>
        <w:t xml:space="preserve"> à la version originale du </w:t>
      </w:r>
      <w:r w:rsidRPr="00083F1B">
        <w:rPr>
          <w:spacing w:val="-3"/>
        </w:rPr>
        <w:t>Règlement − Date d’entrée en vigueur : 9 février 2017</w:t>
      </w:r>
    </w:p>
    <w:p w:rsidR="009E4A20" w:rsidRDefault="009E4A20" w:rsidP="00052D42">
      <w:pPr>
        <w:pStyle w:val="H1G"/>
        <w:spacing w:before="340" w:after="220" w:line="250" w:lineRule="exact"/>
        <w:rPr>
          <w:spacing w:val="2"/>
        </w:rPr>
      </w:pPr>
      <w:r w:rsidRPr="000A3E26">
        <w:rPr>
          <w:spacing w:val="2"/>
        </w:rPr>
        <w:tab/>
      </w:r>
      <w:r w:rsidRPr="000A3E26">
        <w:rPr>
          <w:spacing w:val="2"/>
        </w:rPr>
        <w:tab/>
      </w:r>
      <w:r w:rsidRPr="00052D42">
        <w:t>Prescriptions</w:t>
      </w:r>
      <w:r w:rsidRPr="000A3E26">
        <w:rPr>
          <w:spacing w:val="2"/>
        </w:rPr>
        <w:t xml:space="preserve"> uniformes relatives à l’homologation</w:t>
      </w:r>
      <w:r>
        <w:rPr>
          <w:spacing w:val="2"/>
        </w:rPr>
        <w:t> :</w:t>
      </w:r>
    </w:p>
    <w:p w:rsidR="009E4A20" w:rsidRPr="009F3B6C" w:rsidRDefault="009E4A20" w:rsidP="004C12E4">
      <w:pPr>
        <w:pStyle w:val="H1G"/>
        <w:spacing w:before="340" w:after="220" w:line="250" w:lineRule="exact"/>
        <w:ind w:left="1701" w:hanging="567"/>
        <w:rPr>
          <w:spacing w:val="-1"/>
        </w:rPr>
      </w:pPr>
      <w:r>
        <w:t>I.</w:t>
      </w:r>
      <w:r>
        <w:tab/>
        <w:t xml:space="preserve">Des systèmes spéciaux d’adaptation au GPL (gaz de pétrole </w:t>
      </w:r>
      <w:r w:rsidRPr="009F3B6C">
        <w:rPr>
          <w:spacing w:val="4"/>
        </w:rPr>
        <w:t xml:space="preserve">liquéfié) pour véhicules automobiles leur permettant </w:t>
      </w:r>
      <w:r w:rsidR="009F3B6C" w:rsidRPr="009F3B6C">
        <w:rPr>
          <w:spacing w:val="4"/>
        </w:rPr>
        <w:br/>
      </w:r>
      <w:r w:rsidRPr="009F3B6C">
        <w:rPr>
          <w:spacing w:val="-1"/>
        </w:rPr>
        <w:t>d’utiliser ce carburant dans leur système de propulsion</w:t>
      </w:r>
    </w:p>
    <w:p w:rsidR="009E4A20" w:rsidRPr="009E4A20" w:rsidRDefault="009E4A20" w:rsidP="004C12E4">
      <w:pPr>
        <w:pStyle w:val="H1G"/>
        <w:spacing w:before="340" w:after="220" w:line="250" w:lineRule="exact"/>
        <w:ind w:left="1701" w:hanging="567"/>
      </w:pPr>
      <w:r w:rsidRPr="00052D42">
        <w:t>II</w:t>
      </w:r>
      <w:r w:rsidRPr="009E4A20">
        <w:rPr>
          <w:spacing w:val="2"/>
        </w:rPr>
        <w:t>.</w:t>
      </w:r>
      <w:r w:rsidRPr="009E4A20">
        <w:rPr>
          <w:spacing w:val="2"/>
        </w:rPr>
        <w:tab/>
        <w:t>Des systèmes spéciaux d’adaptation au GNC (gaz naturel</w:t>
      </w:r>
      <w:r>
        <w:t xml:space="preserve"> </w:t>
      </w:r>
      <w:r w:rsidRPr="009F3B6C">
        <w:rPr>
          <w:spacing w:val="4"/>
        </w:rPr>
        <w:t xml:space="preserve">comprimé) pour véhicules automobiles leur permettant </w:t>
      </w:r>
      <w:r w:rsidR="009F3B6C" w:rsidRPr="009F3B6C">
        <w:rPr>
          <w:spacing w:val="4"/>
        </w:rPr>
        <w:br/>
      </w:r>
      <w:r w:rsidRPr="009E4A20">
        <w:rPr>
          <w:spacing w:val="-2"/>
        </w:rPr>
        <w:t>d’utiliser</w:t>
      </w:r>
      <w:r>
        <w:t xml:space="preserve"> ce carburant dans leur système de propulsion</w:t>
      </w:r>
    </w:p>
    <w:p w:rsidR="009E4A20" w:rsidRPr="009E4A20" w:rsidRDefault="009E4A20" w:rsidP="009E4A20">
      <w:pPr>
        <w:pStyle w:val="SingleTxtG"/>
      </w:pPr>
      <w:r w:rsidRPr="009E4A20">
        <w:rPr>
          <w:spacing w:val="-2"/>
        </w:rPr>
        <w:t xml:space="preserve">Le présent document est communiqué uniquement à titre d’information. Le texte authentique, </w:t>
      </w:r>
      <w:r w:rsidRPr="009E4A20">
        <w:t>juridiquement contraignant, est celui du document ECE/TRANS/WP.29/2016/44.</w:t>
      </w:r>
    </w:p>
    <w:p w:rsidR="009E4A20" w:rsidRPr="007859A7" w:rsidRDefault="009E4A20" w:rsidP="00E97268">
      <w:pPr>
        <w:pStyle w:val="SingleTxtG"/>
        <w:spacing w:before="200" w:after="80" w:line="20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4A20" w:rsidRDefault="009E4A20" w:rsidP="009E4A20">
      <w:pPr>
        <w:pStyle w:val="SingleTxtG"/>
        <w:jc w:val="center"/>
      </w:pPr>
      <w:r w:rsidRPr="00133191">
        <w:rPr>
          <w:b/>
          <w:noProof/>
          <w:lang w:val="en-GB" w:eastAsia="en-GB"/>
        </w:rPr>
        <w:drawing>
          <wp:inline distT="0" distB="0" distL="0" distR="0" wp14:anchorId="1DDE0BA3" wp14:editId="6A71277B">
            <wp:extent cx="895851" cy="720000"/>
            <wp:effectExtent l="0" t="0" r="0" b="444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51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35A" w:rsidRDefault="009E4A20" w:rsidP="008F535A">
      <w:pPr>
        <w:spacing w:line="240" w:lineRule="auto"/>
        <w:jc w:val="center"/>
        <w:rPr>
          <w:b/>
          <w:sz w:val="24"/>
          <w:szCs w:val="24"/>
        </w:rPr>
      </w:pPr>
      <w:r w:rsidRPr="004778D3">
        <w:rPr>
          <w:b/>
          <w:sz w:val="24"/>
          <w:szCs w:val="24"/>
        </w:rPr>
        <w:lastRenderedPageBreak/>
        <w:t>NATIONS UNIES</w:t>
      </w:r>
    </w:p>
    <w:p w:rsidR="007851CB" w:rsidRPr="002E1D02" w:rsidRDefault="008F535A" w:rsidP="008F535A">
      <w:pPr>
        <w:pStyle w:val="SingleTxtG"/>
      </w:pPr>
      <w:r>
        <w:rPr>
          <w:b/>
          <w:sz w:val="24"/>
          <w:szCs w:val="24"/>
        </w:rPr>
        <w:br w:type="page"/>
      </w:r>
      <w:r w:rsidR="007851CB" w:rsidRPr="002E1D02">
        <w:rPr>
          <w:i/>
        </w:rPr>
        <w:lastRenderedPageBreak/>
        <w:t xml:space="preserve">Annexe 1A </w:t>
      </w:r>
      <w:r w:rsidR="007851CB" w:rsidRPr="002E1D02">
        <w:t>−</w:t>
      </w:r>
      <w:r w:rsidR="007851CB" w:rsidRPr="002E1D02">
        <w:rPr>
          <w:i/>
        </w:rPr>
        <w:t xml:space="preserve"> Additif</w:t>
      </w:r>
      <w:r w:rsidR="007851CB" w:rsidRPr="002E1D02">
        <w:t>, modifier comme suit </w:t>
      </w:r>
      <w:r w:rsidR="007851CB" w:rsidRPr="002E1D02">
        <w:rPr>
          <w:i/>
        </w:rPr>
        <w:t>:</w:t>
      </w:r>
    </w:p>
    <w:p w:rsidR="007851CB" w:rsidRPr="002E1D02" w:rsidRDefault="00AD01F8" w:rsidP="007851CB">
      <w:pPr>
        <w:pStyle w:val="HChG"/>
      </w:pPr>
      <w:r>
        <w:t>« </w:t>
      </w:r>
      <w:r w:rsidR="007851CB" w:rsidRPr="002E1D02">
        <w:t xml:space="preserve">Annexe 1A </w:t>
      </w:r>
      <w:r>
        <w:t>−</w:t>
      </w:r>
      <w:r w:rsidR="007851CB" w:rsidRPr="002E1D02">
        <w:t xml:space="preserve"> Additif</w:t>
      </w:r>
    </w:p>
    <w:p w:rsidR="007851CB" w:rsidRPr="002E1D02" w:rsidRDefault="007851CB" w:rsidP="007851CB">
      <w:pPr>
        <w:pStyle w:val="HChG"/>
      </w:pPr>
      <w:r w:rsidRPr="002E1D02">
        <w:tab/>
      </w:r>
      <w:r w:rsidRPr="002E1D02">
        <w:tab/>
        <w:t xml:space="preserve">Additif à la fiche de communication concernant </w:t>
      </w:r>
      <w:r w:rsidRPr="002E1D02">
        <w:br/>
        <w:t xml:space="preserve">un type d’équipement d’adaptation au GPL </w:t>
      </w:r>
      <w:r w:rsidRPr="002E1D02">
        <w:br/>
        <w:t>conforme au Règlement n</w:t>
      </w:r>
      <w:r w:rsidRPr="002E1D02">
        <w:rPr>
          <w:vertAlign w:val="superscript"/>
        </w:rPr>
        <w:t>o</w:t>
      </w:r>
      <w:r w:rsidRPr="002E1D02">
        <w:t> 115</w:t>
      </w:r>
    </w:p>
    <w:p w:rsidR="007851CB" w:rsidRPr="002E1D02" w:rsidRDefault="007851CB" w:rsidP="007851CB">
      <w:pPr>
        <w:pStyle w:val="SingleTxtGR"/>
        <w:tabs>
          <w:tab w:val="clear" w:pos="2835"/>
          <w:tab w:val="clear" w:pos="3402"/>
          <w:tab w:val="clear" w:pos="3969"/>
          <w:tab w:val="right" w:leader="dot" w:pos="1701"/>
          <w:tab w:val="right" w:leader="dot" w:pos="5103"/>
          <w:tab w:val="left" w:pos="5245"/>
          <w:tab w:val="right" w:leader="dot" w:pos="8505"/>
        </w:tabs>
        <w:rPr>
          <w:lang w:val="fr-CH"/>
        </w:rPr>
      </w:pPr>
      <w:r w:rsidRPr="002E1D02">
        <w:rPr>
          <w:lang w:val="fr-CH"/>
        </w:rPr>
        <w:t>(N</w:t>
      </w:r>
      <w:r w:rsidRPr="002E1D02">
        <w:rPr>
          <w:vertAlign w:val="superscript"/>
          <w:lang w:val="fr-CH"/>
        </w:rPr>
        <w:t>o</w:t>
      </w:r>
      <w:r w:rsidRPr="002E1D02">
        <w:rPr>
          <w:lang w:val="fr-CH"/>
        </w:rPr>
        <w:t> d’homologation :</w:t>
      </w:r>
      <w:r w:rsidRPr="002E1D02">
        <w:rPr>
          <w:lang w:val="fr-CH"/>
        </w:rPr>
        <w:tab/>
      </w:r>
      <w:r w:rsidRPr="002E1D02">
        <w:rPr>
          <w:lang w:val="fr-CH"/>
        </w:rPr>
        <w:tab/>
        <w:t>N</w:t>
      </w:r>
      <w:r w:rsidRPr="002E1D02">
        <w:rPr>
          <w:vertAlign w:val="superscript"/>
          <w:lang w:val="fr-CH"/>
        </w:rPr>
        <w:t>o</w:t>
      </w:r>
      <w:r w:rsidRPr="002E1D02">
        <w:rPr>
          <w:lang w:val="fr-CH"/>
        </w:rPr>
        <w:t> d’extension :</w:t>
      </w:r>
      <w:r w:rsidRPr="002E1D02">
        <w:rPr>
          <w:lang w:val="fr-CH"/>
        </w:rPr>
        <w:tab/>
        <w:t>)</w:t>
      </w:r>
    </w:p>
    <w:p w:rsidR="007851CB" w:rsidRPr="002E1D02" w:rsidRDefault="007851CB" w:rsidP="007851CB">
      <w:pPr>
        <w:pStyle w:val="SingleTxtG"/>
      </w:pPr>
      <w:r w:rsidRPr="002E1D02">
        <w:t>1.</w:t>
      </w:r>
      <w:r w:rsidRPr="002E1D02">
        <w:tab/>
        <w:t xml:space="preserve">Véhicules sur lesquels l’équipement </w:t>
      </w:r>
      <w:r w:rsidR="00AD01F8">
        <w:t>d’ad</w:t>
      </w:r>
      <w:r w:rsidR="009840B9">
        <w:t>a</w:t>
      </w:r>
      <w:r w:rsidR="00AD01F8">
        <w:t>ptation</w:t>
      </w:r>
      <w:r w:rsidRPr="002E1D02">
        <w:t xml:space="preserve"> a été essayé 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1538"/>
        <w:gridCol w:w="1539"/>
        <w:gridCol w:w="1539"/>
      </w:tblGrid>
      <w:tr w:rsidR="007851CB" w:rsidRPr="002E1D02" w:rsidTr="00CE73FA">
        <w:trPr>
          <w:tblHeader/>
        </w:trPr>
        <w:tc>
          <w:tcPr>
            <w:tcW w:w="2754" w:type="dxa"/>
            <w:shd w:val="clear" w:color="auto" w:fill="auto"/>
            <w:vAlign w:val="bottom"/>
          </w:tcPr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szCs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szCs w:val="16"/>
                <w:lang w:val="fr-CH"/>
              </w:rPr>
              <w:t>Numéro de véhicule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center"/>
              <w:rPr>
                <w:i/>
                <w:sz w:val="16"/>
                <w:szCs w:val="16"/>
                <w:lang w:val="fr-CH"/>
              </w:rPr>
            </w:pPr>
            <w:r w:rsidRPr="002E1D02">
              <w:rPr>
                <w:i/>
                <w:sz w:val="16"/>
                <w:szCs w:val="16"/>
                <w:lang w:val="fr-CH"/>
              </w:rPr>
              <w:t>1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center"/>
              <w:rPr>
                <w:i/>
                <w:sz w:val="16"/>
                <w:szCs w:val="16"/>
                <w:lang w:val="fr-CH"/>
              </w:rPr>
            </w:pPr>
            <w:r w:rsidRPr="002E1D02">
              <w:rPr>
                <w:i/>
                <w:sz w:val="16"/>
                <w:szCs w:val="16"/>
                <w:lang w:val="fr-CH"/>
              </w:rPr>
              <w:t>2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center"/>
              <w:rPr>
                <w:i/>
                <w:sz w:val="16"/>
                <w:szCs w:val="16"/>
                <w:lang w:val="fr-CH"/>
              </w:rPr>
            </w:pPr>
            <w:r w:rsidRPr="002E1D02">
              <w:rPr>
                <w:i/>
                <w:sz w:val="16"/>
                <w:szCs w:val="16"/>
                <w:lang w:val="fr-CH"/>
              </w:rPr>
              <w:t>n</w:t>
            </w:r>
          </w:p>
        </w:tc>
      </w:tr>
      <w:tr w:rsidR="007851CB" w:rsidRPr="002E1D02" w:rsidTr="00CE73FA">
        <w:tc>
          <w:tcPr>
            <w:tcW w:w="275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lang w:val="fr-CH"/>
              </w:rPr>
              <w:t>Marque</w:t>
            </w:r>
          </w:p>
        </w:tc>
        <w:tc>
          <w:tcPr>
            <w:tcW w:w="153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</w:tr>
      <w:tr w:rsidR="007851CB" w:rsidRPr="002E1D02" w:rsidTr="00CE73FA">
        <w:tc>
          <w:tcPr>
            <w:tcW w:w="275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Type</w:t>
            </w:r>
          </w:p>
        </w:tc>
        <w:tc>
          <w:tcPr>
            <w:tcW w:w="153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</w:tr>
      <w:tr w:rsidR="007851CB" w:rsidRPr="002E1D02" w:rsidTr="00CE73FA">
        <w:tc>
          <w:tcPr>
            <w:tcW w:w="275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bCs/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Catégorie</w:t>
            </w:r>
          </w:p>
        </w:tc>
        <w:tc>
          <w:tcPr>
            <w:tcW w:w="153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</w:tr>
      <w:tr w:rsidR="007851CB" w:rsidRPr="002E1D02" w:rsidTr="00CE73FA">
        <w:tc>
          <w:tcPr>
            <w:tcW w:w="275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  <w:r w:rsidRPr="002E1D02">
              <w:rPr>
                <w:lang w:val="fr-CH"/>
              </w:rPr>
              <w:t>Type du moteur</w:t>
            </w:r>
          </w:p>
        </w:tc>
        <w:tc>
          <w:tcPr>
            <w:tcW w:w="153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</w:tr>
      <w:tr w:rsidR="007851CB" w:rsidRPr="002E1D02" w:rsidTr="00CE73FA">
        <w:tc>
          <w:tcPr>
            <w:tcW w:w="275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  <w:r w:rsidRPr="002E1D02">
              <w:rPr>
                <w:lang w:val="fr-CH"/>
              </w:rPr>
              <w:t>Niveau d’émissions</w:t>
            </w:r>
          </w:p>
        </w:tc>
        <w:tc>
          <w:tcPr>
            <w:tcW w:w="153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</w:tr>
      <w:tr w:rsidR="007851CB" w:rsidRPr="002E1D02" w:rsidTr="00CE73FA">
        <w:tc>
          <w:tcPr>
            <w:tcW w:w="275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  <w:r w:rsidRPr="002E1D02">
              <w:rPr>
                <w:lang w:val="fr-CH"/>
              </w:rPr>
              <w:t>Puissance</w:t>
            </w:r>
          </w:p>
        </w:tc>
        <w:tc>
          <w:tcPr>
            <w:tcW w:w="153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</w:tr>
      <w:tr w:rsidR="007851CB" w:rsidRPr="002E1D02" w:rsidTr="00CE73FA">
        <w:tc>
          <w:tcPr>
            <w:tcW w:w="275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  <w:r w:rsidRPr="002E1D02">
              <w:rPr>
                <w:lang w:val="fr-CH"/>
              </w:rPr>
              <w:t>Type du système antipollution</w:t>
            </w:r>
          </w:p>
        </w:tc>
        <w:tc>
          <w:tcPr>
            <w:tcW w:w="153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</w:tr>
    </w:tbl>
    <w:p w:rsidR="007851CB" w:rsidRPr="002E1D02" w:rsidRDefault="007851CB" w:rsidP="007851CB">
      <w:pPr>
        <w:pStyle w:val="SingleTxtG"/>
        <w:spacing w:before="240"/>
      </w:pPr>
      <w:r w:rsidRPr="002E1D02">
        <w:t>1.1</w:t>
      </w:r>
      <w:r w:rsidRPr="002E1D02">
        <w:tab/>
        <w:t>Résultats des essais 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854"/>
        <w:gridCol w:w="757"/>
        <w:gridCol w:w="757"/>
        <w:gridCol w:w="757"/>
        <w:gridCol w:w="757"/>
        <w:gridCol w:w="919"/>
        <w:gridCol w:w="691"/>
        <w:gridCol w:w="692"/>
        <w:gridCol w:w="691"/>
        <w:gridCol w:w="692"/>
      </w:tblGrid>
      <w:tr w:rsidR="007851CB" w:rsidRPr="002E1D02" w:rsidTr="00CE73FA">
        <w:trPr>
          <w:tblHeader/>
        </w:trPr>
        <w:tc>
          <w:tcPr>
            <w:tcW w:w="938" w:type="dxa"/>
            <w:shd w:val="clear" w:color="auto" w:fill="auto"/>
            <w:vAlign w:val="bottom"/>
          </w:tcPr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Carburant</w:t>
            </w:r>
          </w:p>
        </w:tc>
        <w:tc>
          <w:tcPr>
            <w:tcW w:w="3882" w:type="dxa"/>
            <w:gridSpan w:val="5"/>
            <w:shd w:val="clear" w:color="auto" w:fill="auto"/>
            <w:vAlign w:val="bottom"/>
          </w:tcPr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57" w:right="0"/>
              <w:jc w:val="center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Essence</w:t>
            </w:r>
          </w:p>
        </w:tc>
        <w:tc>
          <w:tcPr>
            <w:tcW w:w="3685" w:type="dxa"/>
            <w:gridSpan w:val="5"/>
            <w:shd w:val="clear" w:color="auto" w:fill="auto"/>
            <w:vAlign w:val="bottom"/>
          </w:tcPr>
          <w:p w:rsidR="007851CB" w:rsidRPr="002E1D02" w:rsidRDefault="007851CB" w:rsidP="00CE73FA">
            <w:pPr>
              <w:spacing w:before="80" w:after="80" w:line="200" w:lineRule="atLeast"/>
              <w:ind w:right="113"/>
              <w:jc w:val="center"/>
              <w:rPr>
                <w:i/>
                <w:sz w:val="16"/>
              </w:rPr>
            </w:pPr>
            <w:r w:rsidRPr="002E1D02">
              <w:rPr>
                <w:i/>
                <w:sz w:val="16"/>
              </w:rPr>
              <w:t>GPL</w:t>
            </w:r>
          </w:p>
        </w:tc>
      </w:tr>
      <w:tr w:rsidR="007851CB" w:rsidRPr="002E1D02" w:rsidTr="00CE73FA">
        <w:tc>
          <w:tcPr>
            <w:tcW w:w="938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Numéro</w:t>
            </w:r>
            <w:r w:rsidRPr="002E1D02">
              <w:rPr>
                <w:i/>
                <w:sz w:val="16"/>
                <w:lang w:val="fr-CH"/>
              </w:rPr>
              <w:t xml:space="preserve"> de</w:t>
            </w:r>
          </w:p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véhicule</w:t>
            </w:r>
          </w:p>
        </w:tc>
        <w:tc>
          <w:tcPr>
            <w:tcW w:w="854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Puissance</w:t>
            </w:r>
          </w:p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(kW)</w:t>
            </w: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CO</w:t>
            </w:r>
          </w:p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HC</w:t>
            </w:r>
          </w:p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NOx</w:t>
            </w:r>
          </w:p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CO</w:t>
            </w:r>
            <w:r w:rsidRPr="002E1D02">
              <w:rPr>
                <w:i/>
                <w:spacing w:val="0"/>
                <w:w w:val="100"/>
                <w:kern w:val="0"/>
                <w:sz w:val="16"/>
                <w:vertAlign w:val="subscript"/>
                <w:lang w:val="fr-CH"/>
              </w:rPr>
              <w:t>2</w:t>
            </w:r>
            <w:r w:rsidRPr="002E1D02">
              <w:rPr>
                <w:i/>
                <w:spacing w:val="0"/>
                <w:w w:val="100"/>
                <w:kern w:val="0"/>
                <w:sz w:val="16"/>
                <w:vertAlign w:val="superscript"/>
                <w:lang w:val="fr-CH"/>
              </w:rPr>
              <w:t>1</w:t>
            </w:r>
          </w:p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919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Puissance</w:t>
            </w:r>
          </w:p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(kW)</w:t>
            </w:r>
          </w:p>
        </w:tc>
        <w:tc>
          <w:tcPr>
            <w:tcW w:w="691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CO</w:t>
            </w:r>
          </w:p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692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HC</w:t>
            </w:r>
          </w:p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691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NOx</w:t>
            </w:r>
          </w:p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692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CO</w:t>
            </w:r>
            <w:r w:rsidRPr="002E1D02">
              <w:rPr>
                <w:i/>
                <w:spacing w:val="0"/>
                <w:w w:val="100"/>
                <w:kern w:val="0"/>
                <w:sz w:val="16"/>
                <w:vertAlign w:val="subscript"/>
                <w:lang w:val="fr-CH"/>
              </w:rPr>
              <w:t>2</w:t>
            </w:r>
            <w:r w:rsidRPr="002E1D02">
              <w:rPr>
                <w:i/>
                <w:spacing w:val="0"/>
                <w:w w:val="100"/>
                <w:kern w:val="0"/>
                <w:sz w:val="16"/>
                <w:vertAlign w:val="superscript"/>
                <w:lang w:val="fr-CH"/>
              </w:rPr>
              <w:t>1</w:t>
            </w:r>
          </w:p>
          <w:p w:rsidR="007851CB" w:rsidRPr="002E1D02" w:rsidRDefault="007851CB" w:rsidP="00CE73F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</w:tr>
      <w:tr w:rsidR="007851CB" w:rsidRPr="002E1D02" w:rsidTr="00CE73FA">
        <w:tc>
          <w:tcPr>
            <w:tcW w:w="93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1</w:t>
            </w:r>
          </w:p>
        </w:tc>
        <w:tc>
          <w:tcPr>
            <w:tcW w:w="854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919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1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2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1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2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7851CB" w:rsidRPr="002E1D02" w:rsidTr="00CE73FA">
        <w:tc>
          <w:tcPr>
            <w:tcW w:w="93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2</w:t>
            </w:r>
          </w:p>
        </w:tc>
        <w:tc>
          <w:tcPr>
            <w:tcW w:w="854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919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1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2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1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2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7851CB" w:rsidRPr="002E1D02" w:rsidTr="00CE73FA">
        <w:tc>
          <w:tcPr>
            <w:tcW w:w="93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n</w:t>
            </w:r>
          </w:p>
        </w:tc>
        <w:tc>
          <w:tcPr>
            <w:tcW w:w="854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919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1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2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1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2" w:type="dxa"/>
            <w:shd w:val="clear" w:color="auto" w:fill="auto"/>
            <w:tcMar>
              <w:left w:w="11" w:type="dxa"/>
            </w:tcMar>
          </w:tcPr>
          <w:p w:rsidR="007851CB" w:rsidRPr="002E1D02" w:rsidRDefault="007851CB" w:rsidP="00CE73FA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</w:tbl>
    <w:p w:rsidR="007851CB" w:rsidRPr="002E1D02" w:rsidRDefault="007851CB" w:rsidP="007851CB">
      <w:pPr>
        <w:pStyle w:val="SingleTxtG"/>
        <w:spacing w:before="120" w:after="240"/>
        <w:ind w:firstLine="170"/>
        <w:rPr>
          <w:sz w:val="18"/>
          <w:szCs w:val="18"/>
        </w:rPr>
      </w:pPr>
      <w:r w:rsidRPr="002E1D02">
        <w:rPr>
          <w:vertAlign w:val="superscript"/>
        </w:rPr>
        <w:t xml:space="preserve">1  </w:t>
      </w:r>
      <w:r w:rsidRPr="002E1D02">
        <w:rPr>
          <w:sz w:val="18"/>
          <w:szCs w:val="18"/>
        </w:rPr>
        <w:t>Réservé aux véhicules des catégories M</w:t>
      </w:r>
      <w:r w:rsidRPr="002E1D02">
        <w:rPr>
          <w:sz w:val="18"/>
          <w:szCs w:val="18"/>
          <w:vertAlign w:val="subscript"/>
        </w:rPr>
        <w:t>1</w:t>
      </w:r>
      <w:r w:rsidRPr="002E1D02">
        <w:rPr>
          <w:sz w:val="18"/>
          <w:szCs w:val="18"/>
        </w:rPr>
        <w:t xml:space="preserve"> et N</w:t>
      </w:r>
      <w:r w:rsidRPr="002E1D02">
        <w:rPr>
          <w:sz w:val="18"/>
          <w:szCs w:val="18"/>
          <w:vertAlign w:val="subscript"/>
        </w:rPr>
        <w:t>1</w:t>
      </w:r>
      <w:r w:rsidRPr="002E1D02">
        <w:rPr>
          <w:sz w:val="18"/>
          <w:szCs w:val="18"/>
        </w:rPr>
        <w:t>.</w:t>
      </w:r>
    </w:p>
    <w:p w:rsidR="007851CB" w:rsidRPr="002E1D02" w:rsidRDefault="007851CB" w:rsidP="007851CB">
      <w:pPr>
        <w:pStyle w:val="SingleTxtG"/>
      </w:pPr>
      <w:r w:rsidRPr="002E1D02">
        <w:t>2.</w:t>
      </w:r>
      <w:r w:rsidRPr="002E1D02">
        <w:tab/>
        <w:t>Rapports</w:t>
      </w:r>
    </w:p>
    <w:p w:rsidR="007851CB" w:rsidRPr="002E1D02" w:rsidRDefault="007851CB" w:rsidP="007851CB">
      <w:pPr>
        <w:widowControl w:val="0"/>
        <w:tabs>
          <w:tab w:val="left" w:leader="dot" w:pos="8505"/>
        </w:tabs>
        <w:spacing w:after="120"/>
        <w:ind w:left="1701" w:hanging="567"/>
      </w:pPr>
      <w:r w:rsidRPr="002E1D02">
        <w:t>2.1</w:t>
      </w:r>
      <w:r w:rsidRPr="002E1D02">
        <w:tab/>
        <w:t>Rapport CO</w:t>
      </w:r>
      <w:r w:rsidRPr="002E1D02">
        <w:rPr>
          <w:vertAlign w:val="subscript"/>
        </w:rPr>
        <w:t>2</w:t>
      </w:r>
      <w:r w:rsidR="009F3B6C">
        <w:rPr>
          <w:vertAlign w:val="subscript"/>
        </w:rPr>
        <w:t>LPG</w:t>
      </w:r>
      <w:r w:rsidRPr="002E1D02">
        <w:t>/CO</w:t>
      </w:r>
      <w:r w:rsidRPr="002E1D02">
        <w:rPr>
          <w:vertAlign w:val="subscript"/>
        </w:rPr>
        <w:t>2</w:t>
      </w:r>
      <w:r w:rsidRPr="00AD01F8">
        <w:rPr>
          <w:vertAlign w:val="subscript"/>
        </w:rPr>
        <w:t>petrol</w:t>
      </w:r>
      <w:r w:rsidRPr="002E1D02">
        <w:t xml:space="preserve"> : </w:t>
      </w:r>
      <w:r w:rsidRPr="002E1D02">
        <w:tab/>
      </w:r>
    </w:p>
    <w:p w:rsidR="007851CB" w:rsidRPr="002E1D02" w:rsidRDefault="007851CB" w:rsidP="007851CB">
      <w:pPr>
        <w:widowControl w:val="0"/>
        <w:tabs>
          <w:tab w:val="left" w:leader="dot" w:pos="8505"/>
        </w:tabs>
        <w:spacing w:after="120"/>
        <w:ind w:left="1701" w:hanging="567"/>
      </w:pPr>
      <w:r w:rsidRPr="002E1D02">
        <w:t>2.2</w:t>
      </w:r>
      <w:r w:rsidRPr="002E1D02">
        <w:tab/>
        <w:t>Rapport Power</w:t>
      </w:r>
      <w:r w:rsidR="00AD01F8">
        <w:rPr>
          <w:vertAlign w:val="subscript"/>
        </w:rPr>
        <w:t>LPG</w:t>
      </w:r>
      <w:r w:rsidRPr="002E1D02">
        <w:t>/Power</w:t>
      </w:r>
      <w:r w:rsidRPr="00AD01F8">
        <w:rPr>
          <w:vertAlign w:val="subscript"/>
        </w:rPr>
        <w:t>petrol</w:t>
      </w:r>
      <w:r w:rsidRPr="002E1D02">
        <w:t xml:space="preserve"> : </w:t>
      </w:r>
      <w:r w:rsidRPr="002E1D02">
        <w:tab/>
      </w:r>
    </w:p>
    <w:p w:rsidR="007851CB" w:rsidRPr="002E1D02" w:rsidRDefault="007851CB" w:rsidP="007851CB">
      <w:pPr>
        <w:pStyle w:val="SingleTxtG"/>
        <w:keepNext/>
        <w:rPr>
          <w:spacing w:val="-2"/>
        </w:rPr>
      </w:pPr>
      <w:r w:rsidRPr="002E1D02">
        <w:t>3.</w:t>
      </w:r>
      <w:r w:rsidRPr="002E1D02">
        <w:tab/>
      </w:r>
      <w:r w:rsidRPr="002E1D02">
        <w:rPr>
          <w:spacing w:val="-2"/>
        </w:rPr>
        <w:t>Liste des types de véhicules sur lesquels l’</w:t>
      </w:r>
      <w:r w:rsidR="00AD01F8">
        <w:rPr>
          <w:spacing w:val="-2"/>
        </w:rPr>
        <w:t xml:space="preserve">équipement d’adaptation </w:t>
      </w:r>
      <w:r w:rsidRPr="002E1D02">
        <w:rPr>
          <w:spacing w:val="-2"/>
        </w:rPr>
        <w:t>peut être monté 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350"/>
        <w:gridCol w:w="1923"/>
        <w:gridCol w:w="2564"/>
      </w:tblGrid>
      <w:tr w:rsidR="007851CB" w:rsidRPr="002E1D02" w:rsidTr="00CE73FA">
        <w:trPr>
          <w:tblHeader/>
        </w:trPr>
        <w:tc>
          <w:tcPr>
            <w:tcW w:w="533" w:type="dxa"/>
            <w:shd w:val="clear" w:color="auto" w:fill="auto"/>
            <w:vAlign w:val="bottom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</w:p>
        </w:tc>
        <w:tc>
          <w:tcPr>
            <w:tcW w:w="2350" w:type="dxa"/>
            <w:shd w:val="clear" w:color="auto" w:fill="auto"/>
            <w:vAlign w:val="bottom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Type du véhicule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Type du moteur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Puissance (kW)</w:t>
            </w:r>
          </w:p>
        </w:tc>
      </w:tr>
      <w:tr w:rsidR="007851CB" w:rsidRPr="002E1D02" w:rsidTr="00CE73FA">
        <w:tc>
          <w:tcPr>
            <w:tcW w:w="533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923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256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7851CB" w:rsidRPr="002E1D02" w:rsidTr="00CE73FA">
        <w:tc>
          <w:tcPr>
            <w:tcW w:w="533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923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256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7851CB" w:rsidRPr="002E1D02" w:rsidTr="00CE73FA">
        <w:tc>
          <w:tcPr>
            <w:tcW w:w="533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923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256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7851CB" w:rsidRPr="002E1D02" w:rsidTr="00CE73FA">
        <w:tc>
          <w:tcPr>
            <w:tcW w:w="533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n</w:t>
            </w:r>
          </w:p>
        </w:tc>
        <w:tc>
          <w:tcPr>
            <w:tcW w:w="2350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923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256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</w:tbl>
    <w:p w:rsidR="007851CB" w:rsidRPr="002E1D02" w:rsidRDefault="009840B9" w:rsidP="007851CB">
      <w:pPr>
        <w:pStyle w:val="H1G"/>
        <w:tabs>
          <w:tab w:val="clear" w:pos="851"/>
        </w:tabs>
        <w:spacing w:before="0"/>
        <w:ind w:firstLine="0"/>
        <w:jc w:val="right"/>
        <w:rPr>
          <w:b w:val="0"/>
        </w:rPr>
      </w:pPr>
      <w:r>
        <w:rPr>
          <w:b w:val="0"/>
          <w:sz w:val="20"/>
        </w:rPr>
        <w:t> »</w:t>
      </w:r>
      <w:r w:rsidR="007851CB" w:rsidRPr="002E1D02">
        <w:rPr>
          <w:b w:val="0"/>
          <w:sz w:val="20"/>
        </w:rPr>
        <w:t>.</w:t>
      </w:r>
    </w:p>
    <w:p w:rsidR="007851CB" w:rsidRPr="002E1D02" w:rsidRDefault="00AD01F8" w:rsidP="00AD01F8">
      <w:pPr>
        <w:pStyle w:val="SingleTxtG"/>
      </w:pPr>
      <w:r>
        <w:rPr>
          <w:i/>
        </w:rPr>
        <w:br w:type="page"/>
      </w:r>
      <w:r w:rsidR="007851CB" w:rsidRPr="002E1D02">
        <w:rPr>
          <w:i/>
        </w:rPr>
        <w:lastRenderedPageBreak/>
        <w:t xml:space="preserve">Annexe 1B </w:t>
      </w:r>
      <w:r>
        <w:rPr>
          <w:i/>
        </w:rPr>
        <w:t>−</w:t>
      </w:r>
      <w:r w:rsidR="007851CB" w:rsidRPr="002E1D02">
        <w:rPr>
          <w:i/>
        </w:rPr>
        <w:t xml:space="preserve"> Additif</w:t>
      </w:r>
      <w:r w:rsidR="007851CB" w:rsidRPr="002E1D02">
        <w:t>, modifier comme suit </w:t>
      </w:r>
      <w:r w:rsidR="007851CB" w:rsidRPr="002E1D02">
        <w:rPr>
          <w:i/>
        </w:rPr>
        <w:t>:</w:t>
      </w:r>
    </w:p>
    <w:p w:rsidR="007851CB" w:rsidRPr="002E1D02" w:rsidRDefault="007851CB" w:rsidP="007851CB">
      <w:pPr>
        <w:pStyle w:val="HChG"/>
      </w:pPr>
      <w:r w:rsidRPr="002E1D02">
        <w:t>« Annexe 1B − Additif</w:t>
      </w:r>
    </w:p>
    <w:p w:rsidR="007851CB" w:rsidRPr="002E1D02" w:rsidRDefault="007851CB" w:rsidP="007851CB">
      <w:pPr>
        <w:pStyle w:val="HChG"/>
      </w:pPr>
      <w:r w:rsidRPr="002E1D02">
        <w:tab/>
      </w:r>
      <w:r w:rsidRPr="002E1D02">
        <w:tab/>
        <w:t xml:space="preserve">Additif à la fiche de communication concernant </w:t>
      </w:r>
      <w:r w:rsidRPr="002E1D02">
        <w:br/>
        <w:t xml:space="preserve">un type d’équipement d’adaptation au GNC </w:t>
      </w:r>
      <w:r w:rsidRPr="002E1D02">
        <w:br/>
        <w:t>conforme au Règlement n</w:t>
      </w:r>
      <w:r w:rsidRPr="002E1D02">
        <w:rPr>
          <w:vertAlign w:val="superscript"/>
        </w:rPr>
        <w:t>o</w:t>
      </w:r>
      <w:r w:rsidRPr="002E1D02">
        <w:t> 115</w:t>
      </w:r>
    </w:p>
    <w:p w:rsidR="007851CB" w:rsidRPr="002E1D02" w:rsidRDefault="007851CB" w:rsidP="007851CB">
      <w:pPr>
        <w:pStyle w:val="SingleTxtGR"/>
        <w:tabs>
          <w:tab w:val="clear" w:pos="2835"/>
          <w:tab w:val="clear" w:pos="3402"/>
          <w:tab w:val="clear" w:pos="3969"/>
          <w:tab w:val="right" w:leader="dot" w:pos="1701"/>
          <w:tab w:val="right" w:leader="dot" w:pos="5103"/>
          <w:tab w:val="left" w:pos="5245"/>
          <w:tab w:val="right" w:leader="dot" w:pos="8505"/>
        </w:tabs>
        <w:rPr>
          <w:lang w:val="fr-CH"/>
        </w:rPr>
      </w:pPr>
      <w:r w:rsidRPr="002E1D02">
        <w:rPr>
          <w:lang w:val="fr-CH"/>
        </w:rPr>
        <w:t>(N</w:t>
      </w:r>
      <w:r w:rsidRPr="002E1D02">
        <w:rPr>
          <w:vertAlign w:val="superscript"/>
          <w:lang w:val="fr-CH"/>
        </w:rPr>
        <w:t>o</w:t>
      </w:r>
      <w:r w:rsidRPr="002E1D02">
        <w:rPr>
          <w:lang w:val="fr-CH"/>
        </w:rPr>
        <w:t> d’homologation :</w:t>
      </w:r>
      <w:r w:rsidRPr="002E1D02">
        <w:rPr>
          <w:lang w:val="fr-CH"/>
        </w:rPr>
        <w:tab/>
      </w:r>
      <w:r w:rsidRPr="002E1D02">
        <w:rPr>
          <w:lang w:val="fr-CH"/>
        </w:rPr>
        <w:tab/>
        <w:t>N</w:t>
      </w:r>
      <w:r w:rsidRPr="002E1D02">
        <w:rPr>
          <w:vertAlign w:val="superscript"/>
          <w:lang w:val="fr-CH"/>
        </w:rPr>
        <w:t>o</w:t>
      </w:r>
      <w:r w:rsidRPr="002E1D02">
        <w:rPr>
          <w:lang w:val="fr-CH"/>
        </w:rPr>
        <w:t> d’extension :</w:t>
      </w:r>
      <w:r w:rsidRPr="002E1D02">
        <w:rPr>
          <w:lang w:val="fr-CH"/>
        </w:rPr>
        <w:tab/>
        <w:t>)</w:t>
      </w:r>
    </w:p>
    <w:p w:rsidR="007851CB" w:rsidRPr="002E1D02" w:rsidRDefault="007851CB" w:rsidP="007851CB">
      <w:pPr>
        <w:pStyle w:val="SingleTxtG"/>
      </w:pPr>
      <w:r w:rsidRPr="002E1D02">
        <w:t>1.</w:t>
      </w:r>
      <w:r w:rsidRPr="002E1D02">
        <w:tab/>
        <w:t>Véhicules sur lesquels l’</w:t>
      </w:r>
      <w:r w:rsidR="00AD01F8">
        <w:t xml:space="preserve">équipement d’adaptation </w:t>
      </w:r>
      <w:r w:rsidRPr="002E1D02">
        <w:t>a été essayé 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1538"/>
        <w:gridCol w:w="1539"/>
        <w:gridCol w:w="1539"/>
      </w:tblGrid>
      <w:tr w:rsidR="007851CB" w:rsidRPr="002E1D02" w:rsidTr="00CE73FA">
        <w:trPr>
          <w:tblHeader/>
        </w:trPr>
        <w:tc>
          <w:tcPr>
            <w:tcW w:w="27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szCs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Numéro de véhicule</w:t>
            </w:r>
          </w:p>
        </w:tc>
        <w:tc>
          <w:tcPr>
            <w:tcW w:w="15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1</w:t>
            </w: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2</w:t>
            </w: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n</w:t>
            </w:r>
          </w:p>
        </w:tc>
      </w:tr>
      <w:tr w:rsidR="007851CB" w:rsidRPr="002E1D02" w:rsidTr="00CE73FA">
        <w:tc>
          <w:tcPr>
            <w:tcW w:w="2754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Marque</w:t>
            </w:r>
          </w:p>
        </w:tc>
        <w:tc>
          <w:tcPr>
            <w:tcW w:w="1538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</w:tr>
      <w:tr w:rsidR="007851CB" w:rsidRPr="002E1D02" w:rsidTr="00CE73FA">
        <w:tc>
          <w:tcPr>
            <w:tcW w:w="2754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Type</w:t>
            </w:r>
          </w:p>
        </w:tc>
        <w:tc>
          <w:tcPr>
            <w:tcW w:w="1538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</w:tr>
      <w:tr w:rsidR="007851CB" w:rsidRPr="002E1D02" w:rsidTr="00CE73FA">
        <w:tc>
          <w:tcPr>
            <w:tcW w:w="2754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Catégorie</w:t>
            </w:r>
          </w:p>
        </w:tc>
        <w:tc>
          <w:tcPr>
            <w:tcW w:w="1538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</w:tr>
      <w:tr w:rsidR="007851CB" w:rsidRPr="002E1D02" w:rsidTr="00CE73FA">
        <w:tc>
          <w:tcPr>
            <w:tcW w:w="2754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Type du moteur</w:t>
            </w:r>
          </w:p>
        </w:tc>
        <w:tc>
          <w:tcPr>
            <w:tcW w:w="1538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</w:tr>
      <w:tr w:rsidR="007851CB" w:rsidRPr="002E1D02" w:rsidTr="00CE73FA">
        <w:tc>
          <w:tcPr>
            <w:tcW w:w="2754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Niveau d’émissions</w:t>
            </w:r>
          </w:p>
        </w:tc>
        <w:tc>
          <w:tcPr>
            <w:tcW w:w="1538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</w:tr>
      <w:tr w:rsidR="007851CB" w:rsidRPr="002E1D02" w:rsidTr="00CE73FA">
        <w:tc>
          <w:tcPr>
            <w:tcW w:w="2754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Puissance</w:t>
            </w:r>
          </w:p>
        </w:tc>
        <w:tc>
          <w:tcPr>
            <w:tcW w:w="1538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</w:tr>
      <w:tr w:rsidR="007851CB" w:rsidRPr="002E1D02" w:rsidTr="00CE73FA">
        <w:tc>
          <w:tcPr>
            <w:tcW w:w="2754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Type du système antipollution</w:t>
            </w:r>
          </w:p>
        </w:tc>
        <w:tc>
          <w:tcPr>
            <w:tcW w:w="1538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</w:tr>
    </w:tbl>
    <w:p w:rsidR="007851CB" w:rsidRPr="002E1D02" w:rsidRDefault="007851CB" w:rsidP="007851CB">
      <w:pPr>
        <w:widowControl w:val="0"/>
        <w:spacing w:before="240" w:after="120"/>
        <w:ind w:left="1701" w:hanging="567"/>
      </w:pPr>
      <w:r w:rsidRPr="002E1D02">
        <w:t>1.1</w:t>
      </w:r>
      <w:r w:rsidRPr="002E1D02">
        <w:tab/>
        <w:t>Résultats des essais 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895"/>
        <w:gridCol w:w="584"/>
        <w:gridCol w:w="585"/>
        <w:gridCol w:w="584"/>
        <w:gridCol w:w="585"/>
        <w:gridCol w:w="839"/>
        <w:gridCol w:w="617"/>
        <w:gridCol w:w="618"/>
        <w:gridCol w:w="618"/>
        <w:gridCol w:w="618"/>
      </w:tblGrid>
      <w:tr w:rsidR="007851CB" w:rsidRPr="002E1D02" w:rsidTr="00CE73FA">
        <w:trPr>
          <w:tblHeader/>
        </w:trPr>
        <w:tc>
          <w:tcPr>
            <w:tcW w:w="827" w:type="dxa"/>
            <w:shd w:val="clear" w:color="auto" w:fill="auto"/>
            <w:vAlign w:val="bottom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</w:p>
        </w:tc>
        <w:tc>
          <w:tcPr>
            <w:tcW w:w="3233" w:type="dxa"/>
            <w:gridSpan w:val="5"/>
            <w:shd w:val="clear" w:color="auto" w:fill="auto"/>
            <w:vAlign w:val="bottom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center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Essence</w:t>
            </w:r>
          </w:p>
        </w:tc>
        <w:tc>
          <w:tcPr>
            <w:tcW w:w="3310" w:type="dxa"/>
            <w:gridSpan w:val="5"/>
            <w:shd w:val="clear" w:color="auto" w:fill="auto"/>
            <w:vAlign w:val="bottom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center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GNC</w:t>
            </w:r>
          </w:p>
        </w:tc>
      </w:tr>
      <w:tr w:rsidR="007851CB" w:rsidRPr="002E1D02" w:rsidTr="00CE73FA">
        <w:tc>
          <w:tcPr>
            <w:tcW w:w="827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Numéro de véhicule</w:t>
            </w:r>
          </w:p>
        </w:tc>
        <w:tc>
          <w:tcPr>
            <w:tcW w:w="895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Puissance</w:t>
            </w:r>
          </w:p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(kW)</w:t>
            </w:r>
          </w:p>
        </w:tc>
        <w:tc>
          <w:tcPr>
            <w:tcW w:w="58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CO</w:t>
            </w:r>
          </w:p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585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HC</w:t>
            </w:r>
          </w:p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58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NOx</w:t>
            </w:r>
          </w:p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585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CO</w:t>
            </w:r>
            <w:r w:rsidRPr="002E1D02">
              <w:rPr>
                <w:i/>
                <w:spacing w:val="0"/>
                <w:w w:val="100"/>
                <w:kern w:val="0"/>
                <w:sz w:val="16"/>
                <w:vertAlign w:val="subscript"/>
                <w:lang w:val="fr-CH"/>
              </w:rPr>
              <w:t>2</w:t>
            </w:r>
            <w:r w:rsidRPr="002E1D02">
              <w:rPr>
                <w:i/>
                <w:spacing w:val="0"/>
                <w:w w:val="100"/>
                <w:kern w:val="0"/>
                <w:sz w:val="16"/>
                <w:vertAlign w:val="superscript"/>
                <w:lang w:val="fr-CH"/>
              </w:rPr>
              <w:t>1</w:t>
            </w:r>
          </w:p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8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Puissance</w:t>
            </w:r>
          </w:p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(kW)</w:t>
            </w:r>
          </w:p>
        </w:tc>
        <w:tc>
          <w:tcPr>
            <w:tcW w:w="617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CO</w:t>
            </w:r>
          </w:p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61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HC</w:t>
            </w:r>
          </w:p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61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NOx</w:t>
            </w:r>
          </w:p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61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CO</w:t>
            </w:r>
            <w:r w:rsidRPr="002E1D02">
              <w:rPr>
                <w:i/>
                <w:spacing w:val="0"/>
                <w:w w:val="100"/>
                <w:kern w:val="0"/>
                <w:sz w:val="16"/>
                <w:vertAlign w:val="subscript"/>
                <w:lang w:val="fr-CH"/>
              </w:rPr>
              <w:t>2</w:t>
            </w:r>
            <w:r w:rsidRPr="002E1D02">
              <w:rPr>
                <w:i/>
                <w:spacing w:val="0"/>
                <w:w w:val="100"/>
                <w:kern w:val="0"/>
                <w:sz w:val="16"/>
                <w:vertAlign w:val="superscript"/>
                <w:lang w:val="fr-CH"/>
              </w:rPr>
              <w:t>1</w:t>
            </w:r>
          </w:p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</w:tr>
      <w:tr w:rsidR="007851CB" w:rsidRPr="002E1D02" w:rsidTr="00CE73FA">
        <w:tc>
          <w:tcPr>
            <w:tcW w:w="827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5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5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8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7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7851CB" w:rsidRPr="002E1D02" w:rsidTr="00CE73FA">
        <w:tc>
          <w:tcPr>
            <w:tcW w:w="827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5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5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8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7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7851CB" w:rsidRPr="002E1D02" w:rsidTr="00CE73FA">
        <w:tc>
          <w:tcPr>
            <w:tcW w:w="827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n</w:t>
            </w:r>
          </w:p>
        </w:tc>
        <w:tc>
          <w:tcPr>
            <w:tcW w:w="895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5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4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5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839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7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</w:tbl>
    <w:p w:rsidR="007851CB" w:rsidRPr="002E1D02" w:rsidRDefault="007851CB" w:rsidP="007851CB">
      <w:pPr>
        <w:pStyle w:val="SingleTxtG"/>
        <w:spacing w:before="120" w:after="240"/>
        <w:ind w:firstLine="170"/>
        <w:rPr>
          <w:sz w:val="18"/>
          <w:szCs w:val="18"/>
        </w:rPr>
      </w:pPr>
      <w:r w:rsidRPr="002E1D02">
        <w:rPr>
          <w:vertAlign w:val="superscript"/>
        </w:rPr>
        <w:t xml:space="preserve">1  </w:t>
      </w:r>
      <w:r w:rsidRPr="002E1D02">
        <w:rPr>
          <w:sz w:val="18"/>
          <w:szCs w:val="18"/>
        </w:rPr>
        <w:t>Réservé aux véhicules des catégories M</w:t>
      </w:r>
      <w:r w:rsidRPr="002E1D02">
        <w:rPr>
          <w:sz w:val="18"/>
          <w:szCs w:val="18"/>
          <w:vertAlign w:val="subscript"/>
        </w:rPr>
        <w:t>1</w:t>
      </w:r>
      <w:r w:rsidRPr="002E1D02">
        <w:rPr>
          <w:sz w:val="18"/>
          <w:szCs w:val="18"/>
        </w:rPr>
        <w:t xml:space="preserve"> et N</w:t>
      </w:r>
      <w:r w:rsidRPr="002E1D02">
        <w:rPr>
          <w:sz w:val="18"/>
          <w:szCs w:val="18"/>
          <w:vertAlign w:val="subscript"/>
        </w:rPr>
        <w:t>1</w:t>
      </w:r>
      <w:r w:rsidRPr="002E1D02">
        <w:rPr>
          <w:sz w:val="18"/>
          <w:szCs w:val="18"/>
        </w:rPr>
        <w:t>.</w:t>
      </w:r>
    </w:p>
    <w:p w:rsidR="007851CB" w:rsidRPr="002E1D02" w:rsidRDefault="007851CB" w:rsidP="007851CB">
      <w:pPr>
        <w:pStyle w:val="SingleTxtG"/>
        <w:keepNext/>
      </w:pPr>
      <w:r w:rsidRPr="002E1D02">
        <w:t>2.</w:t>
      </w:r>
      <w:r w:rsidRPr="002E1D02">
        <w:tab/>
        <w:t>Rapports</w:t>
      </w:r>
    </w:p>
    <w:p w:rsidR="007851CB" w:rsidRPr="002E1D02" w:rsidRDefault="007851CB" w:rsidP="007851CB">
      <w:pPr>
        <w:pStyle w:val="SingleTxtG"/>
        <w:keepNext/>
        <w:tabs>
          <w:tab w:val="right" w:pos="567"/>
          <w:tab w:val="left" w:pos="1701"/>
          <w:tab w:val="right" w:leader="dot" w:pos="8505"/>
        </w:tabs>
      </w:pPr>
      <w:r w:rsidRPr="002E1D02">
        <w:t>2.1</w:t>
      </w:r>
      <w:r w:rsidRPr="002E1D02">
        <w:tab/>
      </w:r>
      <w:r w:rsidR="00AD01F8" w:rsidRPr="002E1D02">
        <w:t>Rapport CO</w:t>
      </w:r>
      <w:r w:rsidR="00AD01F8" w:rsidRPr="002E1D02">
        <w:rPr>
          <w:vertAlign w:val="subscript"/>
        </w:rPr>
        <w:t>2</w:t>
      </w:r>
      <w:r w:rsidR="00001C83">
        <w:rPr>
          <w:vertAlign w:val="subscript"/>
        </w:rPr>
        <w:t>LPG</w:t>
      </w:r>
      <w:r w:rsidR="00AD01F8" w:rsidRPr="002E1D02">
        <w:t>/CO</w:t>
      </w:r>
      <w:r w:rsidR="00AD01F8" w:rsidRPr="002E1D02">
        <w:rPr>
          <w:vertAlign w:val="subscript"/>
        </w:rPr>
        <w:t>2</w:t>
      </w:r>
      <w:r w:rsidR="00AD01F8" w:rsidRPr="00AD01F8">
        <w:rPr>
          <w:vertAlign w:val="subscript"/>
        </w:rPr>
        <w:t>petrol</w:t>
      </w:r>
      <w:r w:rsidR="00AD01F8" w:rsidRPr="002E1D02">
        <w:t> :</w:t>
      </w:r>
      <w:r w:rsidRPr="002E1D02">
        <w:tab/>
      </w:r>
    </w:p>
    <w:p w:rsidR="007851CB" w:rsidRPr="002E1D02" w:rsidRDefault="007851CB" w:rsidP="007851CB">
      <w:pPr>
        <w:pStyle w:val="SingleTxtG"/>
        <w:keepNext/>
        <w:tabs>
          <w:tab w:val="right" w:pos="567"/>
          <w:tab w:val="left" w:pos="1701"/>
          <w:tab w:val="right" w:leader="dot" w:pos="8505"/>
        </w:tabs>
      </w:pPr>
      <w:r w:rsidRPr="002E1D02">
        <w:t>2.2</w:t>
      </w:r>
      <w:r w:rsidRPr="002E1D02">
        <w:tab/>
      </w:r>
      <w:r w:rsidR="00AD01F8" w:rsidRPr="002E1D02">
        <w:t>Rapport Power</w:t>
      </w:r>
      <w:r w:rsidR="00AD01F8">
        <w:rPr>
          <w:vertAlign w:val="subscript"/>
        </w:rPr>
        <w:t>LPG</w:t>
      </w:r>
      <w:r w:rsidR="00AD01F8" w:rsidRPr="002E1D02">
        <w:t>/Power</w:t>
      </w:r>
      <w:r w:rsidR="00AD01F8" w:rsidRPr="00AD01F8">
        <w:rPr>
          <w:vertAlign w:val="subscript"/>
        </w:rPr>
        <w:t>petrol</w:t>
      </w:r>
      <w:r w:rsidR="00AD01F8" w:rsidRPr="002E1D02">
        <w:t> :</w:t>
      </w:r>
      <w:r w:rsidRPr="002E1D02">
        <w:tab/>
      </w:r>
    </w:p>
    <w:p w:rsidR="007851CB" w:rsidRPr="002E1D02" w:rsidRDefault="007851CB" w:rsidP="007851CB">
      <w:pPr>
        <w:pStyle w:val="SingleTxtG"/>
        <w:spacing w:before="120"/>
        <w:rPr>
          <w:spacing w:val="-2"/>
        </w:rPr>
      </w:pPr>
      <w:r w:rsidRPr="002E1D02">
        <w:t>3.</w:t>
      </w:r>
      <w:r w:rsidRPr="002E1D02">
        <w:tab/>
      </w:r>
      <w:r w:rsidRPr="002E1D02">
        <w:rPr>
          <w:spacing w:val="-2"/>
        </w:rPr>
        <w:t xml:space="preserve">Liste des types de véhicules sur lesquels l’équipement </w:t>
      </w:r>
      <w:r w:rsidR="00AD01F8">
        <w:rPr>
          <w:spacing w:val="-2"/>
        </w:rPr>
        <w:t>d’adaptation</w:t>
      </w:r>
      <w:r w:rsidRPr="002E1D02">
        <w:rPr>
          <w:spacing w:val="-2"/>
        </w:rPr>
        <w:t xml:space="preserve"> peut être monté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350"/>
        <w:gridCol w:w="1923"/>
        <w:gridCol w:w="2564"/>
      </w:tblGrid>
      <w:tr w:rsidR="007851CB" w:rsidRPr="002E1D02" w:rsidTr="00CE73FA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57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Type du véhicule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Type du moteur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CB" w:rsidRPr="002E1D02" w:rsidRDefault="007851CB" w:rsidP="00CE73FA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Puissance (kW)</w:t>
            </w:r>
          </w:p>
        </w:tc>
      </w:tr>
      <w:tr w:rsidR="007851CB" w:rsidRPr="002E1D02" w:rsidTr="00CE73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7851CB" w:rsidRPr="002E1D02" w:rsidTr="00CE73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7851CB" w:rsidRPr="002E1D02" w:rsidTr="00CE73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7851CB" w:rsidRPr="002E1D02" w:rsidTr="00CE73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CB" w:rsidRPr="002E1D02" w:rsidRDefault="007851CB" w:rsidP="00CE73FA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</w:tbl>
    <w:p w:rsidR="00052D42" w:rsidRDefault="00AF26EE" w:rsidP="00AF26EE">
      <w:pPr>
        <w:pStyle w:val="SingleTxtG"/>
        <w:jc w:val="right"/>
      </w:pPr>
      <w:r>
        <w:t> »</w:t>
      </w:r>
      <w:r w:rsidR="007851CB" w:rsidRPr="002E1D02">
        <w:t>.</w:t>
      </w:r>
    </w:p>
    <w:p w:rsidR="007851CB" w:rsidRPr="007851CB" w:rsidRDefault="007851CB" w:rsidP="007851C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51CB" w:rsidRPr="007851CB" w:rsidSect="009E4A2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82" w:rsidRDefault="00987782" w:rsidP="00F95C08">
      <w:pPr>
        <w:spacing w:line="240" w:lineRule="auto"/>
      </w:pPr>
    </w:p>
  </w:endnote>
  <w:endnote w:type="continuationSeparator" w:id="0">
    <w:p w:rsidR="00987782" w:rsidRPr="00AC3823" w:rsidRDefault="00987782" w:rsidP="00AC3823">
      <w:pPr>
        <w:pStyle w:val="Footer"/>
      </w:pPr>
    </w:p>
  </w:endnote>
  <w:endnote w:type="continuationNotice" w:id="1">
    <w:p w:rsidR="00987782" w:rsidRDefault="009877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20" w:rsidRPr="009E4A20" w:rsidRDefault="009E4A20" w:rsidP="009E4A20">
    <w:pPr>
      <w:pStyle w:val="Footer"/>
      <w:tabs>
        <w:tab w:val="right" w:pos="9638"/>
      </w:tabs>
    </w:pPr>
    <w:r w:rsidRPr="009E4A20">
      <w:rPr>
        <w:b/>
        <w:sz w:val="18"/>
      </w:rPr>
      <w:fldChar w:fldCharType="begin"/>
    </w:r>
    <w:r w:rsidRPr="009E4A20">
      <w:rPr>
        <w:b/>
        <w:sz w:val="18"/>
      </w:rPr>
      <w:instrText xml:space="preserve"> PAGE  \* MERGEFORMAT </w:instrText>
    </w:r>
    <w:r w:rsidRPr="009E4A20">
      <w:rPr>
        <w:b/>
        <w:sz w:val="18"/>
      </w:rPr>
      <w:fldChar w:fldCharType="separate"/>
    </w:r>
    <w:r w:rsidR="00D5687B">
      <w:rPr>
        <w:b/>
        <w:noProof/>
        <w:sz w:val="18"/>
      </w:rPr>
      <w:t>2</w:t>
    </w:r>
    <w:r w:rsidRPr="009E4A20">
      <w:rPr>
        <w:b/>
        <w:sz w:val="18"/>
      </w:rPr>
      <w:fldChar w:fldCharType="end"/>
    </w:r>
    <w:r>
      <w:rPr>
        <w:b/>
        <w:sz w:val="18"/>
      </w:rPr>
      <w:tab/>
    </w:r>
    <w:r>
      <w:t>GE.17-02012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20" w:rsidRPr="009E4A20" w:rsidRDefault="009E4A20" w:rsidP="009E4A20">
    <w:pPr>
      <w:pStyle w:val="Footer"/>
      <w:tabs>
        <w:tab w:val="right" w:pos="9638"/>
      </w:tabs>
      <w:rPr>
        <w:b/>
        <w:sz w:val="18"/>
      </w:rPr>
    </w:pPr>
    <w:r>
      <w:t>GE.17-02012</w:t>
    </w:r>
    <w:r>
      <w:tab/>
    </w:r>
    <w:r w:rsidRPr="009E4A20">
      <w:rPr>
        <w:b/>
        <w:sz w:val="18"/>
      </w:rPr>
      <w:fldChar w:fldCharType="begin"/>
    </w:r>
    <w:r w:rsidRPr="009E4A20">
      <w:rPr>
        <w:b/>
        <w:sz w:val="18"/>
      </w:rPr>
      <w:instrText xml:space="preserve"> PAGE  \* MERGEFORMAT </w:instrText>
    </w:r>
    <w:r w:rsidRPr="009E4A20">
      <w:rPr>
        <w:b/>
        <w:sz w:val="18"/>
      </w:rPr>
      <w:fldChar w:fldCharType="separate"/>
    </w:r>
    <w:r w:rsidR="00D5687B">
      <w:rPr>
        <w:b/>
        <w:noProof/>
        <w:sz w:val="18"/>
      </w:rPr>
      <w:t>3</w:t>
    </w:r>
    <w:r w:rsidRPr="009E4A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6C" w:rsidRPr="009E4A20" w:rsidRDefault="009E4A20" w:rsidP="009E4A20">
    <w:pPr>
      <w:pStyle w:val="Footer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E893ACA" wp14:editId="71A1616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17-02012  (F)    110517    110517</w:t>
    </w:r>
    <w:r>
      <w:rPr>
        <w:sz w:val="20"/>
      </w:rPr>
      <w:br/>
    </w:r>
    <w:r w:rsidRPr="009E4A20">
      <w:rPr>
        <w:rFonts w:ascii="C39T30Lfz" w:hAnsi="C39T30Lfz"/>
        <w:sz w:val="56"/>
      </w:rPr>
      <w:t></w:t>
    </w:r>
    <w:r w:rsidRPr="009E4A20">
      <w:rPr>
        <w:rFonts w:ascii="C39T30Lfz" w:hAnsi="C39T30Lfz"/>
        <w:sz w:val="56"/>
      </w:rPr>
      <w:t></w:t>
    </w:r>
    <w:r w:rsidRPr="009E4A20">
      <w:rPr>
        <w:rFonts w:ascii="C39T30Lfz" w:hAnsi="C39T30Lfz"/>
        <w:sz w:val="56"/>
      </w:rPr>
      <w:t></w:t>
    </w:r>
    <w:r w:rsidRPr="009E4A20">
      <w:rPr>
        <w:rFonts w:ascii="C39T30Lfz" w:hAnsi="C39T30Lfz"/>
        <w:sz w:val="56"/>
      </w:rPr>
      <w:t></w:t>
    </w:r>
    <w:r w:rsidRPr="009E4A20">
      <w:rPr>
        <w:rFonts w:ascii="C39T30Lfz" w:hAnsi="C39T30Lfz"/>
        <w:sz w:val="56"/>
      </w:rPr>
      <w:t></w:t>
    </w:r>
    <w:r w:rsidRPr="009E4A20">
      <w:rPr>
        <w:rFonts w:ascii="C39T30Lfz" w:hAnsi="C39T30Lfz"/>
        <w:sz w:val="56"/>
      </w:rPr>
      <w:t></w:t>
    </w:r>
    <w:r w:rsidRPr="009E4A20">
      <w:rPr>
        <w:rFonts w:ascii="C39T30Lfz" w:hAnsi="C39T30Lfz"/>
        <w:sz w:val="56"/>
      </w:rPr>
      <w:t></w:t>
    </w:r>
    <w:r w:rsidRPr="009E4A20">
      <w:rPr>
        <w:rFonts w:ascii="C39T30Lfz" w:hAnsi="C39T30Lfz"/>
        <w:sz w:val="56"/>
      </w:rPr>
      <w:t></w:t>
    </w:r>
    <w:r w:rsidRPr="009E4A20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/ECE/324/Rev.2/Add.114/Rev.1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4/Rev.1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82" w:rsidRPr="00AC3823" w:rsidRDefault="0098778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87782" w:rsidRPr="00AC3823" w:rsidRDefault="0098778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87782" w:rsidRPr="00AC3823" w:rsidRDefault="00987782">
      <w:pPr>
        <w:spacing w:line="240" w:lineRule="auto"/>
        <w:rPr>
          <w:sz w:val="2"/>
          <w:szCs w:val="2"/>
        </w:rPr>
      </w:pPr>
    </w:p>
  </w:footnote>
  <w:footnote w:id="2">
    <w:p w:rsidR="009E4A20" w:rsidRPr="00EF6062" w:rsidRDefault="009E4A20" w:rsidP="009E4A20">
      <w:pPr>
        <w:pStyle w:val="FootnoteText"/>
      </w:pPr>
      <w:r>
        <w:rPr>
          <w:rStyle w:val="FootnoteReference"/>
        </w:rPr>
        <w:tab/>
      </w:r>
      <w:r w:rsidRPr="00EF606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F6062">
        <w:t>Ancien titre de l’Accord : Accord concernant l’adoption de conditions uniformes d’homologation et la reconnaissance réciproque de l’homologation des équipements et pièces de véhicules à moteur, en date, à Genève, du 20 mars 1958.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20" w:rsidRPr="009E4A20" w:rsidRDefault="00D5687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2239B">
      <w:t>E/ECE/324/Rev.2/Add.114/Rev.1/Amend.2</w:t>
    </w:r>
    <w:r>
      <w:fldChar w:fldCharType="end"/>
    </w:r>
    <w:r w:rsidR="009E4A20">
      <w:br/>
    </w:r>
    <w:r>
      <w:fldChar w:fldCharType="begin"/>
    </w:r>
    <w:r>
      <w:instrText xml:space="preserve"> KEYWORDS  \* MERGEFORMAT </w:instrText>
    </w:r>
    <w:r>
      <w:fldChar w:fldCharType="separate"/>
    </w:r>
    <w:r w:rsidR="0032239B">
      <w:t>E/ECE/TRANS/505/Rev.2/Add.114/Rev.1/Amend.2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20" w:rsidRPr="009E4A20" w:rsidRDefault="00D5687B" w:rsidP="009E4A2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2239B">
      <w:t>E/ECE/324/Rev.2/Add.114/Rev.1/Amend.2</w:t>
    </w:r>
    <w:r>
      <w:fldChar w:fldCharType="end"/>
    </w:r>
    <w:r w:rsidR="009E4A20">
      <w:br/>
    </w:r>
    <w:r>
      <w:fldChar w:fldCharType="begin"/>
    </w:r>
    <w:r>
      <w:instrText xml:space="preserve"> KEYWORDS  \* MERGEFORMAT </w:instrText>
    </w:r>
    <w:r>
      <w:fldChar w:fldCharType="separate"/>
    </w:r>
    <w:r w:rsidR="0032239B">
      <w:t>E/ECE/TRANS/505/Rev.2/Add.114/Rev.1/Amend.2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82"/>
    <w:rsid w:val="00001C83"/>
    <w:rsid w:val="00017F94"/>
    <w:rsid w:val="00023842"/>
    <w:rsid w:val="0002432E"/>
    <w:rsid w:val="000334F9"/>
    <w:rsid w:val="00052D42"/>
    <w:rsid w:val="0007796D"/>
    <w:rsid w:val="00083F1B"/>
    <w:rsid w:val="000B7790"/>
    <w:rsid w:val="00111F2F"/>
    <w:rsid w:val="0014365E"/>
    <w:rsid w:val="00176178"/>
    <w:rsid w:val="001F525A"/>
    <w:rsid w:val="00223272"/>
    <w:rsid w:val="0024779E"/>
    <w:rsid w:val="00266ACE"/>
    <w:rsid w:val="002832AC"/>
    <w:rsid w:val="002D7C93"/>
    <w:rsid w:val="0032239B"/>
    <w:rsid w:val="00441C3B"/>
    <w:rsid w:val="00446FE5"/>
    <w:rsid w:val="00452396"/>
    <w:rsid w:val="004C12E4"/>
    <w:rsid w:val="004E468C"/>
    <w:rsid w:val="005505B7"/>
    <w:rsid w:val="00573BE5"/>
    <w:rsid w:val="00586ED3"/>
    <w:rsid w:val="00596AA9"/>
    <w:rsid w:val="0071601D"/>
    <w:rsid w:val="007851CB"/>
    <w:rsid w:val="007A62E6"/>
    <w:rsid w:val="0080236C"/>
    <w:rsid w:val="0080684C"/>
    <w:rsid w:val="00871C75"/>
    <w:rsid w:val="008776DC"/>
    <w:rsid w:val="008F535A"/>
    <w:rsid w:val="00967489"/>
    <w:rsid w:val="009705C8"/>
    <w:rsid w:val="009840B9"/>
    <w:rsid w:val="00987782"/>
    <w:rsid w:val="009C1CF4"/>
    <w:rsid w:val="009E4A20"/>
    <w:rsid w:val="009F3B6C"/>
    <w:rsid w:val="00A020E5"/>
    <w:rsid w:val="00A30353"/>
    <w:rsid w:val="00A94078"/>
    <w:rsid w:val="00AA42FA"/>
    <w:rsid w:val="00AC3823"/>
    <w:rsid w:val="00AD01F8"/>
    <w:rsid w:val="00AE323C"/>
    <w:rsid w:val="00AF26EE"/>
    <w:rsid w:val="00AF290F"/>
    <w:rsid w:val="00B00181"/>
    <w:rsid w:val="00B00B0D"/>
    <w:rsid w:val="00B35108"/>
    <w:rsid w:val="00B765F7"/>
    <w:rsid w:val="00BA0CA9"/>
    <w:rsid w:val="00BF7B2E"/>
    <w:rsid w:val="00C02897"/>
    <w:rsid w:val="00D3439C"/>
    <w:rsid w:val="00D5687B"/>
    <w:rsid w:val="00D75300"/>
    <w:rsid w:val="00DB1831"/>
    <w:rsid w:val="00DD3BFD"/>
    <w:rsid w:val="00DF6678"/>
    <w:rsid w:val="00E9726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AA42F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AA42F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9E4A20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ingleTxtGR">
    <w:name w:val="_ Single Txt_GR"/>
    <w:basedOn w:val="Normal"/>
    <w:qFormat/>
    <w:rsid w:val="007851CB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spacing w:val="4"/>
      <w:w w:val="103"/>
      <w:kern w:val="1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AA42F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AA42F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9E4A20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ingleTxtGR">
    <w:name w:val="_ Single Txt_GR"/>
    <w:basedOn w:val="Normal"/>
    <w:qFormat/>
    <w:rsid w:val="007851CB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spacing w:val="4"/>
      <w:w w:val="103"/>
      <w:kern w:val="1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2687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E/ECE/324/Rev.2/Add.114/Rev.1/Amend.2</vt:lpstr>
      <vt:lpstr>E/ECE/324/Rev.2/Add.114/Rev.1/Amend.2</vt:lpstr>
    </vt:vector>
  </TitlesOfParts>
  <Company>DCM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E/ECE/324/Rev.2/Add.114/Rev.1/Amend.2</dc:title>
  <dc:creator>DESCHAMPS</dc:creator>
  <cp:keywords>E/ECE/TRANS/505/Rev.2/Add.114/Rev.1/Amend.2</cp:keywords>
  <cp:lastModifiedBy>Benedicte Boudol</cp:lastModifiedBy>
  <cp:revision>2</cp:revision>
  <cp:lastPrinted>2017-05-11T09:56:00Z</cp:lastPrinted>
  <dcterms:created xsi:type="dcterms:W3CDTF">2017-05-17T13:35:00Z</dcterms:created>
  <dcterms:modified xsi:type="dcterms:W3CDTF">2017-05-17T13:35:00Z</dcterms:modified>
</cp:coreProperties>
</file>