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C040EF" w:rsidTr="00A27C92">
        <w:trPr>
          <w:trHeight w:hRule="exact" w:val="851"/>
        </w:trPr>
        <w:tc>
          <w:tcPr>
            <w:tcW w:w="9639" w:type="dxa"/>
            <w:gridSpan w:val="2"/>
            <w:tcBorders>
              <w:bottom w:val="single" w:sz="4" w:space="0" w:color="auto"/>
            </w:tcBorders>
            <w:shd w:val="clear" w:color="auto" w:fill="auto"/>
            <w:vAlign w:val="bottom"/>
          </w:tcPr>
          <w:p w:rsidR="00B07808" w:rsidRPr="00B07808" w:rsidRDefault="00B07808" w:rsidP="00B07808">
            <w:pPr>
              <w:jc w:val="right"/>
              <w:rPr>
                <w:lang w:val="en-US"/>
              </w:rPr>
            </w:pPr>
            <w:bookmarkStart w:id="0" w:name="_GoBack"/>
            <w:bookmarkEnd w:id="0"/>
            <w:r w:rsidRPr="00B07808">
              <w:rPr>
                <w:sz w:val="40"/>
                <w:lang w:val="en-US"/>
              </w:rPr>
              <w:t>E</w:t>
            </w:r>
            <w:r w:rsidRPr="00B07808">
              <w:rPr>
                <w:lang w:val="en-US"/>
              </w:rPr>
              <w:t>/ECE/324/Rev.2/Add.104/Rev.2/Amend.3−</w:t>
            </w:r>
            <w:r w:rsidRPr="00B07808">
              <w:rPr>
                <w:sz w:val="40"/>
                <w:lang w:val="en-US"/>
              </w:rPr>
              <w:t>E</w:t>
            </w:r>
            <w:r w:rsidRPr="00B07808">
              <w:rPr>
                <w:lang w:val="en-US"/>
              </w:rPr>
              <w:t>/ECE/TRANS/505/Rev.2/Add.104/Rev.2/Amend.3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07808"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B07808"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C040EF">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B07808">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C85FF2" w:rsidRPr="00B07808">
        <w:rPr>
          <w:lang w:val="fr-FR"/>
        </w:rPr>
        <w:t xml:space="preserve">Additif 104 </w:t>
      </w:r>
      <w:r w:rsidR="00B20AB9">
        <w:rPr>
          <w:lang w:val="fr-FR"/>
        </w:rPr>
        <w:t>−</w:t>
      </w:r>
      <w:r w:rsidR="00C85FF2" w:rsidRPr="00B07808">
        <w:rPr>
          <w:lang w:val="fr-FR"/>
        </w:rPr>
        <w:t xml:space="preserve"> Règlement </w:t>
      </w:r>
      <w:r w:rsidR="00B07808" w:rsidRPr="00B07808">
        <w:rPr>
          <w:rFonts w:eastAsia="MS Mincho"/>
          <w:szCs w:val="22"/>
          <w:lang w:val="fr-FR"/>
        </w:rPr>
        <w:t>n</w:t>
      </w:r>
      <w:r w:rsidR="00B07808" w:rsidRPr="00B07808">
        <w:rPr>
          <w:rFonts w:eastAsia="MS Mincho"/>
          <w:szCs w:val="22"/>
          <w:vertAlign w:val="superscript"/>
          <w:lang w:val="fr-FR"/>
        </w:rPr>
        <w:t>o</w:t>
      </w:r>
      <w:r w:rsidR="00B07808">
        <w:rPr>
          <w:lang w:val="fr-FR"/>
        </w:rPr>
        <w:t> </w:t>
      </w:r>
      <w:r w:rsidR="00C85FF2" w:rsidRPr="00B07808">
        <w:rPr>
          <w:lang w:val="fr-FR"/>
        </w:rPr>
        <w:t>105</w:t>
      </w:r>
    </w:p>
    <w:p w:rsidR="00421A10" w:rsidRPr="006549FF" w:rsidRDefault="0029791D" w:rsidP="0029791D">
      <w:pPr>
        <w:pStyle w:val="H1G"/>
      </w:pPr>
      <w:r>
        <w:tab/>
      </w:r>
      <w:r>
        <w:tab/>
      </w:r>
      <w:r w:rsidR="00C85FF2" w:rsidRPr="00B07808">
        <w:rPr>
          <w:lang w:val="fr-FR"/>
        </w:rPr>
        <w:t xml:space="preserve">Révision 2 </w:t>
      </w:r>
      <w:r w:rsidR="00B07808">
        <w:rPr>
          <w:lang w:val="fr-FR"/>
        </w:rPr>
        <w:t>−</w:t>
      </w:r>
      <w:r w:rsidR="00C85FF2" w:rsidRPr="00B07808">
        <w:rPr>
          <w:lang w:val="fr-FR"/>
        </w:rPr>
        <w:t xml:space="preserve"> Amendement 3</w:t>
      </w:r>
    </w:p>
    <w:p w:rsidR="00421A10" w:rsidRPr="004A7E44" w:rsidRDefault="00B07808" w:rsidP="0029791D">
      <w:pPr>
        <w:pStyle w:val="SingleTxtG"/>
        <w:spacing w:after="0"/>
      </w:pPr>
      <w:r w:rsidRPr="00B07808">
        <w:rPr>
          <w:lang w:val="fr-FR"/>
        </w:rPr>
        <w:t xml:space="preserve">Série </w:t>
      </w:r>
      <w:r w:rsidR="00C85FF2" w:rsidRPr="00B07808">
        <w:rPr>
          <w:lang w:val="fr-FR"/>
        </w:rPr>
        <w:t>06 d’amendements − Date d’entrée en vigueur</w:t>
      </w:r>
      <w:r w:rsidR="00B20AB9">
        <w:rPr>
          <w:lang w:val="fr-FR"/>
        </w:rPr>
        <w:t> :</w:t>
      </w:r>
      <w:r w:rsidR="00C85FF2" w:rsidRPr="00B07808">
        <w:rPr>
          <w:lang w:val="fr-FR"/>
        </w:rPr>
        <w:t xml:space="preserve"> 22 juin 2017</w:t>
      </w:r>
    </w:p>
    <w:p w:rsidR="00421A10" w:rsidRDefault="0029791D" w:rsidP="0029791D">
      <w:pPr>
        <w:pStyle w:val="H1G"/>
      </w:pPr>
      <w:r>
        <w:tab/>
      </w:r>
      <w:r>
        <w:tab/>
      </w:r>
      <w:r w:rsidR="00C85FF2" w:rsidRPr="00B07808">
        <w:rPr>
          <w:lang w:val="fr-FR"/>
        </w:rPr>
        <w:t>Prescriptions uniformes relatives à l</w:t>
      </w:r>
      <w:r w:rsidR="00B20AB9">
        <w:rPr>
          <w:lang w:val="fr-FR"/>
        </w:rPr>
        <w:t>’</w:t>
      </w:r>
      <w:r w:rsidR="00C85FF2" w:rsidRPr="00B07808">
        <w:rPr>
          <w:lang w:val="fr-FR"/>
        </w:rPr>
        <w:t>homologation des véhicules destinés au transport des marchandises dangereuses en ce qui concerne leurs caractéristiques particulières de construction</w:t>
      </w:r>
    </w:p>
    <w:p w:rsidR="00B07808" w:rsidRDefault="00C85FF2" w:rsidP="00B07808">
      <w:pPr>
        <w:pStyle w:val="SingleTxtG"/>
        <w:rPr>
          <w:lang w:val="fr-FR"/>
        </w:rPr>
      </w:pPr>
      <w:r w:rsidRPr="00B07808">
        <w:rPr>
          <w:spacing w:val="-2"/>
          <w:lang w:val="fr-FR"/>
        </w:rPr>
        <w:t>Le présent document est communiqué uniquement à titre d’information. Le texte authentique, juridiquement contraignant, est celui du document</w:t>
      </w:r>
      <w:r w:rsidR="00B20AB9">
        <w:rPr>
          <w:spacing w:val="-2"/>
          <w:lang w:val="fr-FR"/>
        </w:rPr>
        <w:t> :</w:t>
      </w:r>
      <w:r w:rsidRPr="00B07808">
        <w:rPr>
          <w:spacing w:val="-2"/>
          <w:lang w:val="fr-FR"/>
        </w:rPr>
        <w:t xml:space="preserve"> ECE/TRANS/WP.29/2016/90</w:t>
      </w:r>
      <w:r w:rsidRPr="00B07808">
        <w:rPr>
          <w:lang w:val="fr-FR"/>
        </w:rPr>
        <w:t>.</w:t>
      </w:r>
      <w:r w:rsidR="00442E31">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85FF2">
                            <w:pPr>
                              <w:ind w:left="1134" w:right="1134"/>
                              <w:jc w:val="center"/>
                            </w:pPr>
                            <w:r>
                              <w:t>_______________</w:t>
                            </w:r>
                          </w:p>
                          <w:p w:rsidR="00442E31" w:rsidRDefault="00442E31" w:rsidP="00C85FF2">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85FF2">
                      <w:pPr>
                        <w:ind w:left="1134" w:right="1134"/>
                        <w:jc w:val="center"/>
                      </w:pPr>
                      <w:r>
                        <w:t>_______________</w:t>
                      </w:r>
                    </w:p>
                    <w:p w:rsidR="00442E31" w:rsidRDefault="00442E31" w:rsidP="00C85FF2">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C85FF2" w:rsidRPr="006E3D56" w:rsidRDefault="00B07808" w:rsidP="00F36958">
      <w:pPr>
        <w:pStyle w:val="SingleTxtG"/>
        <w:rPr>
          <w:lang w:val="fr-FR"/>
        </w:rPr>
      </w:pPr>
      <w:r>
        <w:rPr>
          <w:lang w:val="fr-FR"/>
        </w:rPr>
        <w:br w:type="page"/>
      </w:r>
      <w:r w:rsidR="00C85FF2" w:rsidRPr="006E3D56">
        <w:rPr>
          <w:i/>
          <w:lang w:val="fr-FR"/>
        </w:rPr>
        <w:lastRenderedPageBreak/>
        <w:t>Paragraphe 3.2.2</w:t>
      </w:r>
      <w:r w:rsidR="00C040EF" w:rsidRPr="00C040EF">
        <w:rPr>
          <w:lang w:val="fr-FR"/>
        </w:rPr>
        <w:t>,</w:t>
      </w:r>
      <w:r w:rsidR="00C85FF2" w:rsidRPr="006E3D56">
        <w:rPr>
          <w:i/>
          <w:lang w:val="fr-FR"/>
        </w:rPr>
        <w:t xml:space="preserve"> </w:t>
      </w:r>
      <w:r w:rsidR="00C85FF2" w:rsidRPr="006E3D56">
        <w:rPr>
          <w:lang w:val="fr-FR"/>
        </w:rPr>
        <w:t xml:space="preserve">modifier </w:t>
      </w:r>
      <w:r w:rsidR="00C85FF2" w:rsidRPr="00F36958">
        <w:rPr>
          <w:rFonts w:eastAsia="Times New Roman"/>
        </w:rPr>
        <w:t>comme</w:t>
      </w:r>
      <w:r w:rsidR="00C85FF2" w:rsidRPr="006E3D56">
        <w:rPr>
          <w:lang w:val="fr-FR"/>
        </w:rPr>
        <w:t xml:space="preserve"> suit :</w:t>
      </w:r>
    </w:p>
    <w:p w:rsidR="00C85FF2" w:rsidRPr="006E3D56" w:rsidRDefault="00C85FF2" w:rsidP="00F36958">
      <w:pPr>
        <w:pStyle w:val="SingleTxtG"/>
        <w:ind w:left="2268" w:hanging="1134"/>
        <w:rPr>
          <w:lang w:val="fr-FR"/>
        </w:rPr>
      </w:pPr>
      <w:r w:rsidRPr="006E3D56">
        <w:rPr>
          <w:lang w:val="fr-FR"/>
        </w:rPr>
        <w:t>« 3.2.2</w:t>
      </w:r>
      <w:r w:rsidRPr="006E3D56">
        <w:rPr>
          <w:lang w:val="fr-FR"/>
        </w:rPr>
        <w:tab/>
        <w:t xml:space="preserve">Désignation du véhicule, </w:t>
      </w:r>
      <w:r w:rsidRPr="00F36958">
        <w:rPr>
          <w:rFonts w:eastAsia="Times New Roman"/>
        </w:rPr>
        <w:t>conformément</w:t>
      </w:r>
      <w:r w:rsidRPr="006E3D56">
        <w:rPr>
          <w:lang w:val="fr-FR"/>
        </w:rPr>
        <w:t xml:space="preserve"> au paragraphe 9.1.1.2 de l’ADR (EX/II, EX/III, AT, FL, MEMU) ; ».</w:t>
      </w:r>
    </w:p>
    <w:p w:rsidR="00C85FF2" w:rsidRPr="006E3D56" w:rsidRDefault="00C85FF2" w:rsidP="00F36958">
      <w:pPr>
        <w:pStyle w:val="SingleTxtG"/>
        <w:rPr>
          <w:lang w:val="fr-FR"/>
        </w:rPr>
      </w:pPr>
      <w:r w:rsidRPr="006E3D56">
        <w:rPr>
          <w:i/>
          <w:lang w:val="fr-FR"/>
        </w:rPr>
        <w:t>Paragraphe 5.1, tableau</w:t>
      </w:r>
      <w:r w:rsidR="00C040EF" w:rsidRPr="00C040EF">
        <w:rPr>
          <w:lang w:val="fr-FR"/>
        </w:rPr>
        <w:t>,</w:t>
      </w:r>
      <w:r w:rsidRPr="006E3D56">
        <w:rPr>
          <w:lang w:val="fr-FR"/>
        </w:rPr>
        <w:t xml:space="preserve"> modifier </w:t>
      </w:r>
      <w:r w:rsidRPr="00F36958">
        <w:rPr>
          <w:rFonts w:eastAsia="Times New Roman"/>
        </w:rPr>
        <w:t>comme</w:t>
      </w:r>
      <w:r w:rsidRPr="006E3D56">
        <w:rPr>
          <w:lang w:val="fr-FR"/>
        </w:rPr>
        <w:t xml:space="preserve"> suit :</w:t>
      </w:r>
    </w:p>
    <w:p w:rsidR="00C85FF2" w:rsidRPr="006E3D56" w:rsidRDefault="00C85FF2" w:rsidP="00CB7C30">
      <w:pPr>
        <w:pStyle w:val="SingleTxtG"/>
        <w:rPr>
          <w:lang w:val="fr-FR"/>
        </w:rPr>
      </w:pPr>
      <w:r w:rsidRPr="006E3D56">
        <w:rPr>
          <w:lang w:val="fr-FR"/>
        </w:rPr>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2835"/>
        <w:gridCol w:w="680"/>
        <w:gridCol w:w="680"/>
        <w:gridCol w:w="680"/>
        <w:gridCol w:w="680"/>
        <w:gridCol w:w="680"/>
        <w:gridCol w:w="7"/>
        <w:gridCol w:w="25"/>
      </w:tblGrid>
      <w:tr w:rsidR="004A478B" w:rsidRPr="006E3D56" w:rsidTr="004A478B">
        <w:trPr>
          <w:tblHeader/>
        </w:trPr>
        <w:tc>
          <w:tcPr>
            <w:tcW w:w="3974" w:type="dxa"/>
            <w:gridSpan w:val="2"/>
            <w:vMerge w:val="restart"/>
            <w:tcBorders>
              <w:top w:val="single" w:sz="4" w:space="0" w:color="auto"/>
              <w:left w:val="single" w:sz="4" w:space="0" w:color="auto"/>
              <w:right w:val="single" w:sz="4" w:space="0" w:color="auto"/>
            </w:tcBorders>
            <w:vAlign w:val="bottom"/>
            <w:hideMark/>
          </w:tcPr>
          <w:p w:rsidR="004A478B" w:rsidRPr="006E3D56" w:rsidRDefault="004A478B" w:rsidP="00CB7C30">
            <w:pPr>
              <w:spacing w:before="60" w:after="60" w:line="240" w:lineRule="auto"/>
              <w:ind w:left="113" w:right="113"/>
              <w:rPr>
                <w:i/>
                <w:lang w:val="fr-FR"/>
              </w:rPr>
            </w:pPr>
            <w:r w:rsidRPr="00CB7C30">
              <w:rPr>
                <w:rFonts w:eastAsia="Times New Roman"/>
                <w:i/>
                <w:sz w:val="16"/>
              </w:rPr>
              <w:t>Caractéristiques techniques</w:t>
            </w:r>
            <w:r w:rsidRPr="006E3D56">
              <w:rPr>
                <w:i/>
                <w:lang w:val="fr-FR"/>
              </w:rPr>
              <w:t xml:space="preserve"> </w:t>
            </w:r>
          </w:p>
        </w:tc>
        <w:tc>
          <w:tcPr>
            <w:tcW w:w="3432" w:type="dxa"/>
            <w:gridSpan w:val="7"/>
            <w:tcBorders>
              <w:top w:val="single" w:sz="4" w:space="0" w:color="auto"/>
              <w:left w:val="single" w:sz="4" w:space="0" w:color="auto"/>
              <w:bottom w:val="single" w:sz="4" w:space="0" w:color="auto"/>
              <w:right w:val="single" w:sz="4" w:space="0" w:color="auto"/>
            </w:tcBorders>
            <w:vAlign w:val="bottom"/>
            <w:hideMark/>
          </w:tcPr>
          <w:p w:rsidR="004A478B" w:rsidRPr="006E3D56" w:rsidRDefault="004A478B" w:rsidP="0029368F">
            <w:pPr>
              <w:spacing w:before="60" w:after="60" w:line="240" w:lineRule="auto"/>
              <w:ind w:left="113" w:right="113"/>
              <w:jc w:val="center"/>
              <w:rPr>
                <w:i/>
                <w:lang w:val="fr-FR"/>
              </w:rPr>
            </w:pPr>
            <w:r w:rsidRPr="00CB7C30">
              <w:rPr>
                <w:rFonts w:eastAsia="Times New Roman"/>
                <w:i/>
                <w:sz w:val="16"/>
              </w:rPr>
              <w:t>Désignation du véhicule (selon le chapitre 9.1</w:t>
            </w:r>
            <w:r w:rsidRPr="00CB7C30">
              <w:rPr>
                <w:rFonts w:eastAsia="Times New Roman"/>
                <w:i/>
                <w:sz w:val="16"/>
              </w:rPr>
              <w:br/>
              <w:t>de l’annexe b de l’ADR)</w:t>
            </w:r>
          </w:p>
        </w:tc>
      </w:tr>
      <w:tr w:rsidR="004A478B" w:rsidRPr="006E3D56" w:rsidTr="004A478B">
        <w:trPr>
          <w:tblHeader/>
        </w:trPr>
        <w:tc>
          <w:tcPr>
            <w:tcW w:w="3974" w:type="dxa"/>
            <w:gridSpan w:val="2"/>
            <w:vMerge/>
            <w:tcBorders>
              <w:left w:val="single" w:sz="4" w:space="0" w:color="auto"/>
              <w:bottom w:val="single" w:sz="4" w:space="0" w:color="auto"/>
              <w:right w:val="single" w:sz="4" w:space="0" w:color="auto"/>
            </w:tcBorders>
            <w:vAlign w:val="center"/>
            <w:hideMark/>
          </w:tcPr>
          <w:p w:rsidR="004A478B" w:rsidRPr="006E3D56" w:rsidRDefault="004A478B" w:rsidP="006E3D56">
            <w:pPr>
              <w:rPr>
                <w:i/>
                <w:lang w:val="fr-FR"/>
              </w:rPr>
            </w:pPr>
          </w:p>
        </w:tc>
        <w:tc>
          <w:tcPr>
            <w:tcW w:w="680" w:type="dxa"/>
            <w:tcBorders>
              <w:top w:val="single" w:sz="4" w:space="0" w:color="auto"/>
              <w:left w:val="single" w:sz="4" w:space="0" w:color="auto"/>
              <w:bottom w:val="single" w:sz="4" w:space="0" w:color="auto"/>
              <w:right w:val="single" w:sz="4" w:space="0" w:color="auto"/>
            </w:tcBorders>
            <w:hideMark/>
          </w:tcPr>
          <w:p w:rsidR="004A478B" w:rsidRPr="00CB7C30" w:rsidRDefault="004A478B" w:rsidP="00E56E1C">
            <w:pPr>
              <w:spacing w:before="60" w:after="60" w:line="240" w:lineRule="auto"/>
              <w:ind w:left="113" w:right="113"/>
              <w:jc w:val="center"/>
              <w:rPr>
                <w:rFonts w:eastAsia="Times New Roman"/>
              </w:rPr>
            </w:pPr>
            <w:r w:rsidRPr="00E56E1C">
              <w:rPr>
                <w:rFonts w:eastAsia="Times New Roman"/>
                <w:i/>
                <w:sz w:val="16"/>
              </w:rPr>
              <w:t>EX/II</w:t>
            </w:r>
          </w:p>
        </w:tc>
        <w:tc>
          <w:tcPr>
            <w:tcW w:w="680" w:type="dxa"/>
            <w:tcBorders>
              <w:top w:val="single" w:sz="4" w:space="0" w:color="auto"/>
              <w:left w:val="single" w:sz="4" w:space="0" w:color="auto"/>
              <w:bottom w:val="single" w:sz="4" w:space="0" w:color="auto"/>
              <w:right w:val="single" w:sz="4" w:space="0" w:color="auto"/>
            </w:tcBorders>
            <w:hideMark/>
          </w:tcPr>
          <w:p w:rsidR="004A478B" w:rsidRPr="00E56E1C" w:rsidRDefault="004A478B" w:rsidP="00CB7C30">
            <w:pPr>
              <w:spacing w:before="60" w:after="60" w:line="240" w:lineRule="auto"/>
              <w:ind w:left="113" w:right="113"/>
              <w:jc w:val="center"/>
              <w:rPr>
                <w:rFonts w:eastAsia="Times New Roman"/>
                <w:i/>
                <w:sz w:val="16"/>
              </w:rPr>
            </w:pPr>
            <w:r w:rsidRPr="00E56E1C">
              <w:rPr>
                <w:rFonts w:eastAsia="Times New Roman"/>
                <w:i/>
                <w:sz w:val="16"/>
              </w:rPr>
              <w:t>EX/III</w:t>
            </w:r>
          </w:p>
        </w:tc>
        <w:tc>
          <w:tcPr>
            <w:tcW w:w="680" w:type="dxa"/>
            <w:tcBorders>
              <w:top w:val="single" w:sz="4" w:space="0" w:color="auto"/>
              <w:left w:val="single" w:sz="4" w:space="0" w:color="auto"/>
              <w:bottom w:val="single" w:sz="4" w:space="0" w:color="auto"/>
              <w:right w:val="single" w:sz="4" w:space="0" w:color="auto"/>
            </w:tcBorders>
            <w:hideMark/>
          </w:tcPr>
          <w:p w:rsidR="004A478B" w:rsidRPr="00E56E1C" w:rsidRDefault="004A478B" w:rsidP="00CB7C30">
            <w:pPr>
              <w:spacing w:before="60" w:after="60" w:line="240" w:lineRule="auto"/>
              <w:ind w:left="113" w:right="113"/>
              <w:jc w:val="center"/>
              <w:rPr>
                <w:rFonts w:eastAsia="Times New Roman"/>
                <w:i/>
                <w:sz w:val="16"/>
              </w:rPr>
            </w:pPr>
            <w:r w:rsidRPr="00E56E1C">
              <w:rPr>
                <w:rFonts w:eastAsia="Times New Roman"/>
                <w:i/>
                <w:sz w:val="16"/>
              </w:rPr>
              <w:t>AT</w:t>
            </w:r>
          </w:p>
        </w:tc>
        <w:tc>
          <w:tcPr>
            <w:tcW w:w="680" w:type="dxa"/>
            <w:tcBorders>
              <w:top w:val="single" w:sz="4" w:space="0" w:color="auto"/>
              <w:left w:val="single" w:sz="4" w:space="0" w:color="auto"/>
              <w:bottom w:val="single" w:sz="4" w:space="0" w:color="auto"/>
              <w:right w:val="single" w:sz="4" w:space="0" w:color="auto"/>
            </w:tcBorders>
            <w:hideMark/>
          </w:tcPr>
          <w:p w:rsidR="004A478B" w:rsidRPr="00E56E1C" w:rsidRDefault="004A478B" w:rsidP="00CB7C30">
            <w:pPr>
              <w:spacing w:before="60" w:after="60" w:line="240" w:lineRule="auto"/>
              <w:ind w:left="113" w:right="113"/>
              <w:jc w:val="center"/>
              <w:rPr>
                <w:rFonts w:eastAsia="Times New Roman"/>
                <w:i/>
                <w:sz w:val="16"/>
              </w:rPr>
            </w:pPr>
            <w:r w:rsidRPr="00E56E1C">
              <w:rPr>
                <w:rFonts w:eastAsia="Times New Roman"/>
                <w:i/>
                <w:sz w:val="16"/>
              </w:rPr>
              <w:t>FL</w:t>
            </w:r>
          </w:p>
        </w:tc>
        <w:tc>
          <w:tcPr>
            <w:tcW w:w="712" w:type="dxa"/>
            <w:gridSpan w:val="3"/>
            <w:tcBorders>
              <w:top w:val="single" w:sz="4" w:space="0" w:color="auto"/>
              <w:left w:val="single" w:sz="4" w:space="0" w:color="auto"/>
              <w:bottom w:val="single" w:sz="4" w:space="0" w:color="auto"/>
              <w:right w:val="single" w:sz="4" w:space="0" w:color="auto"/>
            </w:tcBorders>
          </w:tcPr>
          <w:p w:rsidR="004A478B" w:rsidRPr="00E56E1C" w:rsidRDefault="004A478B" w:rsidP="00CB7C30">
            <w:pPr>
              <w:spacing w:before="60" w:after="60" w:line="240" w:lineRule="auto"/>
              <w:ind w:left="113" w:right="113"/>
              <w:jc w:val="center"/>
              <w:rPr>
                <w:rFonts w:eastAsia="Times New Roman"/>
                <w:i/>
                <w:sz w:val="16"/>
              </w:rPr>
            </w:pPr>
          </w:p>
        </w:tc>
      </w:tr>
      <w:tr w:rsidR="00C85FF2"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w:t>
            </w:r>
          </w:p>
        </w:tc>
        <w:tc>
          <w:tcPr>
            <w:tcW w:w="6267" w:type="dxa"/>
            <w:gridSpan w:val="8"/>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sz w:val="18"/>
                <w:szCs w:val="18"/>
                <w:lang w:val="fr-FR"/>
              </w:rPr>
            </w:pPr>
            <w:r w:rsidRPr="00C040EF">
              <w:rPr>
                <w:rFonts w:eastAsia="Times New Roman"/>
                <w:sz w:val="18"/>
                <w:szCs w:val="18"/>
              </w:rPr>
              <w:t>Équipement</w:t>
            </w:r>
            <w:r w:rsidRPr="00C040EF">
              <w:rPr>
                <w:sz w:val="18"/>
                <w:szCs w:val="18"/>
                <w:lang w:val="fr-FR"/>
              </w:rPr>
              <w:t xml:space="preserve"> électrique </w:t>
            </w: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5.1.1.1</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 xml:space="preserve">Dispositions générales </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5.1.1.2.1</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Câbles</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5.1.1.2.2</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 xml:space="preserve">Protection supplémentaire </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5.1.1.3</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Fusibles et disjoncteurs</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5.1.1.4</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Batteries</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5.1.1.5</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 xml:space="preserve">Éclairage </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5.1.1.6</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Connexions électriques</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5.1.1.7</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 xml:space="preserve">Tension </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5.1.1.8</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Coupe-circuit de batterie</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5.1.1.9</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Circuits alimentés en permanence</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5.1.1.9.1</w:t>
            </w:r>
          </w:p>
        </w:tc>
        <w:tc>
          <w:tcPr>
            <w:tcW w:w="2835"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5.1.1.9.2</w:t>
            </w:r>
          </w:p>
        </w:tc>
        <w:tc>
          <w:tcPr>
            <w:tcW w:w="2835"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712" w:type="dxa"/>
            <w:gridSpan w:val="3"/>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CB7C30" w:rsidRPr="00C040EF" w:rsidTr="004A478B">
        <w:tc>
          <w:tcPr>
            <w:tcW w:w="1139" w:type="dxa"/>
            <w:tcBorders>
              <w:top w:val="single" w:sz="4" w:space="0" w:color="auto"/>
              <w:left w:val="single" w:sz="4" w:space="0" w:color="auto"/>
              <w:bottom w:val="single" w:sz="4" w:space="0" w:color="auto"/>
              <w:right w:val="single" w:sz="4" w:space="0" w:color="auto"/>
            </w:tcBorders>
            <w:hideMark/>
          </w:tcPr>
          <w:p w:rsidR="00CB7C30" w:rsidRPr="00C040EF" w:rsidRDefault="00CB7C30" w:rsidP="00C040EF">
            <w:pPr>
              <w:spacing w:before="60" w:after="60" w:line="220" w:lineRule="atLeast"/>
              <w:ind w:left="57" w:right="57"/>
              <w:rPr>
                <w:rFonts w:eastAsia="Times New Roman"/>
                <w:sz w:val="18"/>
                <w:szCs w:val="18"/>
              </w:rPr>
            </w:pPr>
            <w:r w:rsidRPr="00C040EF">
              <w:rPr>
                <w:rFonts w:eastAsia="Times New Roman"/>
                <w:sz w:val="18"/>
                <w:szCs w:val="18"/>
              </w:rPr>
              <w:t>5.1.2</w:t>
            </w:r>
          </w:p>
        </w:tc>
        <w:tc>
          <w:tcPr>
            <w:tcW w:w="6267" w:type="dxa"/>
            <w:gridSpan w:val="8"/>
            <w:tcBorders>
              <w:top w:val="single" w:sz="4" w:space="0" w:color="auto"/>
              <w:left w:val="single" w:sz="4" w:space="0" w:color="auto"/>
              <w:bottom w:val="single" w:sz="4" w:space="0" w:color="auto"/>
              <w:right w:val="single" w:sz="4" w:space="0" w:color="auto"/>
            </w:tcBorders>
            <w:hideMark/>
          </w:tcPr>
          <w:p w:rsidR="00CB7C30" w:rsidRPr="00C040EF" w:rsidRDefault="00CB7C30" w:rsidP="00C040EF">
            <w:pPr>
              <w:spacing w:before="60" w:after="60" w:line="220" w:lineRule="atLeast"/>
              <w:ind w:left="57" w:right="57"/>
              <w:rPr>
                <w:rFonts w:eastAsia="Times New Roman"/>
                <w:sz w:val="18"/>
                <w:szCs w:val="18"/>
              </w:rPr>
            </w:pPr>
            <w:r w:rsidRPr="00C040EF">
              <w:rPr>
                <w:sz w:val="18"/>
                <w:szCs w:val="18"/>
                <w:lang w:val="fr-FR"/>
              </w:rPr>
              <w:t>Équipement</w:t>
            </w:r>
            <w:r w:rsidRPr="00C040EF">
              <w:rPr>
                <w:rFonts w:eastAsia="Times New Roman"/>
                <w:sz w:val="18"/>
                <w:szCs w:val="18"/>
              </w:rPr>
              <w:t xml:space="preserve"> de freinage </w:t>
            </w:r>
          </w:p>
        </w:tc>
      </w:tr>
      <w:tr w:rsidR="00E56E1C" w:rsidRPr="00C040EF" w:rsidTr="00E56E1C">
        <w:trPr>
          <w:gridAfter w:val="1"/>
          <w:wAfter w:w="25"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5.1.2.1</w:t>
            </w:r>
          </w:p>
        </w:tc>
        <w:tc>
          <w:tcPr>
            <w:tcW w:w="2835"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7" w:type="dxa"/>
            <w:gridSpan w:val="2"/>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C85FF2" w:rsidRPr="00C040EF" w:rsidTr="00E56E1C">
        <w:trPr>
          <w:gridAfter w:val="1"/>
          <w:wAfter w:w="25"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5.1.3</w:t>
            </w:r>
          </w:p>
        </w:tc>
        <w:tc>
          <w:tcPr>
            <w:tcW w:w="6242" w:type="dxa"/>
            <w:gridSpan w:val="7"/>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Prévention des risques d’incendie</w:t>
            </w:r>
          </w:p>
        </w:tc>
      </w:tr>
      <w:tr w:rsidR="00E56E1C" w:rsidRPr="00C040EF" w:rsidTr="004A478B">
        <w:trPr>
          <w:gridAfter w:val="1"/>
          <w:wAfter w:w="25"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5.1.3.2</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Réservoirs à carburant</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7" w:type="dxa"/>
            <w:gridSpan w:val="2"/>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rPr>
          <w:gridAfter w:val="1"/>
          <w:wAfter w:w="25"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5.1.3.3</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Moteur</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7" w:type="dxa"/>
            <w:gridSpan w:val="2"/>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rPr>
          <w:gridAfter w:val="1"/>
          <w:wAfter w:w="25"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5.1.3.4</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 xml:space="preserve">Dispositif d’échappement </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7" w:type="dxa"/>
            <w:gridSpan w:val="2"/>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E56E1C" w:rsidRPr="00C040EF" w:rsidTr="004A478B">
        <w:trPr>
          <w:gridAfter w:val="1"/>
          <w:wAfter w:w="25"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5.1.3.5</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Frein d’endurance</w:t>
            </w:r>
            <w:r w:rsidR="00CB7C30" w:rsidRPr="00C040EF">
              <w:rPr>
                <w:rFonts w:eastAsia="Times New Roman"/>
                <w:sz w:val="18"/>
                <w:szCs w:val="18"/>
              </w:rPr>
              <w:t xml:space="preserve"> </w:t>
            </w:r>
            <w:r w:rsidRPr="00C040EF">
              <w:rPr>
                <w:rFonts w:eastAsia="Times New Roman"/>
                <w:sz w:val="18"/>
                <w:szCs w:val="18"/>
              </w:rPr>
              <w:t>du véhicule</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7" w:type="dxa"/>
            <w:gridSpan w:val="2"/>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C85FF2" w:rsidRPr="00C040EF" w:rsidTr="004A478B">
        <w:trPr>
          <w:gridAfter w:val="1"/>
          <w:wAfter w:w="25"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5.1.3.6</w:t>
            </w:r>
          </w:p>
        </w:tc>
        <w:tc>
          <w:tcPr>
            <w:tcW w:w="6242" w:type="dxa"/>
            <w:gridSpan w:val="7"/>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 xml:space="preserve">Appareils de chauffage à combustion </w:t>
            </w:r>
          </w:p>
        </w:tc>
      </w:tr>
      <w:tr w:rsidR="00C85FF2" w:rsidRPr="00C040EF" w:rsidTr="004A478B">
        <w:trPr>
          <w:gridAfter w:val="2"/>
          <w:wAfter w:w="32"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5.1.3.6.1</w:t>
            </w:r>
          </w:p>
        </w:tc>
        <w:tc>
          <w:tcPr>
            <w:tcW w:w="2835"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C85FF2" w:rsidRPr="00C040EF" w:rsidTr="004A478B">
        <w:trPr>
          <w:gridAfter w:val="2"/>
          <w:wAfter w:w="32"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5.1.4</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Dispositif de limitation</w:t>
            </w:r>
            <w:r w:rsidR="00CB7C30" w:rsidRPr="00C040EF">
              <w:rPr>
                <w:rFonts w:eastAsia="Times New Roman"/>
                <w:sz w:val="18"/>
                <w:szCs w:val="18"/>
              </w:rPr>
              <w:t xml:space="preserve"> </w:t>
            </w:r>
            <w:r w:rsidRPr="00C040EF">
              <w:rPr>
                <w:rFonts w:eastAsia="Times New Roman"/>
                <w:sz w:val="18"/>
                <w:szCs w:val="18"/>
              </w:rPr>
              <w:t xml:space="preserve">de vitesse </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C85FF2" w:rsidRPr="00C040EF" w:rsidTr="004A478B">
        <w:trPr>
          <w:gridAfter w:val="2"/>
          <w:wAfter w:w="32"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5.1.5</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Dispositifs d’attelage</w:t>
            </w:r>
            <w:r w:rsidR="00CB7C30" w:rsidRPr="00C040EF">
              <w:rPr>
                <w:rFonts w:eastAsia="Times New Roman"/>
                <w:sz w:val="18"/>
                <w:szCs w:val="18"/>
              </w:rPr>
              <w:t xml:space="preserve"> </w:t>
            </w:r>
            <w:r w:rsidRPr="00C040EF">
              <w:rPr>
                <w:rFonts w:eastAsia="Times New Roman"/>
                <w:sz w:val="18"/>
                <w:szCs w:val="18"/>
              </w:rPr>
              <w:t>des véhicules à</w:t>
            </w:r>
            <w:r w:rsidR="00C040EF">
              <w:rPr>
                <w:rFonts w:eastAsia="Times New Roman"/>
                <w:sz w:val="18"/>
                <w:szCs w:val="18"/>
              </w:rPr>
              <w:t> </w:t>
            </w:r>
            <w:r w:rsidRPr="00C040EF">
              <w:rPr>
                <w:rFonts w:eastAsia="Times New Roman"/>
                <w:sz w:val="18"/>
                <w:szCs w:val="18"/>
              </w:rPr>
              <w:t>moteur</w:t>
            </w:r>
            <w:r w:rsidR="00CB7C30" w:rsidRPr="00C040EF">
              <w:rPr>
                <w:rFonts w:eastAsia="Times New Roman"/>
                <w:sz w:val="18"/>
                <w:szCs w:val="18"/>
              </w:rPr>
              <w:t xml:space="preserve"> </w:t>
            </w:r>
            <w:r w:rsidRPr="00C040EF">
              <w:rPr>
                <w:rFonts w:eastAsia="Times New Roman"/>
                <w:sz w:val="18"/>
                <w:szCs w:val="18"/>
              </w:rPr>
              <w:t xml:space="preserve">et des remorques </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r w:rsidR="00C85FF2" w:rsidRPr="00C040EF" w:rsidTr="004A478B">
        <w:trPr>
          <w:gridAfter w:val="2"/>
          <w:wAfter w:w="32" w:type="dxa"/>
        </w:trPr>
        <w:tc>
          <w:tcPr>
            <w:tcW w:w="1139"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5.1.6</w:t>
            </w:r>
          </w:p>
        </w:tc>
        <w:tc>
          <w:tcPr>
            <w:tcW w:w="2835"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rPr>
                <w:rFonts w:eastAsia="Times New Roman"/>
                <w:sz w:val="18"/>
                <w:szCs w:val="18"/>
              </w:rPr>
            </w:pPr>
            <w:r w:rsidRPr="00C040EF">
              <w:rPr>
                <w:rFonts w:eastAsia="Times New Roman"/>
                <w:sz w:val="18"/>
                <w:szCs w:val="18"/>
              </w:rPr>
              <w:t>Prévention des autres risques dus aux</w:t>
            </w:r>
            <w:r w:rsidR="00C040EF">
              <w:rPr>
                <w:rFonts w:eastAsia="Times New Roman"/>
                <w:sz w:val="18"/>
                <w:szCs w:val="18"/>
              </w:rPr>
              <w:t> </w:t>
            </w:r>
            <w:r w:rsidRPr="00C040EF">
              <w:rPr>
                <w:rFonts w:eastAsia="Times New Roman"/>
                <w:sz w:val="18"/>
                <w:szCs w:val="18"/>
              </w:rPr>
              <w:t xml:space="preserve">carburants </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hideMark/>
          </w:tcPr>
          <w:p w:rsidR="00C85FF2" w:rsidRPr="00C040EF" w:rsidRDefault="00C85FF2" w:rsidP="00C040EF">
            <w:pPr>
              <w:spacing w:before="60" w:after="60" w:line="220" w:lineRule="atLeast"/>
              <w:ind w:left="57" w:right="57"/>
              <w:jc w:val="center"/>
              <w:rPr>
                <w:rFonts w:eastAsia="Times New Roman"/>
                <w:sz w:val="18"/>
                <w:szCs w:val="18"/>
              </w:rPr>
            </w:pPr>
            <w:r w:rsidRPr="00C040EF">
              <w:rPr>
                <w:rFonts w:eastAsia="Times New Roman"/>
                <w:sz w:val="18"/>
                <w:szCs w:val="18"/>
              </w:rPr>
              <w:t>X</w:t>
            </w:r>
          </w:p>
        </w:tc>
        <w:tc>
          <w:tcPr>
            <w:tcW w:w="680" w:type="dxa"/>
            <w:tcBorders>
              <w:top w:val="single" w:sz="4" w:space="0" w:color="auto"/>
              <w:left w:val="single" w:sz="4" w:space="0" w:color="auto"/>
              <w:bottom w:val="single" w:sz="4" w:space="0" w:color="auto"/>
              <w:right w:val="single" w:sz="4" w:space="0" w:color="auto"/>
            </w:tcBorders>
          </w:tcPr>
          <w:p w:rsidR="00C85FF2" w:rsidRPr="00C040EF" w:rsidRDefault="00C85FF2" w:rsidP="00C040EF">
            <w:pPr>
              <w:spacing w:before="60" w:after="60" w:line="220" w:lineRule="atLeast"/>
              <w:ind w:left="57" w:right="57"/>
              <w:jc w:val="center"/>
              <w:rPr>
                <w:rFonts w:eastAsia="Times New Roman"/>
                <w:sz w:val="18"/>
                <w:szCs w:val="18"/>
              </w:rPr>
            </w:pPr>
          </w:p>
        </w:tc>
      </w:tr>
    </w:tbl>
    <w:p w:rsidR="00C85FF2" w:rsidRPr="006E3D56" w:rsidRDefault="00C85FF2" w:rsidP="00CB7C30">
      <w:pPr>
        <w:pStyle w:val="SingleTxtG"/>
        <w:jc w:val="right"/>
        <w:rPr>
          <w:b/>
          <w:lang w:val="fr-FR"/>
        </w:rPr>
      </w:pPr>
      <w:r w:rsidRPr="006E3D56">
        <w:rPr>
          <w:lang w:val="fr-FR"/>
        </w:rPr>
        <w:t>. ».</w:t>
      </w:r>
    </w:p>
    <w:p w:rsidR="00C85FF2" w:rsidRPr="006E3D56" w:rsidRDefault="00C85FF2" w:rsidP="00F36958">
      <w:pPr>
        <w:pStyle w:val="SingleTxtG"/>
        <w:rPr>
          <w:lang w:val="fr-FR"/>
        </w:rPr>
      </w:pPr>
      <w:r w:rsidRPr="006E3D56">
        <w:rPr>
          <w:i/>
          <w:lang w:val="fr-FR"/>
        </w:rPr>
        <w:t>Paragraphe 5.1.1.1</w:t>
      </w:r>
      <w:r w:rsidR="00C040EF" w:rsidRPr="00C040EF">
        <w:rPr>
          <w:lang w:val="fr-FR"/>
        </w:rPr>
        <w:t>,</w:t>
      </w:r>
      <w:r w:rsidRPr="006E3D56">
        <w:rPr>
          <w:lang w:val="fr-FR"/>
        </w:rPr>
        <w:t xml:space="preserve"> modifier </w:t>
      </w:r>
      <w:r w:rsidRPr="00F36958">
        <w:rPr>
          <w:rFonts w:eastAsia="Times New Roman"/>
        </w:rPr>
        <w:t>comme</w:t>
      </w:r>
      <w:r w:rsidRPr="006E3D56">
        <w:rPr>
          <w:lang w:val="fr-FR"/>
        </w:rPr>
        <w:t xml:space="preserve"> suit :</w:t>
      </w:r>
    </w:p>
    <w:p w:rsidR="00C85FF2" w:rsidRPr="006E3D56" w:rsidRDefault="00C85FF2" w:rsidP="00F36958">
      <w:pPr>
        <w:pStyle w:val="SingleTxtG"/>
        <w:ind w:left="2268" w:hanging="1134"/>
        <w:rPr>
          <w:lang w:val="fr-FR"/>
        </w:rPr>
      </w:pPr>
      <w:r w:rsidRPr="006E3D56">
        <w:rPr>
          <w:lang w:val="fr-FR"/>
        </w:rPr>
        <w:t>« 5.1.1.1</w:t>
      </w:r>
      <w:r w:rsidRPr="006E3D56">
        <w:rPr>
          <w:lang w:val="fr-FR"/>
        </w:rPr>
        <w:tab/>
        <w:t xml:space="preserve">Dispositions </w:t>
      </w:r>
      <w:r w:rsidRPr="00F36958">
        <w:rPr>
          <w:rFonts w:eastAsia="Times New Roman"/>
        </w:rPr>
        <w:t>générales</w:t>
      </w:r>
    </w:p>
    <w:p w:rsidR="00C85FF2" w:rsidRPr="006E3D56" w:rsidRDefault="00C85FF2" w:rsidP="00F36958">
      <w:pPr>
        <w:pStyle w:val="SingleTxtG"/>
        <w:ind w:left="2268"/>
        <w:rPr>
          <w:lang w:val="fr-FR"/>
        </w:rPr>
      </w:pPr>
      <w:r w:rsidRPr="006E3D56">
        <w:rPr>
          <w:lang w:val="fr-FR"/>
        </w:rPr>
        <w:tab/>
        <w:t xml:space="preserve">L’installation doit être </w:t>
      </w:r>
      <w:r w:rsidRPr="00F36958">
        <w:rPr>
          <w:rFonts w:eastAsia="Times New Roman"/>
        </w:rPr>
        <w:t>conçue</w:t>
      </w:r>
      <w:r w:rsidRPr="006E3D56">
        <w:rPr>
          <w:lang w:val="fr-FR"/>
        </w:rPr>
        <w:t xml:space="preserve">, réalisée et protégée de façon à ne pouvoir </w:t>
      </w:r>
      <w:r w:rsidRPr="00F36958">
        <w:rPr>
          <w:rFonts w:eastAsia="Times New Roman"/>
        </w:rPr>
        <w:t>provoquer</w:t>
      </w:r>
      <w:r w:rsidRPr="006E3D56">
        <w:rPr>
          <w:lang w:val="fr-FR"/>
        </w:rPr>
        <w:t xml:space="preserve"> ni inflammation ni court-circuit dans des conditions normales d’utilisation des véhicules.</w:t>
      </w:r>
    </w:p>
    <w:p w:rsidR="00C85FF2" w:rsidRPr="006E3D56" w:rsidRDefault="00C85FF2" w:rsidP="00F36958">
      <w:pPr>
        <w:pStyle w:val="SingleTxtG"/>
        <w:ind w:left="2268"/>
        <w:rPr>
          <w:lang w:val="fr-FR"/>
        </w:rPr>
      </w:pPr>
      <w:r w:rsidRPr="006E3D56">
        <w:rPr>
          <w:lang w:val="fr-FR"/>
        </w:rPr>
        <w:lastRenderedPageBreak/>
        <w:tab/>
      </w:r>
      <w:r w:rsidRPr="00F36958">
        <w:rPr>
          <w:rFonts w:eastAsia="Times New Roman"/>
        </w:rPr>
        <w:t>L’installation</w:t>
      </w:r>
      <w:r w:rsidRPr="006E3D56">
        <w:rPr>
          <w:lang w:val="fr-FR"/>
        </w:rPr>
        <w:t xml:space="preserve"> </w:t>
      </w:r>
      <w:r w:rsidRPr="00F36958">
        <w:rPr>
          <w:rFonts w:eastAsia="Times New Roman"/>
        </w:rPr>
        <w:t>électrique</w:t>
      </w:r>
      <w:r w:rsidRPr="006E3D56">
        <w:rPr>
          <w:lang w:val="fr-FR"/>
        </w:rPr>
        <w:t xml:space="preserve"> dans son ensemble doit satisfaire aux dispositions des paragraphes 5.1.1.2 à 5.1.1.9, conformément au tableau du paragraphe 5.1.».</w:t>
      </w:r>
    </w:p>
    <w:p w:rsidR="00C85FF2" w:rsidRPr="006E3D56" w:rsidRDefault="00C85FF2" w:rsidP="00F36958">
      <w:pPr>
        <w:pStyle w:val="SingleTxtG"/>
        <w:rPr>
          <w:lang w:val="fr-FR"/>
        </w:rPr>
      </w:pPr>
      <w:r w:rsidRPr="006E3D56">
        <w:rPr>
          <w:i/>
          <w:lang w:val="fr-FR"/>
        </w:rPr>
        <w:t>Ajouter les nouveaux paragraphes 5.1.1.2.1 et 5.1.1.2.2</w:t>
      </w:r>
      <w:r w:rsidRPr="006E3D56">
        <w:rPr>
          <w:lang w:val="fr-FR"/>
        </w:rPr>
        <w:t xml:space="preserve">, libellés </w:t>
      </w:r>
      <w:r w:rsidRPr="00F36958">
        <w:rPr>
          <w:rFonts w:eastAsia="Times New Roman"/>
        </w:rPr>
        <w:t>comme</w:t>
      </w:r>
      <w:r w:rsidRPr="006E3D56">
        <w:rPr>
          <w:lang w:val="fr-FR"/>
        </w:rPr>
        <w:t xml:space="preserve"> suit :</w:t>
      </w:r>
    </w:p>
    <w:p w:rsidR="00C85FF2" w:rsidRPr="006E3D56" w:rsidRDefault="00C85FF2" w:rsidP="00F36958">
      <w:pPr>
        <w:pStyle w:val="SingleTxtG"/>
        <w:ind w:left="2268" w:hanging="1134"/>
        <w:rPr>
          <w:lang w:val="fr-FR"/>
        </w:rPr>
      </w:pPr>
      <w:r w:rsidRPr="006E3D56">
        <w:rPr>
          <w:lang w:val="fr-FR"/>
        </w:rPr>
        <w:t>« 5.1.1.2.1</w:t>
      </w:r>
      <w:r w:rsidRPr="006E3D56">
        <w:rPr>
          <w:lang w:val="fr-FR"/>
        </w:rPr>
        <w:tab/>
      </w:r>
      <w:r w:rsidRPr="00F36958">
        <w:rPr>
          <w:rFonts w:eastAsia="Times New Roman"/>
        </w:rPr>
        <w:t>Câbles</w:t>
      </w:r>
    </w:p>
    <w:p w:rsidR="00C85FF2" w:rsidRPr="006E3D56" w:rsidRDefault="00C85FF2" w:rsidP="00F36958">
      <w:pPr>
        <w:pStyle w:val="SingleTxtG"/>
        <w:ind w:left="2268"/>
        <w:rPr>
          <w:lang w:val="fr-FR"/>
        </w:rPr>
      </w:pPr>
      <w:r w:rsidRPr="006E3D56">
        <w:rPr>
          <w:lang w:val="fr-FR"/>
        </w:rPr>
        <w:t xml:space="preserve">Aucun câble utilisé dans un circuit </w:t>
      </w:r>
      <w:r w:rsidRPr="006E3D56">
        <w:rPr>
          <w:bCs/>
          <w:lang w:val="fr-FR"/>
        </w:rPr>
        <w:t xml:space="preserve">électrique ne doit transmettre un courant d’une intensité </w:t>
      </w:r>
      <w:r w:rsidRPr="00F36958">
        <w:rPr>
          <w:rFonts w:eastAsia="Times New Roman"/>
        </w:rPr>
        <w:t>supérieure</w:t>
      </w:r>
      <w:r w:rsidRPr="006E3D56">
        <w:rPr>
          <w:bCs/>
          <w:lang w:val="fr-FR"/>
        </w:rPr>
        <w:t xml:space="preserve"> à celle pour laquelle il a été conçu. Les câbles doivent être convenablement isolés</w:t>
      </w:r>
      <w:r w:rsidRPr="006E3D56">
        <w:rPr>
          <w:lang w:val="fr-FR"/>
        </w:rPr>
        <w:t>.</w:t>
      </w:r>
    </w:p>
    <w:p w:rsidR="00C85FF2" w:rsidRPr="006E3D56" w:rsidRDefault="00C85FF2" w:rsidP="00F36958">
      <w:pPr>
        <w:pStyle w:val="SingleTxtG"/>
        <w:ind w:left="2268"/>
        <w:rPr>
          <w:lang w:val="fr-FR"/>
        </w:rPr>
      </w:pPr>
      <w:r w:rsidRPr="006E3D56">
        <w:rPr>
          <w:bCs/>
          <w:lang w:val="fr-FR"/>
        </w:rPr>
        <w:t xml:space="preserve">Les câbles doivent être adaptés aux conditions dans lesquelles il est prévu de les utiliser, notamment les conditions de température et de compatibilité </w:t>
      </w:r>
      <w:r w:rsidRPr="00F36958">
        <w:rPr>
          <w:rFonts w:eastAsia="Times New Roman"/>
        </w:rPr>
        <w:t>avec</w:t>
      </w:r>
      <w:r w:rsidRPr="006E3D56">
        <w:rPr>
          <w:bCs/>
          <w:lang w:val="fr-FR"/>
        </w:rPr>
        <w:t xml:space="preserve"> les fluides telles qu’elles figurent dans les normes ISO 16750-4:2010 et ISO 16750-5:2010</w:t>
      </w:r>
      <w:r w:rsidRPr="006E3D56">
        <w:rPr>
          <w:lang w:val="fr-FR"/>
        </w:rPr>
        <w:t>.</w:t>
      </w:r>
    </w:p>
    <w:p w:rsidR="00C85FF2" w:rsidRPr="006E3D56" w:rsidRDefault="00C85FF2" w:rsidP="00F36958">
      <w:pPr>
        <w:pStyle w:val="SingleTxtG"/>
        <w:ind w:left="2268"/>
        <w:rPr>
          <w:lang w:val="fr-FR"/>
        </w:rPr>
      </w:pPr>
      <w:r w:rsidRPr="006E3D56">
        <w:rPr>
          <w:bCs/>
          <w:lang w:val="fr-FR"/>
        </w:rPr>
        <w:t>Les câbles doivent être conformes à la norme ISO 6722-1:2011 + Cor 01:2012 ou ISO 6722-2:2013</w:t>
      </w:r>
      <w:r w:rsidRPr="006E3D56">
        <w:rPr>
          <w:lang w:val="fr-FR"/>
        </w:rPr>
        <w:t>.</w:t>
      </w:r>
    </w:p>
    <w:p w:rsidR="00C85FF2" w:rsidRPr="006E3D56" w:rsidRDefault="00C85FF2" w:rsidP="00F36958">
      <w:pPr>
        <w:pStyle w:val="SingleTxtG"/>
        <w:ind w:left="2268"/>
        <w:rPr>
          <w:lang w:val="fr-FR"/>
        </w:rPr>
      </w:pPr>
      <w:r w:rsidRPr="006E3D56">
        <w:rPr>
          <w:bCs/>
          <w:lang w:val="fr-FR"/>
        </w:rPr>
        <w:t xml:space="preserve">Ils doivent être solidement attachés et placés de façon à être protégés contre les agressions mécaniques et thermiques. </w:t>
      </w:r>
    </w:p>
    <w:p w:rsidR="00C85FF2" w:rsidRPr="006E3D56" w:rsidRDefault="00C85FF2" w:rsidP="00F36958">
      <w:pPr>
        <w:pStyle w:val="SingleTxtG"/>
        <w:ind w:left="2268" w:hanging="1134"/>
        <w:rPr>
          <w:lang w:val="fr-FR"/>
        </w:rPr>
      </w:pPr>
      <w:r w:rsidRPr="006E3D56">
        <w:rPr>
          <w:lang w:val="fr-FR"/>
        </w:rPr>
        <w:t>5.1.1.2.2</w:t>
      </w:r>
      <w:r w:rsidRPr="006E3D56">
        <w:rPr>
          <w:lang w:val="fr-FR"/>
        </w:rPr>
        <w:tab/>
        <w:t>Protection supplémentaire</w:t>
      </w:r>
    </w:p>
    <w:p w:rsidR="00C85FF2" w:rsidRPr="006E3D56" w:rsidRDefault="00C85FF2" w:rsidP="00F36958">
      <w:pPr>
        <w:pStyle w:val="SingleTxtG"/>
        <w:ind w:left="2268"/>
        <w:rPr>
          <w:lang w:val="fr-FR"/>
        </w:rPr>
      </w:pPr>
      <w:r w:rsidRPr="006E3D56">
        <w:rPr>
          <w:bCs/>
          <w:lang w:val="fr-FR"/>
        </w:rPr>
        <w:t xml:space="preserve">Les câbles situés à l’arrière de la </w:t>
      </w:r>
      <w:r w:rsidRPr="00F36958">
        <w:rPr>
          <w:rFonts w:eastAsia="Times New Roman"/>
        </w:rPr>
        <w:t>cabine</w:t>
      </w:r>
      <w:r w:rsidRPr="006E3D56">
        <w:rPr>
          <w:bCs/>
          <w:lang w:val="fr-FR"/>
        </w:rPr>
        <w:t xml:space="preserve"> de conduite et sur les remorques doivent en outre être protégés de façon à réduire au minimum les risques d’inflammation ou de court-circuit accidentels en cas de choc ou de déformation</w:t>
      </w:r>
      <w:r w:rsidRPr="006E3D56">
        <w:rPr>
          <w:lang w:val="fr-FR"/>
        </w:rPr>
        <w:t>.</w:t>
      </w:r>
    </w:p>
    <w:p w:rsidR="00C85FF2" w:rsidRPr="006E3D56" w:rsidRDefault="00C85FF2" w:rsidP="00F36958">
      <w:pPr>
        <w:pStyle w:val="SingleTxtG"/>
        <w:ind w:left="2268"/>
        <w:rPr>
          <w:lang w:val="fr-FR"/>
        </w:rPr>
      </w:pPr>
      <w:r w:rsidRPr="006E3D56">
        <w:rPr>
          <w:bCs/>
          <w:lang w:val="fr-FR"/>
        </w:rPr>
        <w:t xml:space="preserve">Cette protection supplémentaire </w:t>
      </w:r>
      <w:r w:rsidRPr="00F36958">
        <w:rPr>
          <w:rFonts w:eastAsia="Times New Roman"/>
        </w:rPr>
        <w:t>doit</w:t>
      </w:r>
      <w:r w:rsidRPr="006E3D56">
        <w:rPr>
          <w:bCs/>
          <w:lang w:val="fr-FR"/>
        </w:rPr>
        <w:t xml:space="preserve"> être adaptée aux conditions normales d’utilisation du véhicule</w:t>
      </w:r>
      <w:r w:rsidRPr="006E3D56">
        <w:rPr>
          <w:lang w:val="fr-FR"/>
        </w:rPr>
        <w:t>.</w:t>
      </w:r>
    </w:p>
    <w:p w:rsidR="00C85FF2" w:rsidRPr="006E3D56" w:rsidRDefault="00C85FF2" w:rsidP="00F36958">
      <w:pPr>
        <w:pStyle w:val="SingleTxtG"/>
        <w:ind w:left="2268"/>
        <w:rPr>
          <w:lang w:val="fr-FR"/>
        </w:rPr>
      </w:pPr>
      <w:r w:rsidRPr="006E3D56">
        <w:rPr>
          <w:bCs/>
          <w:lang w:val="fr-FR"/>
        </w:rPr>
        <w:t xml:space="preserve">Elle est assurée lorsqu’on utilise des câbles multifilaires conformes à la norme ISO 14572:2011 ou correspondant à l’un des exemples donnés dans les </w:t>
      </w:r>
      <w:r w:rsidRPr="00F36958">
        <w:rPr>
          <w:rFonts w:eastAsia="Times New Roman"/>
        </w:rPr>
        <w:t>figures</w:t>
      </w:r>
      <w:r w:rsidRPr="006E3D56">
        <w:rPr>
          <w:bCs/>
          <w:lang w:val="fr-FR"/>
        </w:rPr>
        <w:t xml:space="preserve"> 1 à 4 ci-après, ou toute autre configuration offrant une protection comparable</w:t>
      </w:r>
      <w:r w:rsidRPr="006E3D56">
        <w:rPr>
          <w:lang w:val="fr-FR"/>
        </w:rPr>
        <w:t>.</w:t>
      </w:r>
    </w:p>
    <w:p w:rsidR="00B07808" w:rsidRDefault="00C85FF2" w:rsidP="00F36958">
      <w:pPr>
        <w:pStyle w:val="SingleTxtG"/>
        <w:ind w:left="2268"/>
        <w:rPr>
          <w:lang w:val="fr-FR"/>
        </w:rPr>
      </w:pPr>
      <w:r w:rsidRPr="006E3D56">
        <w:rPr>
          <w:bCs/>
          <w:lang w:val="fr-FR"/>
        </w:rPr>
        <w:t xml:space="preserve">Il n’est pas nécessaire de prévoir </w:t>
      </w:r>
      <w:r w:rsidRPr="00F36958">
        <w:rPr>
          <w:rFonts w:eastAsia="Times New Roman"/>
        </w:rPr>
        <w:t>une</w:t>
      </w:r>
      <w:r w:rsidRPr="006E3D56">
        <w:rPr>
          <w:bCs/>
          <w:lang w:val="fr-FR"/>
        </w:rPr>
        <w:t xml:space="preserve"> protection supplémentaire pour les câbles des capteurs de vitesse des roues</w:t>
      </w:r>
      <w:r w:rsidRPr="006E3D56">
        <w:rPr>
          <w:lang w:val="fr-FR"/>
        </w:rPr>
        <w:t>.</w:t>
      </w:r>
    </w:p>
    <w:p w:rsidR="006E3D56" w:rsidRDefault="006E3D56" w:rsidP="00F36958">
      <w:pPr>
        <w:pStyle w:val="SingleTxtG"/>
        <w:ind w:left="2268"/>
        <w:rPr>
          <w:bCs/>
          <w:lang w:val="fr-FR"/>
        </w:rPr>
      </w:pPr>
      <w:r w:rsidRPr="00D27F20">
        <w:rPr>
          <w:bCs/>
          <w:lang w:val="fr-FR"/>
        </w:rPr>
        <w:t>Les véhicules EX/II, qui sont des fourgons construits en une seule étape sur lesquels les canalisations à l’arrière de la cabine de conduite sont protégées par la carrosserie, sont réputés conformes à l’exigence de protection supplémentaire.</w:t>
      </w:r>
    </w:p>
    <w:p w:rsidR="006E3D56" w:rsidRDefault="002F00E6" w:rsidP="00F36958">
      <w:pPr>
        <w:jc w:val="center"/>
        <w:rPr>
          <w:bCs/>
          <w:lang w:val="fr-FR"/>
        </w:rPr>
      </w:pPr>
      <w:r>
        <w:rPr>
          <w:noProof/>
          <w:lang w:val="en-GB" w:eastAsia="en-GB"/>
        </w:rPr>
        <w:lastRenderedPageBreak/>
        <w:drawing>
          <wp:inline distT="0" distB="0" distL="0" distR="0" wp14:anchorId="1C76AFDE" wp14:editId="58168F5D">
            <wp:extent cx="3168000" cy="5428800"/>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8000" cy="5428800"/>
                    </a:xfrm>
                    <a:prstGeom prst="rect">
                      <a:avLst/>
                    </a:prstGeom>
                  </pic:spPr>
                </pic:pic>
              </a:graphicData>
            </a:graphic>
          </wp:inline>
        </w:drawing>
      </w:r>
    </w:p>
    <w:p w:rsidR="006E3D56" w:rsidRPr="00D27F20" w:rsidRDefault="006E3D56" w:rsidP="00F36958">
      <w:pPr>
        <w:pStyle w:val="SingleTxtG"/>
        <w:jc w:val="right"/>
        <w:rPr>
          <w:lang w:val="fr-FR"/>
        </w:rPr>
      </w:pPr>
      <w:r w:rsidRPr="00C040EF">
        <w:rPr>
          <w:rFonts w:eastAsia="Times New Roman"/>
        </w:rPr>
        <w:t>.</w:t>
      </w:r>
      <w:r w:rsidRPr="00D27F20">
        <w:rPr>
          <w:lang w:val="fr-FR"/>
        </w:rPr>
        <w:t> ».</w:t>
      </w:r>
    </w:p>
    <w:p w:rsidR="006E3D56" w:rsidRPr="00D27F20" w:rsidRDefault="006E3D56" w:rsidP="00F36958">
      <w:pPr>
        <w:pStyle w:val="SingleTxtG"/>
        <w:rPr>
          <w:lang w:val="fr-FR"/>
        </w:rPr>
      </w:pPr>
      <w:r w:rsidRPr="00D27F20">
        <w:rPr>
          <w:i/>
          <w:lang w:val="fr-FR"/>
        </w:rPr>
        <w:t xml:space="preserve">L’ancien paragraphe 5.1.1.2.1 </w:t>
      </w:r>
      <w:r w:rsidRPr="00D27F20">
        <w:rPr>
          <w:lang w:val="fr-FR"/>
        </w:rPr>
        <w:t>devient le paragraphe 5.1.1.3 et est modifié comme suit :</w:t>
      </w:r>
    </w:p>
    <w:p w:rsidR="006E3D56" w:rsidRPr="00D27F20" w:rsidRDefault="006E3D56" w:rsidP="00F36958">
      <w:pPr>
        <w:pStyle w:val="SingleTxtG"/>
        <w:ind w:left="2268" w:hanging="1134"/>
        <w:rPr>
          <w:lang w:val="fr-FR"/>
        </w:rPr>
      </w:pPr>
      <w:r w:rsidRPr="00D27F20">
        <w:rPr>
          <w:lang w:val="fr-FR"/>
        </w:rPr>
        <w:t>« 5.1.1.3</w:t>
      </w:r>
      <w:r w:rsidRPr="00D27F20">
        <w:rPr>
          <w:lang w:val="fr-FR"/>
        </w:rPr>
        <w:tab/>
        <w:t>Fusibles et disjoncteurs</w:t>
      </w:r>
    </w:p>
    <w:p w:rsidR="006E3D56" w:rsidRPr="00D27F20" w:rsidRDefault="006E3D56" w:rsidP="00F36958">
      <w:pPr>
        <w:pStyle w:val="SingleTxtG"/>
        <w:ind w:left="2268"/>
        <w:rPr>
          <w:lang w:val="fr-FR"/>
        </w:rPr>
      </w:pPr>
      <w:r w:rsidRPr="00D27F20">
        <w:rPr>
          <w:lang w:val="fr-FR"/>
        </w:rPr>
        <w:t xml:space="preserve">Tous les circuits </w:t>
      </w:r>
      <w:r w:rsidRPr="00F36958">
        <w:rPr>
          <w:rFonts w:eastAsia="Times New Roman"/>
        </w:rPr>
        <w:t>doivent</w:t>
      </w:r>
      <w:r w:rsidRPr="00D27F20">
        <w:rPr>
          <w:lang w:val="fr-FR"/>
        </w:rPr>
        <w:t xml:space="preserve"> être protégés par des fusibles ou des disjoncteurs automatiques, à l’exception des circuits suivants :</w:t>
      </w:r>
    </w:p>
    <w:p w:rsidR="006E3D56" w:rsidRPr="00D27F20" w:rsidRDefault="006E3D56" w:rsidP="00F36958">
      <w:pPr>
        <w:pStyle w:val="SingleTxtG"/>
        <w:ind w:left="2835" w:hanging="567"/>
        <w:rPr>
          <w:lang w:val="fr-FR"/>
        </w:rPr>
      </w:pPr>
      <w:r w:rsidRPr="00D27F20">
        <w:rPr>
          <w:lang w:val="fr-FR"/>
        </w:rPr>
        <w:t>a)</w:t>
      </w:r>
      <w:r w:rsidRPr="00D27F20">
        <w:rPr>
          <w:lang w:val="fr-FR"/>
        </w:rPr>
        <w:tab/>
        <w:t xml:space="preserve">De la batterie de démarrage au système de </w:t>
      </w:r>
      <w:r w:rsidRPr="00F36958">
        <w:rPr>
          <w:rFonts w:eastAsia="Times New Roman"/>
        </w:rPr>
        <w:t>démarrage</w:t>
      </w:r>
      <w:r w:rsidRPr="00D27F20">
        <w:rPr>
          <w:lang w:val="fr-FR"/>
        </w:rPr>
        <w:t xml:space="preserve"> à froid ;</w:t>
      </w:r>
    </w:p>
    <w:p w:rsidR="006E3D56" w:rsidRPr="00D27F20" w:rsidRDefault="006E3D56" w:rsidP="00F36958">
      <w:pPr>
        <w:pStyle w:val="SingleTxtG"/>
        <w:ind w:left="2835" w:hanging="567"/>
        <w:rPr>
          <w:lang w:val="fr-FR"/>
        </w:rPr>
      </w:pPr>
      <w:r w:rsidRPr="00D27F20">
        <w:rPr>
          <w:lang w:val="fr-FR"/>
        </w:rPr>
        <w:t>b)</w:t>
      </w:r>
      <w:r w:rsidRPr="00D27F20">
        <w:rPr>
          <w:lang w:val="fr-FR"/>
        </w:rPr>
        <w:tab/>
        <w:t xml:space="preserve">De la batterie de démarrage à </w:t>
      </w:r>
      <w:r w:rsidRPr="00F36958">
        <w:rPr>
          <w:rFonts w:eastAsia="Times New Roman"/>
        </w:rPr>
        <w:t>l’alternateur</w:t>
      </w:r>
      <w:r w:rsidRPr="00D27F20">
        <w:rPr>
          <w:lang w:val="fr-FR"/>
        </w:rPr>
        <w:t xml:space="preserve"> ; </w:t>
      </w:r>
    </w:p>
    <w:p w:rsidR="006E3D56" w:rsidRPr="00D27F20" w:rsidRDefault="006E3D56" w:rsidP="00F36958">
      <w:pPr>
        <w:pStyle w:val="SingleTxtG"/>
        <w:ind w:left="2835" w:hanging="567"/>
        <w:rPr>
          <w:lang w:val="fr-FR"/>
        </w:rPr>
      </w:pPr>
      <w:r w:rsidRPr="00D27F20">
        <w:rPr>
          <w:lang w:val="fr-FR"/>
        </w:rPr>
        <w:t>c)</w:t>
      </w:r>
      <w:r w:rsidRPr="00D27F20">
        <w:rPr>
          <w:lang w:val="fr-FR"/>
        </w:rPr>
        <w:tab/>
        <w:t xml:space="preserve">De l’alternateur à la boîte de fusibles </w:t>
      </w:r>
      <w:r w:rsidRPr="00F36958">
        <w:rPr>
          <w:rFonts w:eastAsia="Times New Roman"/>
        </w:rPr>
        <w:t>ou</w:t>
      </w:r>
      <w:r w:rsidRPr="00D27F20">
        <w:rPr>
          <w:lang w:val="fr-FR"/>
        </w:rPr>
        <w:t xml:space="preserve"> de disjoncteurs ; </w:t>
      </w:r>
    </w:p>
    <w:p w:rsidR="006E3D56" w:rsidRPr="00D27F20" w:rsidRDefault="006E3D56" w:rsidP="00F36958">
      <w:pPr>
        <w:pStyle w:val="SingleTxtG"/>
        <w:ind w:left="2835" w:hanging="567"/>
        <w:rPr>
          <w:lang w:val="fr-FR"/>
        </w:rPr>
      </w:pPr>
      <w:r w:rsidRPr="00D27F20">
        <w:rPr>
          <w:lang w:val="fr-FR"/>
        </w:rPr>
        <w:t>d)</w:t>
      </w:r>
      <w:r w:rsidRPr="00D27F20">
        <w:rPr>
          <w:lang w:val="fr-FR"/>
        </w:rPr>
        <w:tab/>
        <w:t xml:space="preserve">De la batterie de démarrage au </w:t>
      </w:r>
      <w:r w:rsidRPr="00F36958">
        <w:rPr>
          <w:rFonts w:eastAsia="Times New Roman"/>
        </w:rPr>
        <w:t>démarreur</w:t>
      </w:r>
      <w:r w:rsidRPr="00D27F20">
        <w:rPr>
          <w:lang w:val="fr-FR"/>
        </w:rPr>
        <w:t xml:space="preserve"> du moteur ;</w:t>
      </w:r>
    </w:p>
    <w:p w:rsidR="006E3D56" w:rsidRPr="00D27F20" w:rsidRDefault="006E3D56" w:rsidP="00F36958">
      <w:pPr>
        <w:pStyle w:val="SingleTxtG"/>
        <w:ind w:left="2835" w:hanging="567"/>
        <w:rPr>
          <w:lang w:val="fr-FR"/>
        </w:rPr>
      </w:pPr>
      <w:r w:rsidRPr="00D27F20">
        <w:rPr>
          <w:lang w:val="fr-FR"/>
        </w:rPr>
        <w:t>e)</w:t>
      </w:r>
      <w:r w:rsidRPr="00D27F20">
        <w:rPr>
          <w:lang w:val="fr-FR"/>
        </w:rPr>
        <w:tab/>
        <w:t xml:space="preserve">De la batterie de démarrage au boîtier </w:t>
      </w:r>
      <w:r w:rsidRPr="00F36958">
        <w:rPr>
          <w:rFonts w:eastAsia="Times New Roman"/>
        </w:rPr>
        <w:t>de</w:t>
      </w:r>
      <w:r w:rsidRPr="00D27F20">
        <w:rPr>
          <w:lang w:val="fr-FR"/>
        </w:rPr>
        <w:t xml:space="preserve"> commande de puissance du dispositif de freinage d’endurance (voir le paragraphe 5.1.2.1), si ce dispositif est électrique ou</w:t>
      </w:r>
      <w:r w:rsidR="00B20AB9">
        <w:rPr>
          <w:lang w:val="fr-FR"/>
        </w:rPr>
        <w:t xml:space="preserve"> </w:t>
      </w:r>
      <w:r w:rsidRPr="00D27F20">
        <w:rPr>
          <w:lang w:val="fr-FR"/>
        </w:rPr>
        <w:t xml:space="preserve">électromagnétique ; </w:t>
      </w:r>
    </w:p>
    <w:p w:rsidR="006E3D56" w:rsidRPr="00D27F20" w:rsidRDefault="006E3D56" w:rsidP="00F36958">
      <w:pPr>
        <w:pStyle w:val="SingleTxtG"/>
        <w:ind w:left="2835" w:hanging="567"/>
        <w:rPr>
          <w:lang w:val="fr-FR"/>
        </w:rPr>
      </w:pPr>
      <w:r w:rsidRPr="00D27F20">
        <w:rPr>
          <w:lang w:val="fr-FR"/>
        </w:rPr>
        <w:t>f)</w:t>
      </w:r>
      <w:r w:rsidRPr="00D27F20">
        <w:rPr>
          <w:lang w:val="fr-FR"/>
        </w:rPr>
        <w:tab/>
        <w:t xml:space="preserve">De la batterie </w:t>
      </w:r>
      <w:r w:rsidRPr="00D27F20">
        <w:rPr>
          <w:bCs/>
          <w:lang w:val="fr-FR"/>
        </w:rPr>
        <w:t>de démarrage</w:t>
      </w:r>
      <w:r w:rsidRPr="00D27F20">
        <w:rPr>
          <w:b/>
          <w:bCs/>
          <w:lang w:val="fr-FR"/>
        </w:rPr>
        <w:t xml:space="preserve"> </w:t>
      </w:r>
      <w:r w:rsidRPr="00D27F20">
        <w:rPr>
          <w:lang w:val="fr-FR"/>
        </w:rPr>
        <w:t xml:space="preserve">au mécanisme </w:t>
      </w:r>
      <w:r w:rsidRPr="00D27F20">
        <w:rPr>
          <w:bCs/>
          <w:lang w:val="fr-FR"/>
        </w:rPr>
        <w:t>de levage</w:t>
      </w:r>
      <w:r w:rsidRPr="00D27F20">
        <w:rPr>
          <w:b/>
          <w:bCs/>
          <w:lang w:val="fr-FR"/>
        </w:rPr>
        <w:t xml:space="preserve"> </w:t>
      </w:r>
      <w:r w:rsidRPr="00D27F20">
        <w:rPr>
          <w:lang w:val="fr-FR"/>
        </w:rPr>
        <w:t xml:space="preserve">électrique de l’essieu </w:t>
      </w:r>
      <w:r w:rsidRPr="00D27F20">
        <w:rPr>
          <w:bCs/>
          <w:lang w:val="fr-FR"/>
        </w:rPr>
        <w:t>de bogie</w:t>
      </w:r>
      <w:r w:rsidRPr="00D27F20">
        <w:rPr>
          <w:lang w:val="fr-FR"/>
        </w:rPr>
        <w:t>.</w:t>
      </w:r>
    </w:p>
    <w:p w:rsidR="006E3D56" w:rsidRPr="00D27F20" w:rsidRDefault="006E3D56" w:rsidP="001F28D5">
      <w:pPr>
        <w:pStyle w:val="SingleTxtG"/>
        <w:ind w:left="2268"/>
        <w:rPr>
          <w:lang w:val="fr-FR"/>
        </w:rPr>
      </w:pPr>
      <w:r w:rsidRPr="00D27F20">
        <w:rPr>
          <w:lang w:val="fr-FR"/>
        </w:rPr>
        <w:t>Les circuits non protégés ci-dessus doivent être les plus courts possible. ».</w:t>
      </w:r>
    </w:p>
    <w:p w:rsidR="006E3D56" w:rsidRPr="00D27F20" w:rsidRDefault="006E3D56" w:rsidP="00F36958">
      <w:pPr>
        <w:pStyle w:val="SingleTxtG"/>
        <w:rPr>
          <w:lang w:val="fr-FR"/>
        </w:rPr>
      </w:pPr>
      <w:r w:rsidRPr="00D27F20">
        <w:rPr>
          <w:i/>
          <w:iCs/>
          <w:lang w:val="fr-FR"/>
        </w:rPr>
        <w:t>Paragraphe 5.1.1.2.2</w:t>
      </w:r>
      <w:r w:rsidR="00C040EF" w:rsidRPr="00C040EF">
        <w:rPr>
          <w:iCs/>
          <w:lang w:val="fr-FR"/>
        </w:rPr>
        <w:t>,</w:t>
      </w:r>
      <w:r w:rsidRPr="00D27F20">
        <w:rPr>
          <w:i/>
          <w:iCs/>
          <w:lang w:val="fr-FR"/>
        </w:rPr>
        <w:t xml:space="preserve"> </w:t>
      </w:r>
      <w:r w:rsidRPr="00F36958">
        <w:rPr>
          <w:rFonts w:eastAsia="Times New Roman"/>
        </w:rPr>
        <w:t>supprimer</w:t>
      </w:r>
      <w:r w:rsidRPr="00D27F20">
        <w:rPr>
          <w:lang w:val="fr-FR"/>
        </w:rPr>
        <w:t xml:space="preserve">. </w:t>
      </w:r>
    </w:p>
    <w:p w:rsidR="006E3D56" w:rsidRPr="00D27F20" w:rsidRDefault="006E3D56" w:rsidP="00F36958">
      <w:pPr>
        <w:pStyle w:val="SingleTxtG"/>
        <w:rPr>
          <w:lang w:val="fr-FR"/>
        </w:rPr>
      </w:pPr>
      <w:r w:rsidRPr="00D27F20">
        <w:rPr>
          <w:i/>
          <w:lang w:val="fr-FR"/>
        </w:rPr>
        <w:lastRenderedPageBreak/>
        <w:t xml:space="preserve">Les anciens paragraphes 5.1.1.3 à 5.1.1.3.2 </w:t>
      </w:r>
      <w:r w:rsidRPr="00D27F20">
        <w:rPr>
          <w:lang w:val="fr-FR"/>
        </w:rPr>
        <w:t xml:space="preserve">deviennent </w:t>
      </w:r>
      <w:r w:rsidRPr="00F36958">
        <w:rPr>
          <w:rFonts w:eastAsia="Times New Roman"/>
        </w:rPr>
        <w:t>les</w:t>
      </w:r>
      <w:r w:rsidRPr="00D27F20">
        <w:rPr>
          <w:lang w:val="fr-FR"/>
        </w:rPr>
        <w:t xml:space="preserve"> paragraphes 5.1.1.8 à 5.1.1.8.2 et sont modifiés comme suit :</w:t>
      </w:r>
    </w:p>
    <w:p w:rsidR="006E3D56" w:rsidRPr="00D27F20" w:rsidRDefault="006E3D56" w:rsidP="00F36958">
      <w:pPr>
        <w:pStyle w:val="SingleTxtG"/>
        <w:ind w:left="2268" w:hanging="1134"/>
        <w:rPr>
          <w:lang w:val="fr-FR"/>
        </w:rPr>
      </w:pPr>
      <w:r w:rsidRPr="00D27F20">
        <w:rPr>
          <w:lang w:val="fr-FR"/>
        </w:rPr>
        <w:t>« 5.1.1.8</w:t>
      </w:r>
      <w:r w:rsidRPr="00D27F20">
        <w:rPr>
          <w:lang w:val="fr-FR"/>
        </w:rPr>
        <w:tab/>
        <w:t>Coupe-circuit de batterie</w:t>
      </w:r>
    </w:p>
    <w:p w:rsidR="006E3D56" w:rsidRPr="00D27F20" w:rsidRDefault="006E3D56" w:rsidP="00F36958">
      <w:pPr>
        <w:pStyle w:val="SingleTxtG"/>
        <w:ind w:left="2268" w:hanging="1134"/>
        <w:rPr>
          <w:lang w:val="fr-FR"/>
        </w:rPr>
      </w:pPr>
      <w:r w:rsidRPr="00D27F20">
        <w:rPr>
          <w:lang w:val="fr-FR"/>
        </w:rPr>
        <w:t>5.1.1.8.1</w:t>
      </w:r>
      <w:r w:rsidRPr="00D27F20">
        <w:rPr>
          <w:lang w:val="fr-FR"/>
        </w:rPr>
        <w:tab/>
        <w:t xml:space="preserve">Un </w:t>
      </w:r>
      <w:r w:rsidRPr="00F36958">
        <w:rPr>
          <w:rFonts w:eastAsia="Times New Roman"/>
        </w:rPr>
        <w:t>interrupteur</w:t>
      </w:r>
      <w:r w:rsidRPr="00D27F20">
        <w:rPr>
          <w:lang w:val="fr-FR"/>
        </w:rPr>
        <w:t xml:space="preserve"> servant à couper les circuits électriques doit être monté aussi près de la batterie que possible. Lorsqu’un interrupteur </w:t>
      </w:r>
      <w:proofErr w:type="spellStart"/>
      <w:r w:rsidRPr="00D27F20">
        <w:rPr>
          <w:lang w:val="fr-FR"/>
        </w:rPr>
        <w:t>monopolaire</w:t>
      </w:r>
      <w:proofErr w:type="spellEnd"/>
      <w:r w:rsidRPr="00D27F20">
        <w:rPr>
          <w:lang w:val="fr-FR"/>
        </w:rPr>
        <w:t xml:space="preserve"> est employé, il doit être placé sur le fil d’alimentation, et non sur le fil de terre.</w:t>
      </w:r>
    </w:p>
    <w:p w:rsidR="006E3D56" w:rsidRPr="001A73CC" w:rsidRDefault="006E3D56" w:rsidP="00F36958">
      <w:pPr>
        <w:pStyle w:val="SingleTxtG"/>
        <w:ind w:left="2268" w:hanging="1134"/>
        <w:rPr>
          <w:spacing w:val="-1"/>
          <w:lang w:val="fr-FR"/>
        </w:rPr>
      </w:pPr>
      <w:r w:rsidRPr="001A73CC">
        <w:rPr>
          <w:spacing w:val="-1"/>
          <w:lang w:val="fr-FR"/>
        </w:rPr>
        <w:t>5.1.1.8.2</w:t>
      </w:r>
      <w:r w:rsidRPr="001A73CC">
        <w:rPr>
          <w:spacing w:val="-1"/>
          <w:lang w:val="fr-FR"/>
        </w:rPr>
        <w:tab/>
        <w:t xml:space="preserve">Un dispositif de commande pour l’ouverture et la fermeture de l’interrupteur doit être installé dans la cabine de conduite. Il doit être facilement accessible au conducteur et signalé distinctement. Il doit être équipé soit d’un couvercle de protection, soit d’une commande à mouvement complexe, soit de tout autre dispositif évitant son </w:t>
      </w:r>
      <w:r w:rsidRPr="001A73CC">
        <w:rPr>
          <w:bCs/>
          <w:spacing w:val="-1"/>
          <w:lang w:val="fr-FR"/>
        </w:rPr>
        <w:t xml:space="preserve">déclenchement </w:t>
      </w:r>
      <w:r w:rsidRPr="001A73CC">
        <w:rPr>
          <w:spacing w:val="-1"/>
          <w:lang w:val="fr-FR"/>
        </w:rPr>
        <w:t xml:space="preserve">involontaire. Des dispositifs de commande supplémentaires peuvent être installés, à condition d’être identifiés par un marquage distinctif et protégés contre une manœuvre intempestive. Si le ou les dispositifs de commande sont actionnés électriquement, leurs circuits sont soumis aux prescriptions du paragraphe </w:t>
      </w:r>
      <w:r w:rsidRPr="001A73CC">
        <w:rPr>
          <w:bCs/>
          <w:spacing w:val="-1"/>
          <w:lang w:val="fr-FR"/>
        </w:rPr>
        <w:t>5.1.1.9. </w:t>
      </w:r>
      <w:r w:rsidRPr="001A73CC">
        <w:rPr>
          <w:spacing w:val="-1"/>
          <w:lang w:val="fr-FR"/>
        </w:rPr>
        <w:t xml:space="preserve">». </w:t>
      </w:r>
    </w:p>
    <w:p w:rsidR="006E3D56" w:rsidRPr="00D27F20" w:rsidRDefault="006E3D56" w:rsidP="00F36958">
      <w:pPr>
        <w:pStyle w:val="SingleTxtG"/>
        <w:rPr>
          <w:lang w:val="fr-FR"/>
        </w:rPr>
      </w:pPr>
      <w:r w:rsidRPr="00D27F20">
        <w:rPr>
          <w:i/>
          <w:lang w:val="fr-FR"/>
        </w:rPr>
        <w:t>Ajouter un nouveau paragraphe 5.1.1.8.3</w:t>
      </w:r>
      <w:r w:rsidR="00C040EF" w:rsidRPr="00C040EF">
        <w:rPr>
          <w:lang w:val="fr-FR"/>
        </w:rPr>
        <w:t>,</w:t>
      </w:r>
      <w:r w:rsidRPr="00D27F20">
        <w:rPr>
          <w:lang w:val="fr-FR"/>
        </w:rPr>
        <w:t xml:space="preserve"> libellé </w:t>
      </w:r>
      <w:r w:rsidRPr="00F36958">
        <w:rPr>
          <w:rFonts w:eastAsia="Times New Roman"/>
        </w:rPr>
        <w:t>comme</w:t>
      </w:r>
      <w:r w:rsidRPr="00D27F20">
        <w:rPr>
          <w:lang w:val="fr-FR"/>
        </w:rPr>
        <w:t xml:space="preserve"> suit :</w:t>
      </w:r>
    </w:p>
    <w:p w:rsidR="006E3D56" w:rsidRPr="00D27F20" w:rsidRDefault="006E3D56" w:rsidP="00F36958">
      <w:pPr>
        <w:pStyle w:val="SingleTxtG"/>
        <w:ind w:left="2268" w:hanging="1134"/>
        <w:rPr>
          <w:lang w:val="fr-FR"/>
        </w:rPr>
      </w:pPr>
      <w:r w:rsidRPr="00D27F20">
        <w:rPr>
          <w:lang w:val="fr-FR"/>
        </w:rPr>
        <w:t>« 5.1.1.8.3</w:t>
      </w:r>
      <w:r w:rsidRPr="00D27F20">
        <w:rPr>
          <w:lang w:val="fr-FR"/>
        </w:rPr>
        <w:tab/>
      </w:r>
      <w:r w:rsidRPr="00F36958">
        <w:rPr>
          <w:rFonts w:eastAsia="Times New Roman"/>
        </w:rPr>
        <w:t>L’interrupteur</w:t>
      </w:r>
      <w:r w:rsidRPr="00D27F20">
        <w:rPr>
          <w:bCs/>
          <w:lang w:val="fr-FR"/>
        </w:rPr>
        <w:t xml:space="preserve"> doit couper les circuits dans les 10 secondes qui suivent l’actionnement du dispositif de commande. </w:t>
      </w:r>
      <w:r w:rsidRPr="00D27F20">
        <w:rPr>
          <w:lang w:val="fr-FR"/>
        </w:rPr>
        <w:t xml:space="preserve">». </w:t>
      </w:r>
    </w:p>
    <w:p w:rsidR="006E3D56" w:rsidRPr="00D27F20" w:rsidRDefault="006E3D56" w:rsidP="00F36958">
      <w:pPr>
        <w:pStyle w:val="SingleTxtG"/>
        <w:rPr>
          <w:lang w:val="fr-FR"/>
        </w:rPr>
      </w:pPr>
      <w:r w:rsidRPr="00D27F20">
        <w:rPr>
          <w:i/>
          <w:lang w:val="fr-FR"/>
        </w:rPr>
        <w:t xml:space="preserve">Les paragraphes 5.1.1.3.3 et 5.1.1.3.4 </w:t>
      </w:r>
      <w:r w:rsidRPr="00D27F20">
        <w:rPr>
          <w:lang w:val="fr-FR"/>
        </w:rPr>
        <w:t xml:space="preserve">deviennent les paragraphes 5.1.1.8.4 et 5.1.1.8.5 et sont modifiés comme suit : </w:t>
      </w:r>
    </w:p>
    <w:p w:rsidR="006E3D56" w:rsidRPr="00D27F20" w:rsidRDefault="006E3D56" w:rsidP="00F36958">
      <w:pPr>
        <w:pStyle w:val="SingleTxtG"/>
        <w:ind w:left="2268" w:hanging="1134"/>
        <w:rPr>
          <w:lang w:val="fr-FR"/>
        </w:rPr>
      </w:pPr>
      <w:r w:rsidRPr="00D27F20">
        <w:rPr>
          <w:lang w:val="fr-FR"/>
        </w:rPr>
        <w:t>« 5.1.1.8.4</w:t>
      </w:r>
      <w:r w:rsidRPr="00D27F20">
        <w:rPr>
          <w:lang w:val="fr-FR"/>
        </w:rPr>
        <w:tab/>
      </w:r>
      <w:r w:rsidRPr="00F36958">
        <w:rPr>
          <w:rFonts w:eastAsia="Times New Roman"/>
        </w:rPr>
        <w:t>L’interrupteur</w:t>
      </w:r>
      <w:r w:rsidRPr="00D27F20">
        <w:rPr>
          <w:lang w:val="fr-FR"/>
        </w:rPr>
        <w:t xml:space="preserve"> doit être placé dans un boîtier ayant</w:t>
      </w:r>
      <w:r w:rsidR="00B20AB9">
        <w:rPr>
          <w:lang w:val="fr-FR"/>
        </w:rPr>
        <w:t xml:space="preserve"> </w:t>
      </w:r>
      <w:r w:rsidRPr="00D27F20">
        <w:rPr>
          <w:lang w:val="fr-FR"/>
        </w:rPr>
        <w:t>le degré de protection IP 65, conform</w:t>
      </w:r>
      <w:r w:rsidRPr="00D27F20">
        <w:rPr>
          <w:bCs/>
          <w:lang w:val="fr-FR"/>
        </w:rPr>
        <w:t>ém</w:t>
      </w:r>
      <w:r w:rsidRPr="00D27F20">
        <w:rPr>
          <w:lang w:val="fr-FR"/>
        </w:rPr>
        <w:t>e</w:t>
      </w:r>
      <w:r w:rsidRPr="00D27F20">
        <w:rPr>
          <w:bCs/>
          <w:lang w:val="fr-FR"/>
        </w:rPr>
        <w:t xml:space="preserve">nt </w:t>
      </w:r>
      <w:r w:rsidRPr="00D27F20">
        <w:rPr>
          <w:lang w:val="fr-FR"/>
        </w:rPr>
        <w:t xml:space="preserve">à la norme CEI </w:t>
      </w:r>
      <w:r w:rsidRPr="00D27F20">
        <w:rPr>
          <w:bCs/>
          <w:lang w:val="fr-FR"/>
        </w:rPr>
        <w:t>60</w:t>
      </w:r>
      <w:r w:rsidRPr="00D27F20">
        <w:rPr>
          <w:lang w:val="fr-FR"/>
        </w:rPr>
        <w:t>529.</w:t>
      </w:r>
    </w:p>
    <w:p w:rsidR="006E3D56" w:rsidRPr="00D27F20" w:rsidRDefault="006E3D56" w:rsidP="00F36958">
      <w:pPr>
        <w:pStyle w:val="SingleTxtG"/>
        <w:ind w:left="2268" w:hanging="1134"/>
        <w:rPr>
          <w:lang w:val="fr-FR"/>
        </w:rPr>
      </w:pPr>
      <w:r w:rsidRPr="00D27F20">
        <w:rPr>
          <w:lang w:val="fr-FR"/>
        </w:rPr>
        <w:t>5.1.1.8.5</w:t>
      </w:r>
      <w:r w:rsidRPr="00D27F20">
        <w:rPr>
          <w:lang w:val="fr-FR"/>
        </w:rPr>
        <w:tab/>
        <w:t xml:space="preserve">Les </w:t>
      </w:r>
      <w:r w:rsidRPr="00F36958">
        <w:rPr>
          <w:rFonts w:eastAsia="Times New Roman"/>
        </w:rPr>
        <w:t>connexions</w:t>
      </w:r>
      <w:r w:rsidRPr="00D27F20">
        <w:rPr>
          <w:lang w:val="fr-FR"/>
        </w:rPr>
        <w:t xml:space="preserve"> électriques sur l’interrupteur doivent avoir le degré de protection IP 54, </w:t>
      </w:r>
      <w:r w:rsidRPr="00D27F20">
        <w:rPr>
          <w:bCs/>
          <w:lang w:val="fr-FR"/>
        </w:rPr>
        <w:t>conformément à la norme CEI 60529</w:t>
      </w:r>
      <w:r w:rsidRPr="00D27F20">
        <w:rPr>
          <w:lang w:val="fr-FR"/>
        </w:rPr>
        <w:t xml:space="preserve">. </w:t>
      </w:r>
      <w:r w:rsidRPr="00D27F20">
        <w:rPr>
          <w:bCs/>
          <w:lang w:val="fr-FR"/>
        </w:rPr>
        <w:t xml:space="preserve">Ce </w:t>
      </w:r>
      <w:r w:rsidRPr="00D27F20">
        <w:rPr>
          <w:lang w:val="fr-FR"/>
        </w:rPr>
        <w:t xml:space="preserve">n’est </w:t>
      </w:r>
      <w:r w:rsidRPr="00D27F20">
        <w:rPr>
          <w:bCs/>
          <w:lang w:val="fr-FR"/>
        </w:rPr>
        <w:t xml:space="preserve">toutefois </w:t>
      </w:r>
      <w:r w:rsidRPr="00D27F20">
        <w:rPr>
          <w:lang w:val="fr-FR"/>
        </w:rPr>
        <w:t xml:space="preserve">pas exigé si les connexions sont à l’intérieur d’un coffre, qui peut être celui de la batterie. </w:t>
      </w:r>
      <w:r w:rsidRPr="00D27F20">
        <w:rPr>
          <w:bCs/>
          <w:lang w:val="fr-FR"/>
        </w:rPr>
        <w:t>I</w:t>
      </w:r>
      <w:r w:rsidRPr="00D27F20">
        <w:rPr>
          <w:lang w:val="fr-FR"/>
        </w:rPr>
        <w:t xml:space="preserve">l suffit alors de protéger ces connexions contre les </w:t>
      </w:r>
      <w:proofErr w:type="spellStart"/>
      <w:r w:rsidRPr="00D27F20">
        <w:rPr>
          <w:lang w:val="fr-FR"/>
        </w:rPr>
        <w:t>courts</w:t>
      </w:r>
      <w:r w:rsidRPr="00D27F20">
        <w:rPr>
          <w:b/>
          <w:bCs/>
          <w:lang w:val="fr-FR"/>
        </w:rPr>
        <w:t>-</w:t>
      </w:r>
      <w:r w:rsidRPr="00D27F20">
        <w:rPr>
          <w:lang w:val="fr-FR"/>
        </w:rPr>
        <w:t>circuits</w:t>
      </w:r>
      <w:proofErr w:type="spellEnd"/>
      <w:r w:rsidRPr="00D27F20">
        <w:rPr>
          <w:lang w:val="fr-FR"/>
        </w:rPr>
        <w:t xml:space="preserve"> au moyen, par exemple, d’un couvercle en caoutchouc. ».</w:t>
      </w:r>
    </w:p>
    <w:p w:rsidR="006E3D56" w:rsidRPr="00D27F20" w:rsidRDefault="006E3D56" w:rsidP="00F36958">
      <w:pPr>
        <w:pStyle w:val="SingleTxtG"/>
        <w:rPr>
          <w:lang w:val="fr-FR"/>
        </w:rPr>
      </w:pPr>
      <w:r w:rsidRPr="00D27F20">
        <w:rPr>
          <w:i/>
          <w:lang w:val="fr-FR"/>
        </w:rPr>
        <w:t>Paragraphe 5.1.1.4</w:t>
      </w:r>
      <w:r w:rsidR="00C040EF" w:rsidRPr="00C040EF">
        <w:rPr>
          <w:lang w:val="fr-FR"/>
        </w:rPr>
        <w:t>,</w:t>
      </w:r>
      <w:r w:rsidRPr="00D27F20">
        <w:rPr>
          <w:lang w:val="fr-FR"/>
        </w:rPr>
        <w:t xml:space="preserve"> modifier comme suit :</w:t>
      </w:r>
    </w:p>
    <w:p w:rsidR="006E3D56" w:rsidRPr="00D27F20" w:rsidRDefault="006E3D56" w:rsidP="00F36958">
      <w:pPr>
        <w:pStyle w:val="SingleTxtG"/>
        <w:ind w:left="2268" w:hanging="1134"/>
        <w:rPr>
          <w:lang w:val="fr-FR"/>
        </w:rPr>
      </w:pPr>
      <w:r w:rsidRPr="00D27F20">
        <w:rPr>
          <w:lang w:val="fr-FR"/>
        </w:rPr>
        <w:t>« 5.1.1.4</w:t>
      </w:r>
      <w:r w:rsidRPr="00D27F20">
        <w:rPr>
          <w:lang w:val="fr-FR"/>
        </w:rPr>
        <w:tab/>
      </w:r>
      <w:r w:rsidRPr="00F36958">
        <w:rPr>
          <w:rFonts w:eastAsia="Times New Roman"/>
        </w:rPr>
        <w:t>Batteries</w:t>
      </w:r>
    </w:p>
    <w:p w:rsidR="006E3D56" w:rsidRPr="00D27F20" w:rsidRDefault="006E3D56" w:rsidP="00F36958">
      <w:pPr>
        <w:pStyle w:val="SingleTxtG"/>
        <w:ind w:left="2268"/>
        <w:rPr>
          <w:lang w:val="fr-FR"/>
        </w:rPr>
      </w:pPr>
      <w:r w:rsidRPr="00D27F20">
        <w:rPr>
          <w:lang w:val="fr-FR"/>
        </w:rPr>
        <w:tab/>
        <w:t xml:space="preserve">Les bornes des batteries doivent être isolées électriquement ou </w:t>
      </w:r>
      <w:r w:rsidRPr="00D27F20">
        <w:rPr>
          <w:bCs/>
          <w:lang w:val="fr-FR"/>
        </w:rPr>
        <w:t xml:space="preserve">la batterie doit être </w:t>
      </w:r>
      <w:r w:rsidRPr="00D27F20">
        <w:rPr>
          <w:lang w:val="fr-FR"/>
        </w:rPr>
        <w:t xml:space="preserve">couverte par </w:t>
      </w:r>
      <w:r w:rsidRPr="00D27F20">
        <w:rPr>
          <w:bCs/>
          <w:lang w:val="fr-FR"/>
        </w:rPr>
        <w:t xml:space="preserve">un </w:t>
      </w:r>
      <w:r w:rsidRPr="00D27F20">
        <w:rPr>
          <w:lang w:val="fr-FR"/>
        </w:rPr>
        <w:t xml:space="preserve">couvercle isolant. </w:t>
      </w:r>
      <w:r w:rsidRPr="00D27F20">
        <w:rPr>
          <w:bCs/>
          <w:lang w:val="fr-FR"/>
        </w:rPr>
        <w:t>L</w:t>
      </w:r>
      <w:r w:rsidRPr="00D27F20">
        <w:rPr>
          <w:lang w:val="fr-FR"/>
        </w:rPr>
        <w:t xml:space="preserve">es batteries </w:t>
      </w:r>
      <w:r w:rsidRPr="00D27F20">
        <w:rPr>
          <w:bCs/>
          <w:lang w:val="fr-FR"/>
        </w:rPr>
        <w:t xml:space="preserve">qui peuvent dégager des gaz </w:t>
      </w:r>
      <w:r w:rsidRPr="00F36958">
        <w:rPr>
          <w:rFonts w:eastAsia="Times New Roman"/>
          <w:bCs/>
        </w:rPr>
        <w:t>inflammables</w:t>
      </w:r>
      <w:r w:rsidRPr="00D27F20">
        <w:rPr>
          <w:bCs/>
          <w:lang w:val="fr-FR"/>
        </w:rPr>
        <w:t xml:space="preserve"> et qui ne se trouvent pas </w:t>
      </w:r>
      <w:r w:rsidRPr="00D27F20">
        <w:rPr>
          <w:lang w:val="fr-FR"/>
        </w:rPr>
        <w:t xml:space="preserve">sous le capot moteur doivent être </w:t>
      </w:r>
      <w:r w:rsidRPr="00D27F20">
        <w:rPr>
          <w:bCs/>
          <w:lang w:val="fr-FR"/>
        </w:rPr>
        <w:t xml:space="preserve">installées </w:t>
      </w:r>
      <w:r w:rsidRPr="00D27F20">
        <w:rPr>
          <w:lang w:val="fr-FR"/>
        </w:rPr>
        <w:t>dans un coffre ventilé. ».</w:t>
      </w:r>
    </w:p>
    <w:p w:rsidR="006E3D56" w:rsidRPr="00D27F20" w:rsidRDefault="006E3D56" w:rsidP="00F36958">
      <w:pPr>
        <w:pStyle w:val="SingleTxtG"/>
        <w:rPr>
          <w:lang w:val="fr-FR"/>
        </w:rPr>
      </w:pPr>
      <w:r w:rsidRPr="00D27F20">
        <w:rPr>
          <w:i/>
          <w:iCs/>
          <w:lang w:val="fr-FR"/>
        </w:rPr>
        <w:t xml:space="preserve">Les anciens paragraphes 5.1.1.5 à 5.1.1.5.2 </w:t>
      </w:r>
      <w:r w:rsidRPr="00D27F20">
        <w:rPr>
          <w:lang w:val="fr-FR"/>
        </w:rPr>
        <w:t xml:space="preserve">deviennent les paragraphes 5.1.1.9 à 5.1.1.9.2 et sont modifiés comme suit : </w:t>
      </w:r>
    </w:p>
    <w:p w:rsidR="006E3D56" w:rsidRPr="00D27F20" w:rsidRDefault="006E3D56" w:rsidP="00F36958">
      <w:pPr>
        <w:pStyle w:val="SingleTxtG"/>
        <w:ind w:left="2268" w:hanging="1134"/>
        <w:rPr>
          <w:lang w:val="fr-FR"/>
        </w:rPr>
      </w:pPr>
      <w:r w:rsidRPr="00D27F20">
        <w:rPr>
          <w:lang w:val="fr-FR"/>
        </w:rPr>
        <w:t>« 5.1.1.9</w:t>
      </w:r>
      <w:r w:rsidRPr="00D27F20">
        <w:rPr>
          <w:lang w:val="fr-FR"/>
        </w:rPr>
        <w:tab/>
      </w:r>
      <w:r w:rsidRPr="00F36958">
        <w:rPr>
          <w:rFonts w:eastAsia="Times New Roman"/>
        </w:rPr>
        <w:t>Circuits</w:t>
      </w:r>
      <w:r w:rsidRPr="00D27F20">
        <w:rPr>
          <w:lang w:val="fr-FR"/>
        </w:rPr>
        <w:t xml:space="preserve"> alimentés en permanence </w:t>
      </w:r>
    </w:p>
    <w:p w:rsidR="006E3D56" w:rsidRPr="00D27F20" w:rsidRDefault="006E3D56" w:rsidP="00F36958">
      <w:pPr>
        <w:pStyle w:val="SingleTxtG"/>
        <w:tabs>
          <w:tab w:val="left" w:pos="2268"/>
        </w:tabs>
        <w:ind w:left="2835" w:hanging="1701"/>
        <w:rPr>
          <w:lang w:val="fr-FR"/>
        </w:rPr>
      </w:pPr>
      <w:r w:rsidRPr="00D27F20">
        <w:rPr>
          <w:lang w:val="fr-FR"/>
        </w:rPr>
        <w:t>5.1.1.9.1</w:t>
      </w:r>
      <w:r w:rsidRPr="00D27F20">
        <w:rPr>
          <w:lang w:val="fr-FR"/>
        </w:rPr>
        <w:tab/>
        <w:t>a)</w:t>
      </w:r>
      <w:r w:rsidRPr="00D27F20">
        <w:rPr>
          <w:lang w:val="fr-FR"/>
        </w:rPr>
        <w:tab/>
        <w:t xml:space="preserve">Les </w:t>
      </w:r>
      <w:r w:rsidRPr="00F36958">
        <w:rPr>
          <w:rFonts w:eastAsia="Times New Roman"/>
        </w:rPr>
        <w:t>parties</w:t>
      </w:r>
      <w:r w:rsidRPr="00D27F20">
        <w:rPr>
          <w:lang w:val="fr-FR"/>
        </w:rPr>
        <w:t xml:space="preserve"> de l’installation électrique, y compris les fils, qui doivent rester sous </w:t>
      </w:r>
      <w:r w:rsidRPr="00F36958">
        <w:rPr>
          <w:rFonts w:eastAsia="Times New Roman"/>
        </w:rPr>
        <w:t>tension</w:t>
      </w:r>
      <w:r w:rsidRPr="00D27F20">
        <w:rPr>
          <w:lang w:val="fr-FR"/>
        </w:rPr>
        <w:t xml:space="preserve"> lorsque le coupe-circuit de batterie est ouvert, doivent </w:t>
      </w:r>
      <w:r w:rsidRPr="00D27F20">
        <w:rPr>
          <w:bCs/>
          <w:lang w:val="fr-FR"/>
        </w:rPr>
        <w:t xml:space="preserve">convenir à une </w:t>
      </w:r>
      <w:r w:rsidRPr="00D27F20">
        <w:rPr>
          <w:lang w:val="fr-FR"/>
        </w:rPr>
        <w:t xml:space="preserve">utilisation en zone dangereuse. Cet équipement doit satisfaire aux dispositions </w:t>
      </w:r>
      <w:r w:rsidRPr="00D27F20">
        <w:rPr>
          <w:bCs/>
          <w:lang w:val="fr-FR"/>
        </w:rPr>
        <w:t xml:space="preserve">générales </w:t>
      </w:r>
      <w:r w:rsidRPr="00D27F20">
        <w:rPr>
          <w:lang w:val="fr-FR"/>
        </w:rPr>
        <w:t>de la norme CEI 60079</w:t>
      </w:r>
      <w:r w:rsidRPr="00D27F20">
        <w:rPr>
          <w:vertAlign w:val="superscript"/>
          <w:lang w:val="fr-FR"/>
        </w:rPr>
        <w:t>4</w:t>
      </w:r>
      <w:r w:rsidRPr="00D27F20">
        <w:rPr>
          <w:lang w:val="fr-FR"/>
        </w:rPr>
        <w:t xml:space="preserve">, parties 0 et 14, et aux dispositions supplémentaires applicables de </w:t>
      </w:r>
      <w:r w:rsidRPr="00D27F20">
        <w:rPr>
          <w:bCs/>
          <w:lang w:val="fr-FR"/>
        </w:rPr>
        <w:t xml:space="preserve">cette même </w:t>
      </w:r>
      <w:r w:rsidRPr="00D27F20">
        <w:rPr>
          <w:lang w:val="fr-FR"/>
        </w:rPr>
        <w:t xml:space="preserve">norme, parties 1, 2, 5, 6, 7, 11, 15 ou 18. </w:t>
      </w:r>
    </w:p>
    <w:p w:rsidR="006E3D56" w:rsidRPr="00D27F20" w:rsidRDefault="006E3D56" w:rsidP="00F36958">
      <w:pPr>
        <w:pStyle w:val="SingleTxtG"/>
        <w:tabs>
          <w:tab w:val="left" w:pos="2268"/>
        </w:tabs>
        <w:ind w:left="2835" w:hanging="567"/>
        <w:rPr>
          <w:lang w:val="fr-FR"/>
        </w:rPr>
      </w:pPr>
      <w:r w:rsidRPr="00D27F20">
        <w:rPr>
          <w:lang w:val="fr-FR"/>
        </w:rPr>
        <w:t>b)</w:t>
      </w:r>
      <w:r w:rsidRPr="00D27F20">
        <w:rPr>
          <w:lang w:val="fr-FR"/>
        </w:rPr>
        <w:tab/>
        <w:t xml:space="preserve">Pour l’application de la norme CEI 60079, partie 14, la classification suivante doit être suivie : </w:t>
      </w:r>
    </w:p>
    <w:p w:rsidR="006E3D56" w:rsidRPr="00D27F20" w:rsidRDefault="006E3D56" w:rsidP="001F28D5">
      <w:pPr>
        <w:pStyle w:val="SingleTxtG"/>
        <w:ind w:left="2835"/>
        <w:rPr>
          <w:lang w:val="fr-FR"/>
        </w:rPr>
      </w:pPr>
      <w:r w:rsidRPr="00D27F20">
        <w:rPr>
          <w:lang w:val="fr-FR"/>
        </w:rPr>
        <w:t xml:space="preserve">L’équipement électrique sous tension en permanence, y compris les fils, qui </w:t>
      </w:r>
      <w:r w:rsidRPr="00D27F20">
        <w:rPr>
          <w:bCs/>
          <w:lang w:val="fr-FR"/>
        </w:rPr>
        <w:t xml:space="preserve">n’est </w:t>
      </w:r>
      <w:r w:rsidRPr="00D27F20">
        <w:rPr>
          <w:lang w:val="fr-FR"/>
        </w:rPr>
        <w:t xml:space="preserve">pas soumis aux prescriptions des paragraphes 5.1.1.4 </w:t>
      </w:r>
      <w:r w:rsidRPr="00D27F20">
        <w:rPr>
          <w:bCs/>
          <w:lang w:val="fr-FR"/>
        </w:rPr>
        <w:t>et 5.1.1.8,</w:t>
      </w:r>
      <w:r w:rsidRPr="00D27F20">
        <w:rPr>
          <w:b/>
          <w:bCs/>
          <w:lang w:val="fr-FR"/>
        </w:rPr>
        <w:t xml:space="preserve"> </w:t>
      </w:r>
      <w:r w:rsidRPr="00D27F20">
        <w:rPr>
          <w:lang w:val="fr-FR"/>
        </w:rPr>
        <w:t>doit satisfaire aux prescriptions applicables à la zone 1 pour l’équipement électrique en général</w:t>
      </w:r>
      <w:r w:rsidRPr="00D27F20">
        <w:rPr>
          <w:b/>
          <w:bCs/>
          <w:lang w:val="fr-FR"/>
        </w:rPr>
        <w:t xml:space="preserve">, </w:t>
      </w:r>
      <w:r w:rsidRPr="00D27F20">
        <w:rPr>
          <w:lang w:val="fr-FR"/>
        </w:rPr>
        <w:t xml:space="preserve">ou aux prescriptions applicables à la zone 2 pour l’équipement électrique situé dans la cabine du conducteur. Il doit satisfaire aux prescriptions applicables au groupe d’explosion IIC, classe de température T6. </w:t>
      </w:r>
    </w:p>
    <w:p w:rsidR="006E3D56" w:rsidRPr="00D27F20" w:rsidRDefault="006E3D56" w:rsidP="001F28D5">
      <w:pPr>
        <w:pStyle w:val="SingleTxtG"/>
        <w:ind w:left="2835"/>
        <w:rPr>
          <w:lang w:val="fr-FR"/>
        </w:rPr>
      </w:pPr>
      <w:r w:rsidRPr="00D27F20">
        <w:rPr>
          <w:bCs/>
          <w:lang w:val="fr-FR"/>
        </w:rPr>
        <w:lastRenderedPageBreak/>
        <w:t xml:space="preserve">Cependant, pour l’équipement électrique sous tension en permanence situé dans un environnement où la température engendrée par le matériel non électrique situé dans ce même environnement dépasse la limite de température T6, la classe de température doit être au moins la classe T4. </w:t>
      </w:r>
    </w:p>
    <w:p w:rsidR="006E3D56" w:rsidRPr="00D27F20" w:rsidRDefault="006E3D56" w:rsidP="00F36958">
      <w:pPr>
        <w:pStyle w:val="SingleTxtG"/>
        <w:tabs>
          <w:tab w:val="left" w:pos="2268"/>
        </w:tabs>
        <w:ind w:left="2835" w:hanging="567"/>
        <w:rPr>
          <w:lang w:val="fr-FR"/>
        </w:rPr>
      </w:pPr>
      <w:r w:rsidRPr="00D27F20">
        <w:rPr>
          <w:lang w:val="fr-FR"/>
        </w:rPr>
        <w:t>c)</w:t>
      </w:r>
      <w:r w:rsidRPr="00D27F20">
        <w:rPr>
          <w:lang w:val="fr-FR"/>
        </w:rPr>
        <w:tab/>
        <w:t xml:space="preserve">Les fils d’alimentation </w:t>
      </w:r>
      <w:r w:rsidRPr="00D27F20">
        <w:rPr>
          <w:bCs/>
          <w:lang w:val="fr-FR"/>
        </w:rPr>
        <w:t xml:space="preserve">de l’équipement </w:t>
      </w:r>
      <w:r w:rsidRPr="00D27F20">
        <w:rPr>
          <w:lang w:val="fr-FR"/>
        </w:rPr>
        <w:t xml:space="preserve">sous tension </w:t>
      </w:r>
      <w:r w:rsidRPr="00D27F20">
        <w:rPr>
          <w:bCs/>
          <w:lang w:val="fr-FR"/>
        </w:rPr>
        <w:t xml:space="preserve">en </w:t>
      </w:r>
      <w:r w:rsidRPr="00D27F20">
        <w:rPr>
          <w:lang w:val="fr-FR"/>
        </w:rPr>
        <w:t>permanen</w:t>
      </w:r>
      <w:r w:rsidRPr="00D27F20">
        <w:rPr>
          <w:bCs/>
          <w:lang w:val="fr-FR"/>
        </w:rPr>
        <w:t>c</w:t>
      </w:r>
      <w:r w:rsidRPr="00D27F20">
        <w:rPr>
          <w:lang w:val="fr-FR"/>
        </w:rPr>
        <w:t>e doivent être soit conformes aux dispositions de la norme CEI 60079, partie 7 (</w:t>
      </w:r>
      <w:r w:rsidR="00B20AB9" w:rsidRPr="00460532">
        <w:t>“</w:t>
      </w:r>
      <w:r w:rsidRPr="00D27F20">
        <w:rPr>
          <w:lang w:val="fr-FR"/>
        </w:rPr>
        <w:t>Sécurité augmentée</w:t>
      </w:r>
      <w:r w:rsidR="00B20AB9" w:rsidRPr="00460532">
        <w:t>”</w:t>
      </w:r>
      <w:r w:rsidRPr="00D27F20">
        <w:rPr>
          <w:lang w:val="fr-FR"/>
        </w:rPr>
        <w:t xml:space="preserve">) et être protégés par un fusible ou un </w:t>
      </w:r>
      <w:r w:rsidRPr="00D27F20">
        <w:rPr>
          <w:bCs/>
          <w:lang w:val="fr-FR"/>
        </w:rPr>
        <w:t xml:space="preserve">disjoncteur </w:t>
      </w:r>
      <w:r w:rsidRPr="00D27F20">
        <w:rPr>
          <w:lang w:val="fr-FR"/>
        </w:rPr>
        <w:t xml:space="preserve">automatique placé aussi près que possible de la source de tension, soit, dans le cas d’un équipement </w:t>
      </w:r>
      <w:r w:rsidR="00B20AB9" w:rsidRPr="00460532">
        <w:t>“</w:t>
      </w:r>
      <w:r w:rsidRPr="00D27F20">
        <w:rPr>
          <w:lang w:val="fr-FR"/>
        </w:rPr>
        <w:t>intrinsèquement sûr</w:t>
      </w:r>
      <w:r w:rsidR="00B20AB9" w:rsidRPr="00460532">
        <w:t>”</w:t>
      </w:r>
      <w:r w:rsidRPr="00D27F20">
        <w:rPr>
          <w:lang w:val="fr-FR"/>
        </w:rPr>
        <w:t xml:space="preserve">, être protégés par une barrière de sécurité placée aussi près que possible de la source de tension. </w:t>
      </w:r>
    </w:p>
    <w:p w:rsidR="006E3D56" w:rsidRDefault="006E3D56" w:rsidP="00F36958">
      <w:pPr>
        <w:pStyle w:val="SingleTxtG"/>
        <w:ind w:left="2268" w:hanging="1134"/>
        <w:rPr>
          <w:lang w:val="fr-FR"/>
        </w:rPr>
      </w:pPr>
      <w:r w:rsidRPr="00D27F20">
        <w:rPr>
          <w:lang w:val="fr-FR"/>
        </w:rPr>
        <w:t>5.1.1.9.2</w:t>
      </w:r>
      <w:r w:rsidRPr="00D27F20">
        <w:rPr>
          <w:lang w:val="fr-FR"/>
        </w:rPr>
        <w:tab/>
        <w:t xml:space="preserve">Les connexions en dérivation sur le coupe-circuit de batterie pour l’équipement électrique qui doit demeurer sous tension </w:t>
      </w:r>
      <w:r w:rsidRPr="00F36958">
        <w:rPr>
          <w:rFonts w:eastAsia="Times New Roman"/>
        </w:rPr>
        <w:t>lorsque</w:t>
      </w:r>
      <w:r w:rsidRPr="00D27F20">
        <w:rPr>
          <w:lang w:val="fr-FR"/>
        </w:rPr>
        <w:t xml:space="preserve"> le coupe</w:t>
      </w:r>
      <w:r w:rsidRPr="00D27F20">
        <w:rPr>
          <w:lang w:val="fr-FR"/>
        </w:rPr>
        <w:noBreakHyphen/>
        <w:t xml:space="preserve">circuit de batterie est ouvert doivent être protégées contre une surchauffe par un moyen approprié tel qu’un fusible, un coupe-circuit ou un dispositif de sécurité (limiteur de courant). </w:t>
      </w:r>
    </w:p>
    <w:p w:rsidR="001F28D5" w:rsidRPr="001F28D5" w:rsidRDefault="001F28D5" w:rsidP="001F28D5">
      <w:pPr>
        <w:tabs>
          <w:tab w:val="left" w:pos="2155"/>
        </w:tabs>
        <w:spacing w:after="120"/>
        <w:ind w:left="680"/>
        <w:rPr>
          <w:rFonts w:eastAsia="Calibri"/>
          <w:u w:val="single"/>
        </w:rPr>
      </w:pPr>
      <w:r w:rsidRPr="001F28D5">
        <w:rPr>
          <w:rFonts w:eastAsia="Calibri"/>
          <w:u w:val="single"/>
        </w:rPr>
        <w:tab/>
      </w:r>
    </w:p>
    <w:p w:rsidR="006E3D56" w:rsidRPr="00D85083" w:rsidRDefault="00D85083" w:rsidP="001F28D5">
      <w:pPr>
        <w:pStyle w:val="FootnoteText"/>
        <w:spacing w:after="120"/>
      </w:pPr>
      <w:r>
        <w:rPr>
          <w:lang w:val="fr-FR"/>
        </w:rPr>
        <w:tab/>
      </w:r>
      <w:r w:rsidR="006E3D56" w:rsidRPr="00D85083">
        <w:rPr>
          <w:vertAlign w:val="superscript"/>
        </w:rPr>
        <w:t>4</w:t>
      </w:r>
      <w:r w:rsidR="006E3D56" w:rsidRPr="00D85083">
        <w:tab/>
      </w:r>
      <w:r w:rsidR="006E3D56" w:rsidRPr="001F28D5">
        <w:rPr>
          <w:rStyle w:val="FootnoteReference"/>
          <w:vertAlign w:val="baseline"/>
        </w:rPr>
        <w:t>Les</w:t>
      </w:r>
      <w:r w:rsidR="006E3D56" w:rsidRPr="00D85083">
        <w:t xml:space="preserve"> dispositions de la norme CEI 60079, partie 14, ne prévalent pas sur les dispositions du présent Règlement. ». </w:t>
      </w:r>
    </w:p>
    <w:p w:rsidR="006E3D56" w:rsidRPr="00D27F20" w:rsidRDefault="006E3D56" w:rsidP="00F36958">
      <w:pPr>
        <w:pStyle w:val="SingleTxtG"/>
        <w:spacing w:before="120"/>
        <w:rPr>
          <w:lang w:val="fr-FR"/>
        </w:rPr>
      </w:pPr>
      <w:r w:rsidRPr="00D27F20">
        <w:rPr>
          <w:i/>
          <w:lang w:val="fr-FR"/>
        </w:rPr>
        <w:t>Paragraphes 5.1.1.6 et 5.1.1.6.1</w:t>
      </w:r>
      <w:r w:rsidRPr="00D27F20">
        <w:rPr>
          <w:lang w:val="fr-FR"/>
        </w:rPr>
        <w:t xml:space="preserve">, </w:t>
      </w:r>
      <w:r w:rsidRPr="00F36958">
        <w:rPr>
          <w:rFonts w:eastAsia="Times New Roman"/>
        </w:rPr>
        <w:t>supprimer</w:t>
      </w:r>
      <w:r w:rsidRPr="00D27F20">
        <w:rPr>
          <w:lang w:val="fr-FR"/>
        </w:rPr>
        <w:t xml:space="preserve">. </w:t>
      </w:r>
    </w:p>
    <w:p w:rsidR="006E3D56" w:rsidRPr="00D27F20" w:rsidRDefault="006E3D56" w:rsidP="00F36958">
      <w:pPr>
        <w:pStyle w:val="SingleTxtG"/>
        <w:rPr>
          <w:lang w:val="fr-FR"/>
        </w:rPr>
      </w:pPr>
      <w:r w:rsidRPr="00D27F20">
        <w:rPr>
          <w:i/>
          <w:iCs/>
          <w:lang w:val="fr-FR"/>
        </w:rPr>
        <w:t xml:space="preserve">Les paragraphes 5.1.1.6.2 et 5.1.1.6.3 </w:t>
      </w:r>
      <w:r w:rsidRPr="00F36958">
        <w:rPr>
          <w:rFonts w:eastAsia="Times New Roman"/>
        </w:rPr>
        <w:t>deviennent</w:t>
      </w:r>
      <w:r w:rsidRPr="00D27F20">
        <w:rPr>
          <w:lang w:val="fr-FR"/>
        </w:rPr>
        <w:t xml:space="preserve"> les paragraphes 5.1.1.5 et 5.1.1.6 et sont modifiés comme suit : </w:t>
      </w:r>
    </w:p>
    <w:p w:rsidR="006E3D56" w:rsidRPr="00D27F20" w:rsidRDefault="006E3D56" w:rsidP="00F36958">
      <w:pPr>
        <w:pStyle w:val="SingleTxtG"/>
        <w:ind w:left="2268" w:hanging="1134"/>
        <w:rPr>
          <w:lang w:val="fr-FR"/>
        </w:rPr>
      </w:pPr>
      <w:r w:rsidRPr="00D27F20">
        <w:rPr>
          <w:lang w:val="fr-FR"/>
        </w:rPr>
        <w:t>« 5.1.1.5</w:t>
      </w:r>
      <w:r w:rsidRPr="00D27F20">
        <w:rPr>
          <w:lang w:val="fr-FR"/>
        </w:rPr>
        <w:tab/>
      </w:r>
      <w:r w:rsidRPr="00F36958">
        <w:rPr>
          <w:rFonts w:eastAsia="Times New Roman"/>
        </w:rPr>
        <w:t>Éclairage</w:t>
      </w:r>
    </w:p>
    <w:p w:rsidR="006E3D56" w:rsidRPr="001F28D5" w:rsidRDefault="006E3D56" w:rsidP="001F28D5">
      <w:pPr>
        <w:pStyle w:val="SingleTxtG"/>
        <w:ind w:left="2268"/>
        <w:rPr>
          <w:spacing w:val="-2"/>
          <w:lang w:val="fr-FR"/>
        </w:rPr>
      </w:pPr>
      <w:r w:rsidRPr="001F28D5">
        <w:rPr>
          <w:spacing w:val="-2"/>
          <w:lang w:val="fr-FR"/>
        </w:rPr>
        <w:tab/>
      </w:r>
      <w:r w:rsidRPr="001F28D5">
        <w:rPr>
          <w:bCs/>
          <w:spacing w:val="-2"/>
          <w:lang w:val="fr-FR"/>
        </w:rPr>
        <w:t xml:space="preserve">Les </w:t>
      </w:r>
      <w:r w:rsidRPr="001F28D5">
        <w:rPr>
          <w:spacing w:val="-2"/>
          <w:lang w:val="fr-FR"/>
        </w:rPr>
        <w:t>sources</w:t>
      </w:r>
      <w:r w:rsidRPr="001F28D5">
        <w:rPr>
          <w:bCs/>
          <w:spacing w:val="-2"/>
          <w:lang w:val="fr-FR"/>
        </w:rPr>
        <w:t xml:space="preserve"> lumineuses </w:t>
      </w:r>
      <w:r w:rsidRPr="001F28D5">
        <w:rPr>
          <w:rFonts w:eastAsia="Times New Roman"/>
          <w:bCs/>
          <w:spacing w:val="-2"/>
        </w:rPr>
        <w:t>pourvues</w:t>
      </w:r>
      <w:r w:rsidRPr="001F28D5">
        <w:rPr>
          <w:bCs/>
          <w:spacing w:val="-2"/>
          <w:lang w:val="fr-FR"/>
        </w:rPr>
        <w:t xml:space="preserve"> d’un </w:t>
      </w:r>
      <w:r w:rsidRPr="001F28D5">
        <w:rPr>
          <w:spacing w:val="-2"/>
          <w:lang w:val="fr-FR"/>
        </w:rPr>
        <w:t>culot à vis ne doivent pas être utilisées.</w:t>
      </w:r>
    </w:p>
    <w:p w:rsidR="006E3D56" w:rsidRPr="00D27F20" w:rsidRDefault="006E3D56" w:rsidP="00F36958">
      <w:pPr>
        <w:pStyle w:val="SingleTxtG"/>
        <w:ind w:left="2268" w:hanging="1134"/>
        <w:rPr>
          <w:lang w:val="fr-FR"/>
        </w:rPr>
      </w:pPr>
      <w:r w:rsidRPr="00D27F20">
        <w:rPr>
          <w:lang w:val="fr-FR"/>
        </w:rPr>
        <w:t>5.1.1.6</w:t>
      </w:r>
      <w:r w:rsidRPr="00D27F20">
        <w:rPr>
          <w:lang w:val="fr-FR"/>
        </w:rPr>
        <w:tab/>
      </w:r>
      <w:r w:rsidRPr="00D27F20">
        <w:rPr>
          <w:lang w:val="fr-FR"/>
        </w:rPr>
        <w:tab/>
      </w:r>
      <w:r w:rsidRPr="00F36958">
        <w:rPr>
          <w:rFonts w:eastAsia="Times New Roman"/>
        </w:rPr>
        <w:t>Connexions</w:t>
      </w:r>
      <w:r w:rsidRPr="00D27F20">
        <w:rPr>
          <w:lang w:val="fr-FR"/>
        </w:rPr>
        <w:t xml:space="preserve"> électriques </w:t>
      </w:r>
      <w:r w:rsidRPr="00D27F20">
        <w:rPr>
          <w:bCs/>
          <w:lang w:val="fr-FR"/>
        </w:rPr>
        <w:t>entre les véhicules à moteur et les remorques</w:t>
      </w:r>
      <w:r w:rsidRPr="00D27F20">
        <w:rPr>
          <w:b/>
          <w:bCs/>
          <w:lang w:val="fr-FR"/>
        </w:rPr>
        <w:t xml:space="preserve"> </w:t>
      </w:r>
    </w:p>
    <w:p w:rsidR="006E3D56" w:rsidRPr="00D27F20" w:rsidRDefault="006E3D56" w:rsidP="00F36958">
      <w:pPr>
        <w:pStyle w:val="SingleTxtG"/>
        <w:ind w:left="2268" w:hanging="1134"/>
        <w:rPr>
          <w:lang w:val="fr-FR"/>
        </w:rPr>
      </w:pPr>
      <w:r w:rsidRPr="00D27F20">
        <w:rPr>
          <w:lang w:val="fr-FR"/>
        </w:rPr>
        <w:t>5.1.1.6.1</w:t>
      </w:r>
      <w:r w:rsidRPr="00D27F20">
        <w:rPr>
          <w:lang w:val="fr-FR"/>
        </w:rPr>
        <w:tab/>
        <w:t xml:space="preserve">Les </w:t>
      </w:r>
      <w:r w:rsidRPr="00F36958">
        <w:rPr>
          <w:rFonts w:eastAsia="Times New Roman"/>
        </w:rPr>
        <w:t>connexions</w:t>
      </w:r>
      <w:r w:rsidRPr="00D27F20">
        <w:rPr>
          <w:lang w:val="fr-FR"/>
        </w:rPr>
        <w:t xml:space="preserve"> électriques </w:t>
      </w:r>
      <w:r w:rsidRPr="00D27F20">
        <w:rPr>
          <w:bCs/>
          <w:lang w:val="fr-FR"/>
        </w:rPr>
        <w:t>doivent être conçues de façon à prévenir </w:t>
      </w:r>
      <w:r w:rsidRPr="00D27F20">
        <w:rPr>
          <w:lang w:val="fr-FR"/>
        </w:rPr>
        <w:t>:</w:t>
      </w:r>
    </w:p>
    <w:p w:rsidR="006E3D56" w:rsidRPr="00D27F20" w:rsidRDefault="006E3D56" w:rsidP="00F36958">
      <w:pPr>
        <w:pStyle w:val="SingleTxtG"/>
        <w:tabs>
          <w:tab w:val="left" w:pos="2268"/>
        </w:tabs>
        <w:ind w:left="2835" w:hanging="567"/>
        <w:rPr>
          <w:lang w:val="fr-FR"/>
        </w:rPr>
      </w:pPr>
      <w:r w:rsidRPr="00D27F20">
        <w:rPr>
          <w:lang w:val="fr-FR"/>
        </w:rPr>
        <w:t>a)</w:t>
      </w:r>
      <w:r w:rsidRPr="00D27F20">
        <w:rPr>
          <w:lang w:val="fr-FR"/>
        </w:rPr>
        <w:tab/>
      </w:r>
      <w:r w:rsidRPr="00D27F20">
        <w:rPr>
          <w:bCs/>
          <w:lang w:val="fr-FR"/>
        </w:rPr>
        <w:t xml:space="preserve">La pénétration d’humidité et de </w:t>
      </w:r>
      <w:r w:rsidRPr="00F36958">
        <w:rPr>
          <w:rFonts w:eastAsia="Times New Roman"/>
        </w:rPr>
        <w:t>poussière</w:t>
      </w:r>
      <w:r w:rsidRPr="00D27F20">
        <w:rPr>
          <w:bCs/>
          <w:lang w:val="fr-FR"/>
        </w:rPr>
        <w:t xml:space="preserve"> ; les parties connectées </w:t>
      </w:r>
      <w:r w:rsidRPr="00D27F20">
        <w:rPr>
          <w:lang w:val="fr-FR"/>
        </w:rPr>
        <w:t xml:space="preserve">doivent avoir le degré de protection IP 54 au minimum, conformément à la norme </w:t>
      </w:r>
      <w:r w:rsidRPr="00D27F20">
        <w:rPr>
          <w:bCs/>
          <w:lang w:val="fr-FR"/>
        </w:rPr>
        <w:t>CEI 60</w:t>
      </w:r>
      <w:r w:rsidRPr="00D27F20">
        <w:rPr>
          <w:lang w:val="fr-FR"/>
        </w:rPr>
        <w:t>529 ;</w:t>
      </w:r>
    </w:p>
    <w:p w:rsidR="006E3D56" w:rsidRPr="00D27F20" w:rsidRDefault="006E3D56" w:rsidP="00F36958">
      <w:pPr>
        <w:pStyle w:val="SingleTxtG"/>
        <w:tabs>
          <w:tab w:val="left" w:pos="2268"/>
        </w:tabs>
        <w:ind w:left="2835" w:hanging="567"/>
        <w:rPr>
          <w:bCs/>
          <w:lang w:val="fr-FR"/>
        </w:rPr>
      </w:pPr>
      <w:r w:rsidRPr="00D27F20">
        <w:rPr>
          <w:lang w:val="fr-FR"/>
        </w:rPr>
        <w:t>b)</w:t>
      </w:r>
      <w:r w:rsidRPr="00D27F20">
        <w:rPr>
          <w:lang w:val="fr-FR"/>
        </w:rPr>
        <w:tab/>
      </w:r>
      <w:r w:rsidRPr="00D27F20">
        <w:rPr>
          <w:bCs/>
          <w:lang w:val="fr-FR"/>
        </w:rPr>
        <w:t xml:space="preserve">Un débranchement </w:t>
      </w:r>
      <w:r w:rsidRPr="00F36958">
        <w:rPr>
          <w:lang w:val="fr-FR"/>
        </w:rPr>
        <w:t>accidentel</w:t>
      </w:r>
      <w:r w:rsidRPr="00D27F20">
        <w:rPr>
          <w:bCs/>
          <w:lang w:val="fr-FR"/>
        </w:rPr>
        <w:t> ; les connecteurs doivent satisfaire aux prescriptions de l’article 5.6 de la norme ISO 4091:2003</w:t>
      </w:r>
      <w:r w:rsidRPr="00D27F20">
        <w:rPr>
          <w:lang w:val="fr-FR"/>
        </w:rPr>
        <w:t>.</w:t>
      </w:r>
    </w:p>
    <w:p w:rsidR="006E3D56" w:rsidRPr="00D27F20" w:rsidRDefault="006E3D56" w:rsidP="00F36958">
      <w:pPr>
        <w:pStyle w:val="SingleTxtG"/>
        <w:ind w:left="2268" w:hanging="1134"/>
        <w:rPr>
          <w:bCs/>
          <w:lang w:val="fr-FR"/>
        </w:rPr>
      </w:pPr>
      <w:r w:rsidRPr="00D27F20">
        <w:rPr>
          <w:bCs/>
          <w:lang w:val="fr-FR"/>
        </w:rPr>
        <w:t>5.1.1.6.2</w:t>
      </w:r>
      <w:r w:rsidRPr="00D27F20">
        <w:rPr>
          <w:bCs/>
          <w:lang w:val="fr-FR"/>
        </w:rPr>
        <w:tab/>
        <w:t xml:space="preserve">Les </w:t>
      </w:r>
      <w:r w:rsidRPr="00F36958">
        <w:rPr>
          <w:rFonts w:eastAsia="Times New Roman"/>
        </w:rPr>
        <w:t>prescriptions</w:t>
      </w:r>
      <w:r w:rsidRPr="00D27F20">
        <w:rPr>
          <w:bCs/>
          <w:lang w:val="fr-FR"/>
        </w:rPr>
        <w:t xml:space="preserve"> du paragraphe 5.1.1.6.1 sont réputées satisfaites : </w:t>
      </w:r>
    </w:p>
    <w:p w:rsidR="006E3D56" w:rsidRPr="00D27F20" w:rsidRDefault="006E3D56" w:rsidP="00F36958">
      <w:pPr>
        <w:pStyle w:val="SingleTxtG"/>
        <w:tabs>
          <w:tab w:val="left" w:pos="2268"/>
        </w:tabs>
        <w:ind w:left="2835" w:hanging="567"/>
        <w:rPr>
          <w:bCs/>
          <w:lang w:val="fr-FR"/>
        </w:rPr>
      </w:pPr>
      <w:r w:rsidRPr="00D27F20">
        <w:rPr>
          <w:lang w:val="fr-FR"/>
        </w:rPr>
        <w:t>a)</w:t>
      </w:r>
      <w:r w:rsidRPr="00D27F20">
        <w:rPr>
          <w:lang w:val="fr-FR"/>
        </w:rPr>
        <w:tab/>
      </w:r>
      <w:r w:rsidRPr="00D27F20">
        <w:rPr>
          <w:bCs/>
          <w:lang w:val="fr-FR"/>
        </w:rPr>
        <w:t xml:space="preserve">Dans le cas des </w:t>
      </w:r>
      <w:r w:rsidRPr="00F36958">
        <w:rPr>
          <w:lang w:val="fr-FR"/>
        </w:rPr>
        <w:t>connecteurs</w:t>
      </w:r>
      <w:r w:rsidRPr="00D27F20">
        <w:rPr>
          <w:bCs/>
          <w:lang w:val="fr-FR"/>
        </w:rPr>
        <w:t xml:space="preserve"> répondant à des besoins spécifiques et conformes aux normes</w:t>
      </w:r>
      <w:r w:rsidRPr="00D27F20">
        <w:rPr>
          <w:b/>
          <w:bCs/>
          <w:lang w:val="fr-FR"/>
        </w:rPr>
        <w:t xml:space="preserve"> </w:t>
      </w:r>
      <w:r w:rsidRPr="00D27F20">
        <w:rPr>
          <w:lang w:val="fr-FR"/>
        </w:rPr>
        <w:t>ISO 12098:</w:t>
      </w:r>
      <w:r w:rsidRPr="00D27F20">
        <w:rPr>
          <w:bCs/>
          <w:lang w:val="fr-FR"/>
        </w:rPr>
        <w:t>2004</w:t>
      </w:r>
      <w:r w:rsidRPr="00D27F20">
        <w:rPr>
          <w:bCs/>
          <w:vertAlign w:val="superscript"/>
          <w:lang w:val="fr-FR"/>
        </w:rPr>
        <w:t>5</w:t>
      </w:r>
      <w:r w:rsidRPr="00D27F20">
        <w:rPr>
          <w:bCs/>
          <w:lang w:val="fr-FR"/>
        </w:rPr>
        <w:t>, ISO 7638:2003</w:t>
      </w:r>
      <w:r w:rsidRPr="00D27F20">
        <w:rPr>
          <w:bCs/>
          <w:vertAlign w:val="superscript"/>
          <w:lang w:val="fr-FR"/>
        </w:rPr>
        <w:t>5</w:t>
      </w:r>
      <w:r w:rsidRPr="00D27F20">
        <w:rPr>
          <w:bCs/>
          <w:lang w:val="fr-FR"/>
        </w:rPr>
        <w:t>, EN 15207:2014</w:t>
      </w:r>
      <w:r w:rsidRPr="00D27F20">
        <w:rPr>
          <w:bCs/>
          <w:vertAlign w:val="superscript"/>
          <w:lang w:val="fr-FR"/>
        </w:rPr>
        <w:t>5</w:t>
      </w:r>
      <w:r w:rsidRPr="00D27F20">
        <w:rPr>
          <w:bCs/>
          <w:lang w:val="fr-FR"/>
        </w:rPr>
        <w:t xml:space="preserve"> ou </w:t>
      </w:r>
      <w:r w:rsidRPr="00D27F20">
        <w:rPr>
          <w:lang w:val="fr-FR"/>
        </w:rPr>
        <w:t>ISO 25981:2008</w:t>
      </w:r>
      <w:r w:rsidRPr="00D27F20">
        <w:rPr>
          <w:vertAlign w:val="superscript"/>
          <w:lang w:val="fr-FR"/>
        </w:rPr>
        <w:t>5 </w:t>
      </w:r>
      <w:r w:rsidRPr="00D27F20">
        <w:rPr>
          <w:bCs/>
          <w:lang w:val="fr-FR"/>
        </w:rPr>
        <w:t>;</w:t>
      </w:r>
    </w:p>
    <w:p w:rsidR="006E3D56" w:rsidRDefault="006E3D56" w:rsidP="00F36958">
      <w:pPr>
        <w:pStyle w:val="SingleTxtG"/>
        <w:tabs>
          <w:tab w:val="left" w:pos="2268"/>
        </w:tabs>
        <w:ind w:left="2835" w:hanging="567"/>
        <w:rPr>
          <w:bCs/>
          <w:lang w:val="fr-FR"/>
        </w:rPr>
      </w:pPr>
      <w:r w:rsidRPr="00D27F20">
        <w:rPr>
          <w:bCs/>
          <w:lang w:val="fr-FR"/>
        </w:rPr>
        <w:t>b)</w:t>
      </w:r>
      <w:r w:rsidRPr="00D27F20">
        <w:rPr>
          <w:bCs/>
          <w:lang w:val="fr-FR"/>
        </w:rPr>
        <w:tab/>
      </w:r>
      <w:r w:rsidRPr="00D27F20">
        <w:rPr>
          <w:bCs/>
          <w:lang w:val="fr-FR"/>
        </w:rPr>
        <w:tab/>
        <w:t xml:space="preserve">Lorsque les </w:t>
      </w:r>
      <w:r w:rsidRPr="00F36958">
        <w:rPr>
          <w:lang w:val="fr-FR"/>
        </w:rPr>
        <w:t>connexions</w:t>
      </w:r>
      <w:r w:rsidRPr="00D27F20">
        <w:rPr>
          <w:bCs/>
          <w:lang w:val="fr-FR"/>
        </w:rPr>
        <w:t xml:space="preserve"> électriques font partie d’un dispositif d’attelage automatique (voir le Règlement </w:t>
      </w:r>
      <w:r w:rsidRPr="00D27F20">
        <w:rPr>
          <w:rFonts w:eastAsia="MS Mincho"/>
          <w:bCs/>
          <w:lang w:val="fr-FR"/>
        </w:rPr>
        <w:t>n</w:t>
      </w:r>
      <w:r w:rsidRPr="00D27F20">
        <w:rPr>
          <w:rFonts w:eastAsia="MS Mincho"/>
          <w:bCs/>
          <w:vertAlign w:val="superscript"/>
          <w:lang w:val="fr-FR"/>
        </w:rPr>
        <w:t>o</w:t>
      </w:r>
      <w:r w:rsidRPr="00D27F20">
        <w:rPr>
          <w:bCs/>
          <w:lang w:val="fr-FR"/>
        </w:rPr>
        <w:t xml:space="preserve"> 55 de la CEE). </w:t>
      </w:r>
    </w:p>
    <w:p w:rsidR="001F28D5" w:rsidRPr="001F28D5" w:rsidRDefault="001F28D5" w:rsidP="001F28D5">
      <w:pPr>
        <w:tabs>
          <w:tab w:val="left" w:pos="2155"/>
        </w:tabs>
        <w:spacing w:after="120"/>
        <w:ind w:left="680"/>
        <w:rPr>
          <w:rFonts w:eastAsia="Calibri"/>
          <w:u w:val="single"/>
        </w:rPr>
      </w:pPr>
      <w:r w:rsidRPr="001F28D5">
        <w:rPr>
          <w:rFonts w:eastAsia="Calibri"/>
          <w:u w:val="single"/>
        </w:rPr>
        <w:tab/>
      </w:r>
    </w:p>
    <w:p w:rsidR="006E3D56" w:rsidRPr="00D85083" w:rsidRDefault="001F28D5" w:rsidP="001F28D5">
      <w:pPr>
        <w:pStyle w:val="FootnoteText"/>
        <w:spacing w:after="120"/>
      </w:pPr>
      <w:r>
        <w:tab/>
      </w:r>
      <w:r w:rsidR="006E3D56" w:rsidRPr="00D85083">
        <w:rPr>
          <w:vertAlign w:val="superscript"/>
        </w:rPr>
        <w:t>5</w:t>
      </w:r>
      <w:r w:rsidR="006E3D56" w:rsidRPr="00D85083">
        <w:tab/>
        <w:t xml:space="preserve">La norme ISO 4009 citée dans cette norme n’a pas à être appliquée. ». </w:t>
      </w:r>
    </w:p>
    <w:p w:rsidR="006E3D56" w:rsidRPr="00D27F20" w:rsidRDefault="006E3D56" w:rsidP="00F36958">
      <w:pPr>
        <w:pStyle w:val="SingleTxtG"/>
        <w:spacing w:before="120"/>
        <w:rPr>
          <w:lang w:val="fr-FR"/>
        </w:rPr>
      </w:pPr>
      <w:r w:rsidRPr="00D27F20">
        <w:rPr>
          <w:i/>
          <w:lang w:val="fr-FR"/>
        </w:rPr>
        <w:t>Ajouter les nouveaux paragraphes 5.1.1.6.3 et 5.1.1.7</w:t>
      </w:r>
      <w:r w:rsidRPr="00D27F20">
        <w:rPr>
          <w:lang w:val="fr-FR"/>
        </w:rPr>
        <w:t xml:space="preserve">, </w:t>
      </w:r>
      <w:r w:rsidRPr="00F36958">
        <w:rPr>
          <w:rFonts w:eastAsia="Times New Roman"/>
        </w:rPr>
        <w:t>libellés</w:t>
      </w:r>
      <w:r w:rsidRPr="00D27F20">
        <w:rPr>
          <w:lang w:val="fr-FR"/>
        </w:rPr>
        <w:t xml:space="preserve"> comme suit :</w:t>
      </w:r>
    </w:p>
    <w:p w:rsidR="006E3D56" w:rsidRPr="00D27F20" w:rsidRDefault="006E3D56" w:rsidP="00F36958">
      <w:pPr>
        <w:pStyle w:val="SingleTxtG"/>
        <w:ind w:left="2268" w:hanging="1134"/>
        <w:rPr>
          <w:lang w:val="fr-FR"/>
        </w:rPr>
      </w:pPr>
      <w:r w:rsidRPr="00D27F20">
        <w:rPr>
          <w:lang w:val="fr-FR"/>
        </w:rPr>
        <w:t>« 5.1.1.6.3</w:t>
      </w:r>
      <w:r w:rsidRPr="00D27F20">
        <w:rPr>
          <w:lang w:val="fr-FR"/>
        </w:rPr>
        <w:tab/>
        <w:t xml:space="preserve">Les autres connexions électriques servant au bon fonctionnement des véhicules ou de leur équipement peuvent être utilisées à condition de satisfaire aux prescriptions du paragraphe 5.1.1.6.1. </w:t>
      </w:r>
    </w:p>
    <w:p w:rsidR="006E3D56" w:rsidRPr="00D27F20" w:rsidRDefault="006E3D56" w:rsidP="00F36958">
      <w:pPr>
        <w:pStyle w:val="SingleTxtG"/>
        <w:ind w:left="2268" w:hanging="1134"/>
        <w:rPr>
          <w:lang w:val="fr-FR"/>
        </w:rPr>
      </w:pPr>
      <w:r w:rsidRPr="00D27F20">
        <w:rPr>
          <w:lang w:val="fr-FR"/>
        </w:rPr>
        <w:t>5.1.1.7</w:t>
      </w:r>
      <w:r w:rsidRPr="00D27F20">
        <w:rPr>
          <w:lang w:val="fr-FR"/>
        </w:rPr>
        <w:tab/>
      </w:r>
      <w:r w:rsidRPr="00F36958">
        <w:rPr>
          <w:rFonts w:eastAsia="Times New Roman"/>
        </w:rPr>
        <w:t>Tension</w:t>
      </w:r>
    </w:p>
    <w:p w:rsidR="006E3D56" w:rsidRPr="00D27F20" w:rsidRDefault="006E3D56" w:rsidP="001F28D5">
      <w:pPr>
        <w:pStyle w:val="SingleTxtG"/>
        <w:ind w:left="2268"/>
        <w:rPr>
          <w:lang w:val="fr-FR"/>
        </w:rPr>
      </w:pPr>
      <w:r w:rsidRPr="00D27F20">
        <w:rPr>
          <w:bCs/>
          <w:lang w:val="fr-FR"/>
        </w:rPr>
        <w:t xml:space="preserve">La tension nominale du système électrique ne doit pas dépasser 25 V CA ou 60 V CC. </w:t>
      </w:r>
    </w:p>
    <w:p w:rsidR="006E3D56" w:rsidRPr="00D27F20" w:rsidRDefault="006E3D56" w:rsidP="001F28D5">
      <w:pPr>
        <w:pStyle w:val="SingleTxtG"/>
        <w:ind w:left="2268"/>
        <w:rPr>
          <w:lang w:val="fr-FR"/>
        </w:rPr>
      </w:pPr>
      <w:r w:rsidRPr="00D27F20">
        <w:rPr>
          <w:bCs/>
          <w:lang w:val="fr-FR"/>
        </w:rPr>
        <w:tab/>
        <w:t xml:space="preserve">Des tensions supérieures sont admises dans les parties </w:t>
      </w:r>
      <w:proofErr w:type="spellStart"/>
      <w:r w:rsidRPr="00D27F20">
        <w:rPr>
          <w:bCs/>
          <w:lang w:val="fr-FR"/>
        </w:rPr>
        <w:t>galvaniquement</w:t>
      </w:r>
      <w:proofErr w:type="spellEnd"/>
      <w:r w:rsidRPr="00D27F20">
        <w:rPr>
          <w:bCs/>
          <w:lang w:val="fr-FR"/>
        </w:rPr>
        <w:t xml:space="preserve"> isolées du système électrique sous réserve que ces parties ne se trouvent pas à moins de 0,5 mètre de l’extérieur du compartiment de chargement ou de la citerne. </w:t>
      </w:r>
    </w:p>
    <w:p w:rsidR="006E3D56" w:rsidRPr="00D27F20" w:rsidRDefault="006E3D56" w:rsidP="001F28D5">
      <w:pPr>
        <w:pStyle w:val="SingleTxtG"/>
        <w:ind w:left="2268"/>
        <w:rPr>
          <w:lang w:val="fr-FR"/>
        </w:rPr>
      </w:pPr>
      <w:r w:rsidRPr="00D27F20">
        <w:rPr>
          <w:bCs/>
          <w:lang w:val="fr-FR"/>
        </w:rPr>
        <w:t xml:space="preserve">Les systèmes fonctionnant à une tension supérieure à 1 000 V CA ou 1 500 V CC doivent en outre être placés dans un boîtier fermé. </w:t>
      </w:r>
    </w:p>
    <w:p w:rsidR="006E3D56" w:rsidRPr="00D27F20" w:rsidRDefault="006E3D56" w:rsidP="001F28D5">
      <w:pPr>
        <w:pStyle w:val="SingleTxtG"/>
        <w:ind w:left="2268"/>
        <w:rPr>
          <w:lang w:val="fr-FR"/>
        </w:rPr>
      </w:pPr>
      <w:r w:rsidRPr="00D27F20">
        <w:rPr>
          <w:bCs/>
          <w:lang w:val="fr-FR"/>
        </w:rPr>
        <w:t>Si des ampoules au xénon sont utilisées, seules celles dotées d’un starter intégré sont autorisées. </w:t>
      </w:r>
      <w:r w:rsidRPr="00D27F20">
        <w:rPr>
          <w:lang w:val="fr-FR"/>
        </w:rPr>
        <w:t xml:space="preserve">». </w:t>
      </w:r>
    </w:p>
    <w:p w:rsidR="006E3D56" w:rsidRPr="00D27F20" w:rsidRDefault="006E3D56" w:rsidP="00F36958">
      <w:pPr>
        <w:pStyle w:val="SingleTxtG"/>
        <w:rPr>
          <w:lang w:val="fr-FR"/>
        </w:rPr>
      </w:pPr>
      <w:r w:rsidRPr="00D27F20">
        <w:rPr>
          <w:i/>
          <w:iCs/>
          <w:lang w:val="fr-FR"/>
        </w:rPr>
        <w:t xml:space="preserve">Les anciens paragraphes 5.1.2 à 5.1.2.1 </w:t>
      </w:r>
      <w:r w:rsidRPr="00F36958">
        <w:rPr>
          <w:rFonts w:eastAsia="Times New Roman"/>
        </w:rPr>
        <w:t>deviennent</w:t>
      </w:r>
      <w:r w:rsidRPr="00D27F20">
        <w:rPr>
          <w:lang w:val="fr-FR"/>
        </w:rPr>
        <w:t xml:space="preserve"> les paragraphes 5.1.3 à 5.1.3.1. </w:t>
      </w:r>
    </w:p>
    <w:p w:rsidR="006E3D56" w:rsidRPr="00D27F20" w:rsidRDefault="006E3D56" w:rsidP="00F36958">
      <w:pPr>
        <w:pStyle w:val="SingleTxtG"/>
        <w:rPr>
          <w:lang w:val="fr-FR"/>
        </w:rPr>
      </w:pPr>
      <w:r w:rsidRPr="00D27F20">
        <w:rPr>
          <w:i/>
          <w:iCs/>
          <w:lang w:val="fr-FR"/>
        </w:rPr>
        <w:t>Paragraphe 5.1.2.2</w:t>
      </w:r>
      <w:r w:rsidR="00C040EF" w:rsidRPr="00C040EF">
        <w:rPr>
          <w:iCs/>
          <w:lang w:val="fr-FR"/>
        </w:rPr>
        <w:t>,</w:t>
      </w:r>
      <w:r w:rsidRPr="00D27F20">
        <w:rPr>
          <w:i/>
          <w:iCs/>
          <w:lang w:val="fr-FR"/>
        </w:rPr>
        <w:t xml:space="preserve"> </w:t>
      </w:r>
      <w:r w:rsidRPr="00F36958">
        <w:rPr>
          <w:rFonts w:eastAsia="Times New Roman"/>
        </w:rPr>
        <w:t>supprimer</w:t>
      </w:r>
      <w:r w:rsidRPr="00D27F20">
        <w:rPr>
          <w:lang w:val="fr-FR"/>
        </w:rPr>
        <w:t xml:space="preserve">. </w:t>
      </w:r>
    </w:p>
    <w:p w:rsidR="006E3D56" w:rsidRPr="00D27F20" w:rsidRDefault="006E3D56" w:rsidP="00F36958">
      <w:pPr>
        <w:pStyle w:val="SingleTxtG"/>
        <w:rPr>
          <w:iCs/>
          <w:lang w:val="fr-FR"/>
        </w:rPr>
      </w:pPr>
      <w:r w:rsidRPr="00D27F20">
        <w:rPr>
          <w:i/>
          <w:iCs/>
          <w:lang w:val="fr-FR"/>
        </w:rPr>
        <w:t>Paragraphes 5.1.2.3 et 5.1.2.3.2</w:t>
      </w:r>
      <w:r w:rsidR="00C040EF" w:rsidRPr="00C040EF">
        <w:rPr>
          <w:iCs/>
          <w:lang w:val="fr-FR"/>
        </w:rPr>
        <w:t>,</w:t>
      </w:r>
      <w:r w:rsidRPr="00D27F20">
        <w:rPr>
          <w:i/>
          <w:iCs/>
          <w:lang w:val="fr-FR"/>
        </w:rPr>
        <w:t xml:space="preserve"> </w:t>
      </w:r>
      <w:r w:rsidRPr="00F36958">
        <w:rPr>
          <w:rFonts w:eastAsia="Times New Roman"/>
        </w:rPr>
        <w:t>remplacer</w:t>
      </w:r>
      <w:r w:rsidRPr="00D27F20">
        <w:rPr>
          <w:iCs/>
          <w:lang w:val="fr-FR"/>
        </w:rPr>
        <w:t xml:space="preserve"> par :</w:t>
      </w:r>
    </w:p>
    <w:p w:rsidR="006E3D56" w:rsidRPr="00D27F20" w:rsidRDefault="006E3D56" w:rsidP="00F36958">
      <w:pPr>
        <w:pStyle w:val="SingleTxtG"/>
        <w:ind w:left="2268" w:hanging="1134"/>
        <w:rPr>
          <w:lang w:val="fr-FR"/>
        </w:rPr>
      </w:pPr>
      <w:r w:rsidRPr="00D27F20">
        <w:rPr>
          <w:iCs/>
          <w:lang w:val="fr-FR"/>
        </w:rPr>
        <w:t>« </w:t>
      </w:r>
      <w:r w:rsidRPr="00D27F20">
        <w:rPr>
          <w:lang w:val="fr-FR"/>
        </w:rPr>
        <w:t>5.1.3.2</w:t>
      </w:r>
      <w:r w:rsidRPr="00D27F20">
        <w:rPr>
          <w:lang w:val="fr-FR"/>
        </w:rPr>
        <w:tab/>
      </w:r>
      <w:r w:rsidRPr="00F36958">
        <w:rPr>
          <w:rFonts w:eastAsia="Times New Roman"/>
        </w:rPr>
        <w:t>Réservoirs</w:t>
      </w:r>
      <w:r w:rsidRPr="00D27F20">
        <w:rPr>
          <w:lang w:val="fr-FR"/>
        </w:rPr>
        <w:t xml:space="preserve"> </w:t>
      </w:r>
      <w:r w:rsidRPr="00D27F20">
        <w:rPr>
          <w:bCs/>
          <w:lang w:val="fr-FR"/>
        </w:rPr>
        <w:t xml:space="preserve">et bouteilles </w:t>
      </w:r>
      <w:r w:rsidRPr="00D27F20">
        <w:rPr>
          <w:lang w:val="fr-FR"/>
        </w:rPr>
        <w:t xml:space="preserve">de carburant </w:t>
      </w:r>
    </w:p>
    <w:p w:rsidR="006E3D56" w:rsidRPr="00D27F20" w:rsidRDefault="006E3D56" w:rsidP="001F28D5">
      <w:pPr>
        <w:pStyle w:val="SingleTxtG"/>
        <w:ind w:left="2268"/>
        <w:rPr>
          <w:lang w:val="fr-FR"/>
        </w:rPr>
      </w:pPr>
      <w:r w:rsidRPr="00D27F20">
        <w:rPr>
          <w:lang w:val="fr-FR"/>
        </w:rPr>
        <w:t xml:space="preserve">Les réservoirs </w:t>
      </w:r>
      <w:r w:rsidRPr="00D27F20">
        <w:rPr>
          <w:bCs/>
          <w:lang w:val="fr-FR"/>
        </w:rPr>
        <w:t xml:space="preserve">et bouteilles </w:t>
      </w:r>
      <w:r w:rsidRPr="00D27F20">
        <w:rPr>
          <w:lang w:val="fr-FR"/>
        </w:rPr>
        <w:t>de carburant pour l’alimentation du moteur du véhicule doivent répondre aux prescriptions suivantes :</w:t>
      </w:r>
    </w:p>
    <w:p w:rsidR="006E3D56" w:rsidRPr="00D27F20" w:rsidRDefault="006E3D56" w:rsidP="00F36958">
      <w:pPr>
        <w:pStyle w:val="SingleTxtG"/>
        <w:ind w:left="2835" w:hanging="567"/>
        <w:rPr>
          <w:lang w:val="fr-FR"/>
        </w:rPr>
      </w:pPr>
      <w:r w:rsidRPr="00D27F20">
        <w:rPr>
          <w:lang w:val="fr-FR"/>
        </w:rPr>
        <w:t>a)</w:t>
      </w:r>
      <w:r w:rsidRPr="00D27F20">
        <w:rPr>
          <w:lang w:val="fr-FR"/>
        </w:rPr>
        <w:tab/>
        <w:t xml:space="preserve">En cas de fuite </w:t>
      </w:r>
      <w:r w:rsidRPr="00D27F20">
        <w:rPr>
          <w:bCs/>
          <w:lang w:val="fr-FR"/>
        </w:rPr>
        <w:t>survenant dans des conditions normales de transport</w:t>
      </w:r>
      <w:r w:rsidRPr="00D27F20">
        <w:rPr>
          <w:lang w:val="fr-FR"/>
        </w:rPr>
        <w:t xml:space="preserve">, le carburant </w:t>
      </w:r>
      <w:r w:rsidRPr="00D27F20">
        <w:rPr>
          <w:bCs/>
          <w:lang w:val="fr-FR"/>
        </w:rPr>
        <w:t xml:space="preserve">liquide ou la phase liquide d’un carburant gazeux </w:t>
      </w:r>
      <w:r w:rsidRPr="00D27F20">
        <w:rPr>
          <w:lang w:val="fr-FR"/>
        </w:rPr>
        <w:t>doit s’écouler sur le sol e</w:t>
      </w:r>
      <w:r w:rsidRPr="00D27F20">
        <w:rPr>
          <w:bCs/>
          <w:lang w:val="fr-FR"/>
        </w:rPr>
        <w:t xml:space="preserve">t ne doit pas </w:t>
      </w:r>
      <w:r w:rsidRPr="00F36958">
        <w:rPr>
          <w:rFonts w:eastAsia="Times New Roman"/>
          <w:bCs/>
        </w:rPr>
        <w:t>entrer</w:t>
      </w:r>
      <w:r w:rsidRPr="00D27F20">
        <w:rPr>
          <w:lang w:val="fr-FR"/>
        </w:rPr>
        <w:t xml:space="preserve"> en contact avec le </w:t>
      </w:r>
      <w:r w:rsidRPr="00D27F20">
        <w:rPr>
          <w:bCs/>
          <w:lang w:val="fr-FR"/>
        </w:rPr>
        <w:t xml:space="preserve">chargement ou </w:t>
      </w:r>
      <w:r w:rsidRPr="00D27F20">
        <w:rPr>
          <w:lang w:val="fr-FR"/>
        </w:rPr>
        <w:t>des parties chaudes du véhicule ;</w:t>
      </w:r>
    </w:p>
    <w:p w:rsidR="006E3D56" w:rsidRPr="00D27F20" w:rsidRDefault="006E3D56" w:rsidP="00F36958">
      <w:pPr>
        <w:pStyle w:val="SingleTxtG"/>
        <w:ind w:left="2835" w:hanging="567"/>
        <w:rPr>
          <w:bCs/>
          <w:lang w:val="fr-FR"/>
        </w:rPr>
      </w:pPr>
      <w:r w:rsidRPr="00D27F20">
        <w:rPr>
          <w:lang w:val="fr-FR"/>
        </w:rPr>
        <w:t>b)</w:t>
      </w:r>
      <w:r w:rsidRPr="00D27F20">
        <w:rPr>
          <w:lang w:val="fr-FR"/>
        </w:rPr>
        <w:tab/>
      </w:r>
      <w:r w:rsidRPr="00D27F20">
        <w:rPr>
          <w:bCs/>
          <w:lang w:val="fr-FR"/>
        </w:rPr>
        <w:t xml:space="preserve">Les réservoirs de carburant pour les </w:t>
      </w:r>
      <w:r w:rsidRPr="00F36958">
        <w:rPr>
          <w:rFonts w:eastAsia="Times New Roman"/>
          <w:bCs/>
        </w:rPr>
        <w:t>combustibles</w:t>
      </w:r>
      <w:r w:rsidRPr="00D27F20">
        <w:rPr>
          <w:bCs/>
          <w:lang w:val="fr-FR"/>
        </w:rPr>
        <w:t xml:space="preserve"> liquides doivent être conformes aux dispositions du </w:t>
      </w:r>
      <w:r w:rsidRPr="00D27F20">
        <w:rPr>
          <w:lang w:val="fr-FR"/>
        </w:rPr>
        <w:t>Règlement</w:t>
      </w:r>
      <w:r w:rsidRPr="00D27F20">
        <w:rPr>
          <w:bCs/>
          <w:lang w:val="fr-FR"/>
        </w:rPr>
        <w:t xml:space="preserve"> </w:t>
      </w:r>
      <w:r w:rsidRPr="00D27F20">
        <w:rPr>
          <w:rFonts w:eastAsia="MS Mincho"/>
          <w:lang w:val="fr-FR"/>
        </w:rPr>
        <w:t>n</w:t>
      </w:r>
      <w:r w:rsidRPr="00D27F20">
        <w:rPr>
          <w:rFonts w:eastAsia="MS Mincho"/>
          <w:vertAlign w:val="superscript"/>
          <w:lang w:val="fr-FR"/>
        </w:rPr>
        <w:t>o</w:t>
      </w:r>
      <w:r w:rsidRPr="00D27F20">
        <w:rPr>
          <w:lang w:val="fr-FR"/>
        </w:rPr>
        <w:t> </w:t>
      </w:r>
      <w:r w:rsidRPr="00D27F20">
        <w:rPr>
          <w:bCs/>
          <w:lang w:val="fr-FR"/>
        </w:rPr>
        <w:t xml:space="preserve">34 ; les réservoirs contenant de l’essence doivent être équipés d’un dispositif coupe-flammes efficace s’adaptant à l’orifice de remplissage, ou d’un dispositif permettant de maintenir l’orifice de remplissage hermétiquement fermé. Les réservoirs de GNL et les bouteilles de GNC doivent satisfaire aux prescriptions pertinentes du Règlement </w:t>
      </w:r>
      <w:r w:rsidRPr="00D27F20">
        <w:rPr>
          <w:rFonts w:eastAsia="MS Mincho"/>
          <w:bCs/>
          <w:lang w:val="fr-FR"/>
        </w:rPr>
        <w:t>n</w:t>
      </w:r>
      <w:r w:rsidRPr="00D27F20">
        <w:rPr>
          <w:rFonts w:eastAsia="MS Mincho"/>
          <w:bCs/>
          <w:vertAlign w:val="superscript"/>
          <w:lang w:val="fr-FR"/>
        </w:rPr>
        <w:t>o</w:t>
      </w:r>
      <w:r w:rsidRPr="00D27F20">
        <w:rPr>
          <w:bCs/>
          <w:lang w:val="fr-FR"/>
        </w:rPr>
        <w:t xml:space="preserve"> 110. Les réservoirs de GPL doivent satisfaire aux </w:t>
      </w:r>
      <w:r w:rsidRPr="00D27F20">
        <w:rPr>
          <w:lang w:val="fr-FR"/>
        </w:rPr>
        <w:t>prescriptions</w:t>
      </w:r>
      <w:r w:rsidRPr="00D27F20">
        <w:rPr>
          <w:bCs/>
          <w:lang w:val="fr-FR"/>
        </w:rPr>
        <w:t xml:space="preserve"> pertinentes du Règlement </w:t>
      </w:r>
      <w:r w:rsidRPr="00D27F20">
        <w:rPr>
          <w:rFonts w:eastAsia="MS Mincho"/>
          <w:bCs/>
          <w:lang w:val="fr-FR"/>
        </w:rPr>
        <w:t>n</w:t>
      </w:r>
      <w:r w:rsidRPr="00D27F20">
        <w:rPr>
          <w:rFonts w:eastAsia="MS Mincho"/>
          <w:bCs/>
          <w:vertAlign w:val="superscript"/>
          <w:lang w:val="fr-FR"/>
        </w:rPr>
        <w:t>o</w:t>
      </w:r>
      <w:r w:rsidRPr="00D27F20">
        <w:rPr>
          <w:bCs/>
          <w:lang w:val="fr-FR"/>
        </w:rPr>
        <w:t> 67 ;</w:t>
      </w:r>
    </w:p>
    <w:p w:rsidR="006E3D56" w:rsidRPr="00D27F20" w:rsidRDefault="006E3D56" w:rsidP="00F36958">
      <w:pPr>
        <w:pStyle w:val="SingleTxtG"/>
        <w:ind w:left="2835" w:hanging="567"/>
        <w:rPr>
          <w:iCs/>
          <w:lang w:val="fr-FR"/>
        </w:rPr>
      </w:pPr>
      <w:r w:rsidRPr="00D27F20">
        <w:rPr>
          <w:lang w:val="fr-FR"/>
        </w:rPr>
        <w:t>c)</w:t>
      </w:r>
      <w:r w:rsidRPr="00D27F20">
        <w:rPr>
          <w:lang w:val="fr-FR"/>
        </w:rPr>
        <w:tab/>
      </w:r>
      <w:r w:rsidRPr="00D27F20">
        <w:rPr>
          <w:bCs/>
          <w:lang w:val="fr-FR"/>
        </w:rPr>
        <w:t xml:space="preserve">Les ouvertures de vidange des dispositifs ou soupapes de décompression des réservoirs de carburant contenant des carburants gazeux doivent être orientées dans une </w:t>
      </w:r>
      <w:r w:rsidRPr="00F36958">
        <w:rPr>
          <w:rFonts w:eastAsia="Times New Roman"/>
          <w:bCs/>
        </w:rPr>
        <w:t>direction</w:t>
      </w:r>
      <w:r w:rsidRPr="00D27F20">
        <w:rPr>
          <w:bCs/>
          <w:lang w:val="fr-FR"/>
        </w:rPr>
        <w:t xml:space="preserve"> autre que celle des prises d’air, des réservoirs de carburant, du chargement ou des parties chaudes du véhicule et ne doivent pas affecter les surfaces fermées, les autres véhicules, les systèmes montés à l’extérieur avec une prise d’air (par exemple les systèmes de climatisation), l’admission du moteur ou l’échappement du moteur. Les tuyaux du circuit d’alimentation ne doivent pas être fixés sur le réservoir contenant le chargement. </w:t>
      </w:r>
      <w:r w:rsidRPr="00D27F20">
        <w:rPr>
          <w:lang w:val="fr-FR"/>
        </w:rPr>
        <w:t xml:space="preserve">». </w:t>
      </w:r>
    </w:p>
    <w:p w:rsidR="006E3D56" w:rsidRPr="00D27F20" w:rsidRDefault="006E3D56" w:rsidP="00F36958">
      <w:pPr>
        <w:pStyle w:val="SingleTxtG"/>
        <w:rPr>
          <w:iCs/>
          <w:lang w:val="fr-FR"/>
        </w:rPr>
      </w:pPr>
      <w:r w:rsidRPr="00D27F20">
        <w:rPr>
          <w:i/>
          <w:iCs/>
          <w:lang w:val="fr-FR"/>
        </w:rPr>
        <w:t xml:space="preserve">Le paragraphe 5.1.2.4 </w:t>
      </w:r>
      <w:r w:rsidRPr="00D27F20">
        <w:rPr>
          <w:lang w:val="fr-FR"/>
        </w:rPr>
        <w:t xml:space="preserve">devient le paragraphe 5.1.3.3 et est </w:t>
      </w:r>
      <w:r w:rsidRPr="00F36958">
        <w:rPr>
          <w:rFonts w:eastAsia="Times New Roman"/>
        </w:rPr>
        <w:t>modifié</w:t>
      </w:r>
      <w:r w:rsidRPr="00D27F20">
        <w:rPr>
          <w:lang w:val="fr-FR"/>
        </w:rPr>
        <w:t xml:space="preserve"> comme suit : </w:t>
      </w:r>
    </w:p>
    <w:p w:rsidR="006E3D56" w:rsidRPr="00D27F20" w:rsidRDefault="006E3D56" w:rsidP="00F36958">
      <w:pPr>
        <w:pStyle w:val="SingleTxtG"/>
        <w:ind w:left="2268" w:hanging="1134"/>
        <w:rPr>
          <w:iCs/>
          <w:lang w:val="fr-FR"/>
        </w:rPr>
      </w:pPr>
      <w:r w:rsidRPr="00D27F20">
        <w:rPr>
          <w:iCs/>
          <w:lang w:val="fr-FR"/>
        </w:rPr>
        <w:t>« 5.1.3.3</w:t>
      </w:r>
      <w:r w:rsidRPr="00D27F20">
        <w:rPr>
          <w:iCs/>
          <w:lang w:val="fr-FR"/>
        </w:rPr>
        <w:tab/>
      </w:r>
      <w:r w:rsidRPr="00F36958">
        <w:rPr>
          <w:rFonts w:eastAsia="Times New Roman"/>
        </w:rPr>
        <w:t>Moteur</w:t>
      </w:r>
    </w:p>
    <w:p w:rsidR="006E3D56" w:rsidRPr="00D27F20" w:rsidRDefault="006E3D56" w:rsidP="001F28D5">
      <w:pPr>
        <w:pStyle w:val="SingleTxtG"/>
        <w:ind w:left="2268"/>
        <w:rPr>
          <w:lang w:val="fr-FR"/>
        </w:rPr>
      </w:pPr>
      <w:r w:rsidRPr="00D27F20">
        <w:rPr>
          <w:lang w:val="fr-FR"/>
        </w:rPr>
        <w:tab/>
        <w:t xml:space="preserve">Le moteur entraînant le véhicule doit être équipé et placé de façon à éviter tout danger pour le chargement à la suite d’un échauffement ou d’une inflammation. </w:t>
      </w:r>
      <w:r w:rsidRPr="00D27F20">
        <w:rPr>
          <w:bCs/>
          <w:lang w:val="fr-FR"/>
        </w:rPr>
        <w:t xml:space="preserve">L’utilisation de GNC ou de GNL comme carburant ne doit être admise que si les organes spéciaux pour le GNC et le GNL sont homologués conformément au Règlement </w:t>
      </w:r>
      <w:r w:rsidRPr="00D27F20">
        <w:rPr>
          <w:rFonts w:eastAsia="MS Mincho"/>
          <w:bCs/>
          <w:lang w:val="fr-FR"/>
        </w:rPr>
        <w:t>n</w:t>
      </w:r>
      <w:r w:rsidRPr="00D27F20">
        <w:rPr>
          <w:rFonts w:eastAsia="MS Mincho"/>
          <w:bCs/>
          <w:vertAlign w:val="superscript"/>
          <w:lang w:val="fr-FR"/>
        </w:rPr>
        <w:t>o</w:t>
      </w:r>
      <w:r w:rsidRPr="00D27F20">
        <w:rPr>
          <w:bCs/>
          <w:lang w:val="fr-FR"/>
        </w:rPr>
        <w:t xml:space="preserve"> 110 et satisfont aux prescriptions du paragraphe 5.1.1. L’installation sur le véhicule doit être conforme aux prescriptions techniques du paragraphe 5.1.1 et du Règlement </w:t>
      </w:r>
      <w:r w:rsidRPr="00D27F20">
        <w:rPr>
          <w:rFonts w:eastAsia="MS Mincho"/>
          <w:bCs/>
          <w:lang w:val="fr-FR"/>
        </w:rPr>
        <w:t>n</w:t>
      </w:r>
      <w:r w:rsidRPr="00D27F20">
        <w:rPr>
          <w:rFonts w:eastAsia="MS Mincho"/>
          <w:bCs/>
          <w:vertAlign w:val="superscript"/>
          <w:lang w:val="fr-FR"/>
        </w:rPr>
        <w:t>o</w:t>
      </w:r>
      <w:r w:rsidRPr="00D27F20">
        <w:rPr>
          <w:bCs/>
          <w:lang w:val="fr-FR"/>
        </w:rPr>
        <w:t> 110. L’utilisation de GPL comme carburant ne doit être admise que si les organes spéciaux pour le GPL sont homologués conformément au Règlement n</w:t>
      </w:r>
      <w:r w:rsidRPr="00D27F20">
        <w:rPr>
          <w:bCs/>
          <w:vertAlign w:val="superscript"/>
          <w:lang w:val="fr-FR"/>
        </w:rPr>
        <w:t>o</w:t>
      </w:r>
      <w:r w:rsidRPr="00D27F20">
        <w:rPr>
          <w:bCs/>
          <w:lang w:val="fr-FR"/>
        </w:rPr>
        <w:t xml:space="preserve"> 67 et satisfont aux prescriptions du paragraphe 5.1.1. </w:t>
      </w:r>
      <w:r w:rsidRPr="00D27F20">
        <w:rPr>
          <w:lang w:val="fr-FR"/>
        </w:rPr>
        <w:t xml:space="preserve">L’installation sur le véhicule doit être conforme aux prescriptions techniques du paragraphe 5.1.1 et du Règlement </w:t>
      </w:r>
      <w:r w:rsidRPr="00D27F20">
        <w:rPr>
          <w:rFonts w:eastAsia="MS Mincho"/>
          <w:lang w:val="fr-FR"/>
        </w:rPr>
        <w:t>n</w:t>
      </w:r>
      <w:r w:rsidRPr="00D27F20">
        <w:rPr>
          <w:rFonts w:eastAsia="MS Mincho"/>
          <w:vertAlign w:val="superscript"/>
          <w:lang w:val="fr-FR"/>
        </w:rPr>
        <w:t>o</w:t>
      </w:r>
      <w:r w:rsidRPr="00D27F20">
        <w:rPr>
          <w:lang w:val="fr-FR"/>
        </w:rPr>
        <w:t xml:space="preserve"> 67. Dans le cas de véhicules portant les désignations EX/II </w:t>
      </w:r>
      <w:r w:rsidRPr="00D27F20">
        <w:rPr>
          <w:bCs/>
          <w:lang w:val="fr-FR"/>
        </w:rPr>
        <w:t xml:space="preserve">et </w:t>
      </w:r>
      <w:r w:rsidRPr="00D27F20">
        <w:rPr>
          <w:lang w:val="fr-FR"/>
        </w:rPr>
        <w:t xml:space="preserve">EX/III, le moteur doit être à allumage par compression </w:t>
      </w:r>
      <w:r w:rsidRPr="00D27F20">
        <w:rPr>
          <w:bCs/>
          <w:lang w:val="fr-FR"/>
        </w:rPr>
        <w:t>et fonctionner uniquement avec des carburants liquides dont le point d’éclair est supérieur à 55 °C. Les gaz ne doivent pas être utilisés. </w:t>
      </w:r>
      <w:r w:rsidRPr="00D27F20">
        <w:rPr>
          <w:lang w:val="fr-FR"/>
        </w:rPr>
        <w:t xml:space="preserve">». </w:t>
      </w:r>
    </w:p>
    <w:p w:rsidR="006E3D56" w:rsidRPr="00D27F20" w:rsidRDefault="006E3D56" w:rsidP="00F36958">
      <w:pPr>
        <w:pStyle w:val="SingleTxtG"/>
        <w:rPr>
          <w:iCs/>
          <w:lang w:val="fr-FR"/>
        </w:rPr>
      </w:pPr>
      <w:r w:rsidRPr="00D27F20">
        <w:rPr>
          <w:i/>
          <w:iCs/>
          <w:lang w:val="fr-FR"/>
        </w:rPr>
        <w:t xml:space="preserve">Les paragraphes 5.1.2.5 à 5.1.2.7.1 </w:t>
      </w:r>
      <w:r w:rsidRPr="00D27F20">
        <w:rPr>
          <w:lang w:val="fr-FR"/>
        </w:rPr>
        <w:t xml:space="preserve">deviennent les </w:t>
      </w:r>
      <w:r w:rsidRPr="00F36958">
        <w:rPr>
          <w:rFonts w:eastAsia="Times New Roman"/>
        </w:rPr>
        <w:t>paragraphes</w:t>
      </w:r>
      <w:r w:rsidRPr="00D27F20">
        <w:rPr>
          <w:lang w:val="fr-FR"/>
        </w:rPr>
        <w:t xml:space="preserve"> 5.1.3.4 à 5.1.3.6.1</w:t>
      </w:r>
      <w:r w:rsidRPr="00D27F20">
        <w:rPr>
          <w:iCs/>
          <w:lang w:val="fr-FR"/>
        </w:rPr>
        <w:t>.</w:t>
      </w:r>
    </w:p>
    <w:p w:rsidR="006E3D56" w:rsidRPr="00D27F20" w:rsidRDefault="006E3D56" w:rsidP="00F36958">
      <w:pPr>
        <w:pStyle w:val="SingleTxtG"/>
        <w:rPr>
          <w:lang w:val="fr-FR"/>
        </w:rPr>
      </w:pPr>
      <w:r w:rsidRPr="00D27F20">
        <w:rPr>
          <w:i/>
          <w:lang w:val="fr-FR"/>
        </w:rPr>
        <w:t xml:space="preserve">Les paragraphes 5.1.3 à 5.1.3.1 </w:t>
      </w:r>
      <w:r w:rsidRPr="00D27F20">
        <w:rPr>
          <w:lang w:val="fr-FR"/>
        </w:rPr>
        <w:t>deviennent les</w:t>
      </w:r>
      <w:r w:rsidRPr="00D27F20">
        <w:rPr>
          <w:i/>
          <w:lang w:val="fr-FR"/>
        </w:rPr>
        <w:t xml:space="preserve"> </w:t>
      </w:r>
      <w:r w:rsidRPr="00F36958">
        <w:rPr>
          <w:rFonts w:eastAsia="Times New Roman"/>
        </w:rPr>
        <w:t>paragraphes</w:t>
      </w:r>
      <w:r w:rsidRPr="00D27F20">
        <w:rPr>
          <w:lang w:val="fr-FR"/>
        </w:rPr>
        <w:t xml:space="preserve"> 5.1.2 à 5.1.2.1 et sont modifiés comme suit :</w:t>
      </w:r>
    </w:p>
    <w:p w:rsidR="006E3D56" w:rsidRPr="00D27F20" w:rsidRDefault="006E3D56" w:rsidP="00F36958">
      <w:pPr>
        <w:pStyle w:val="SingleTxtG"/>
        <w:ind w:left="2268" w:hanging="1134"/>
        <w:rPr>
          <w:lang w:val="fr-FR"/>
        </w:rPr>
      </w:pPr>
      <w:r w:rsidRPr="00D27F20">
        <w:rPr>
          <w:lang w:val="fr-FR"/>
        </w:rPr>
        <w:t>« 5.1.2</w:t>
      </w:r>
      <w:r w:rsidRPr="00D27F20">
        <w:rPr>
          <w:lang w:val="fr-FR"/>
        </w:rPr>
        <w:tab/>
      </w:r>
      <w:r w:rsidRPr="00D27F20">
        <w:rPr>
          <w:lang w:val="fr-FR"/>
        </w:rPr>
        <w:tab/>
      </w:r>
      <w:r w:rsidRPr="00F36958">
        <w:rPr>
          <w:rFonts w:eastAsia="Times New Roman"/>
        </w:rPr>
        <w:t>Équipement</w:t>
      </w:r>
      <w:r w:rsidRPr="00D27F20">
        <w:rPr>
          <w:bCs/>
          <w:lang w:val="fr-FR"/>
        </w:rPr>
        <w:t xml:space="preserve"> </w:t>
      </w:r>
      <w:r w:rsidRPr="00D27F20">
        <w:rPr>
          <w:lang w:val="fr-FR"/>
        </w:rPr>
        <w:t xml:space="preserve">de freinage </w:t>
      </w:r>
    </w:p>
    <w:p w:rsidR="006E3D56" w:rsidRPr="00D27F20" w:rsidRDefault="006E3D56" w:rsidP="00F36958">
      <w:pPr>
        <w:pStyle w:val="SingleTxtG"/>
        <w:ind w:left="2268" w:hanging="1134"/>
        <w:rPr>
          <w:lang w:val="fr-FR"/>
        </w:rPr>
      </w:pPr>
      <w:r w:rsidRPr="00D27F20">
        <w:rPr>
          <w:lang w:val="fr-FR"/>
        </w:rPr>
        <w:t>5.1.2.1</w:t>
      </w:r>
      <w:r w:rsidRPr="00D27F20">
        <w:rPr>
          <w:lang w:val="fr-FR"/>
        </w:rPr>
        <w:tab/>
        <w:t xml:space="preserve">Les </w:t>
      </w:r>
      <w:r w:rsidRPr="00F36958">
        <w:rPr>
          <w:rFonts w:eastAsia="Times New Roman"/>
        </w:rPr>
        <w:t>véhicules</w:t>
      </w:r>
      <w:r w:rsidRPr="00D27F20">
        <w:rPr>
          <w:lang w:val="fr-FR"/>
        </w:rPr>
        <w:t xml:space="preserve"> portant les désignations </w:t>
      </w:r>
      <w:r w:rsidR="001F28D5" w:rsidRPr="00D27F20">
        <w:rPr>
          <w:lang w:val="fr-FR"/>
        </w:rPr>
        <w:t>EX/II,</w:t>
      </w:r>
      <w:r w:rsidR="001F28D5">
        <w:rPr>
          <w:lang w:val="fr-FR"/>
        </w:rPr>
        <w:t xml:space="preserve"> </w:t>
      </w:r>
      <w:r w:rsidRPr="00D27F20">
        <w:rPr>
          <w:lang w:val="fr-FR"/>
        </w:rPr>
        <w:t xml:space="preserve">EX/III, AT, FL et MEMU doivent respecter toutes les prescriptions pertinentes du Règlement </w:t>
      </w:r>
      <w:r w:rsidRPr="00D27F20">
        <w:rPr>
          <w:rFonts w:eastAsia="MS Mincho"/>
          <w:lang w:val="fr-FR"/>
        </w:rPr>
        <w:t>n</w:t>
      </w:r>
      <w:r w:rsidRPr="00D27F20">
        <w:rPr>
          <w:rFonts w:eastAsia="MS Mincho"/>
          <w:vertAlign w:val="superscript"/>
          <w:lang w:val="fr-FR"/>
        </w:rPr>
        <w:t>o</w:t>
      </w:r>
      <w:r w:rsidRPr="00D27F20">
        <w:rPr>
          <w:lang w:val="fr-FR"/>
        </w:rPr>
        <w:t> 13, y compris celles de l’annexe 5. ».</w:t>
      </w:r>
    </w:p>
    <w:p w:rsidR="006E3D56" w:rsidRPr="00D27F20" w:rsidRDefault="006E3D56" w:rsidP="00F36958">
      <w:pPr>
        <w:pStyle w:val="SingleTxtG"/>
        <w:rPr>
          <w:lang w:val="fr-FR"/>
        </w:rPr>
      </w:pPr>
      <w:r w:rsidRPr="00D27F20">
        <w:rPr>
          <w:i/>
          <w:lang w:val="fr-FR"/>
        </w:rPr>
        <w:t>Paragraphe 5.1.3.2 (ancien)</w:t>
      </w:r>
      <w:r w:rsidR="00C040EF" w:rsidRPr="00C040EF">
        <w:rPr>
          <w:lang w:val="fr-FR"/>
        </w:rPr>
        <w:t>,</w:t>
      </w:r>
      <w:r w:rsidRPr="00D27F20">
        <w:rPr>
          <w:lang w:val="fr-FR"/>
        </w:rPr>
        <w:t xml:space="preserve"> </w:t>
      </w:r>
      <w:r w:rsidRPr="00F36958">
        <w:rPr>
          <w:rFonts w:eastAsia="Times New Roman"/>
        </w:rPr>
        <w:t>supprimer</w:t>
      </w:r>
      <w:r w:rsidRPr="00D27F20">
        <w:rPr>
          <w:lang w:val="fr-FR"/>
        </w:rPr>
        <w:t>.</w:t>
      </w:r>
    </w:p>
    <w:p w:rsidR="006E3D56" w:rsidRPr="00D27F20" w:rsidRDefault="006E3D56" w:rsidP="00F36958">
      <w:pPr>
        <w:pStyle w:val="SingleTxtG"/>
        <w:rPr>
          <w:iCs/>
          <w:lang w:val="fr-FR"/>
        </w:rPr>
      </w:pPr>
      <w:r w:rsidRPr="00D27F20">
        <w:rPr>
          <w:i/>
          <w:iCs/>
          <w:lang w:val="fr-FR"/>
        </w:rPr>
        <w:t>Paragraphe 5.1.5</w:t>
      </w:r>
      <w:r w:rsidR="00C040EF" w:rsidRPr="00C040EF">
        <w:rPr>
          <w:iCs/>
          <w:lang w:val="fr-FR"/>
        </w:rPr>
        <w:t>,</w:t>
      </w:r>
      <w:r w:rsidRPr="00D27F20">
        <w:rPr>
          <w:iCs/>
          <w:lang w:val="fr-FR"/>
        </w:rPr>
        <w:t xml:space="preserve"> modifier comme </w:t>
      </w:r>
      <w:r w:rsidRPr="00F36958">
        <w:rPr>
          <w:rFonts w:eastAsia="Times New Roman"/>
        </w:rPr>
        <w:t>suit</w:t>
      </w:r>
      <w:r w:rsidRPr="00D27F20">
        <w:rPr>
          <w:iCs/>
          <w:lang w:val="fr-FR"/>
        </w:rPr>
        <w:t> :</w:t>
      </w:r>
    </w:p>
    <w:p w:rsidR="006E3D56" w:rsidRPr="00D27F20" w:rsidRDefault="006E3D56" w:rsidP="00F36958">
      <w:pPr>
        <w:pStyle w:val="SingleTxtG"/>
        <w:ind w:left="2268" w:hanging="1134"/>
        <w:rPr>
          <w:lang w:val="fr-FR"/>
        </w:rPr>
      </w:pPr>
      <w:r w:rsidRPr="00D27F20">
        <w:rPr>
          <w:lang w:val="fr-FR"/>
        </w:rPr>
        <w:t>« 5.1.5</w:t>
      </w:r>
      <w:r w:rsidRPr="00D27F20">
        <w:rPr>
          <w:lang w:val="fr-FR"/>
        </w:rPr>
        <w:tab/>
      </w:r>
      <w:r w:rsidRPr="00D27F20">
        <w:rPr>
          <w:lang w:val="fr-FR"/>
        </w:rPr>
        <w:tab/>
      </w:r>
      <w:r w:rsidRPr="00F36958">
        <w:rPr>
          <w:rFonts w:eastAsia="Times New Roman"/>
        </w:rPr>
        <w:t>Dispositifs</w:t>
      </w:r>
      <w:r w:rsidRPr="00D27F20">
        <w:rPr>
          <w:lang w:val="fr-FR"/>
        </w:rPr>
        <w:t xml:space="preserve"> d’attelage </w:t>
      </w:r>
      <w:r w:rsidRPr="00DC083E">
        <w:rPr>
          <w:lang w:val="fr-FR"/>
        </w:rPr>
        <w:t>de</w:t>
      </w:r>
      <w:r w:rsidRPr="00DC083E">
        <w:rPr>
          <w:bCs/>
          <w:lang w:val="fr-FR"/>
        </w:rPr>
        <w:t>s véhicules à moteur et des</w:t>
      </w:r>
      <w:r w:rsidRPr="00D27F20">
        <w:rPr>
          <w:b/>
          <w:bCs/>
          <w:lang w:val="fr-FR"/>
        </w:rPr>
        <w:t xml:space="preserve"> </w:t>
      </w:r>
      <w:r w:rsidRPr="00D27F20">
        <w:rPr>
          <w:lang w:val="fr-FR"/>
        </w:rPr>
        <w:t>remorque</w:t>
      </w:r>
      <w:r w:rsidRPr="00D27F20">
        <w:rPr>
          <w:b/>
          <w:bCs/>
          <w:lang w:val="fr-FR"/>
        </w:rPr>
        <w:t xml:space="preserve">s </w:t>
      </w:r>
    </w:p>
    <w:p w:rsidR="006E3D56" w:rsidRPr="00D27F20" w:rsidRDefault="006E3D56" w:rsidP="00F36958">
      <w:pPr>
        <w:pStyle w:val="SingleTxtG"/>
        <w:ind w:left="2268"/>
        <w:rPr>
          <w:lang w:val="fr-FR"/>
        </w:rPr>
      </w:pPr>
      <w:r w:rsidRPr="00D27F20">
        <w:rPr>
          <w:lang w:val="fr-FR"/>
        </w:rPr>
        <w:tab/>
        <w:t xml:space="preserve">Les dispositifs d’attelage </w:t>
      </w:r>
      <w:r w:rsidRPr="00DC083E">
        <w:rPr>
          <w:bCs/>
          <w:lang w:val="fr-FR"/>
        </w:rPr>
        <w:t xml:space="preserve">des véhicules à moteur et </w:t>
      </w:r>
      <w:r w:rsidRPr="00DC083E">
        <w:rPr>
          <w:lang w:val="fr-FR"/>
        </w:rPr>
        <w:t>de</w:t>
      </w:r>
      <w:r w:rsidRPr="00DC083E">
        <w:rPr>
          <w:bCs/>
          <w:lang w:val="fr-FR"/>
        </w:rPr>
        <w:t xml:space="preserve">s </w:t>
      </w:r>
      <w:r w:rsidRPr="00DC083E">
        <w:rPr>
          <w:lang w:val="fr-FR"/>
        </w:rPr>
        <w:t>remorque</w:t>
      </w:r>
      <w:r w:rsidRPr="00DC083E">
        <w:rPr>
          <w:bCs/>
          <w:lang w:val="fr-FR"/>
        </w:rPr>
        <w:t xml:space="preserve">s </w:t>
      </w:r>
      <w:r w:rsidRPr="00DC083E">
        <w:rPr>
          <w:lang w:val="fr-FR"/>
        </w:rPr>
        <w:t>doivent être conformes aux prescriptions t</w:t>
      </w:r>
      <w:r w:rsidRPr="00D27F20">
        <w:rPr>
          <w:lang w:val="fr-FR"/>
        </w:rPr>
        <w:t xml:space="preserve">echniques du Règlement </w:t>
      </w:r>
      <w:r w:rsidRPr="00D27F20">
        <w:rPr>
          <w:rFonts w:eastAsia="MS Mincho"/>
          <w:lang w:val="fr-FR"/>
        </w:rPr>
        <w:t>n</w:t>
      </w:r>
      <w:r w:rsidRPr="00D27F20">
        <w:rPr>
          <w:rFonts w:eastAsia="MS Mincho"/>
          <w:vertAlign w:val="superscript"/>
          <w:lang w:val="fr-FR"/>
        </w:rPr>
        <w:t>o</w:t>
      </w:r>
      <w:r w:rsidRPr="00D27F20">
        <w:rPr>
          <w:lang w:val="fr-FR"/>
        </w:rPr>
        <w:t xml:space="preserve"> 55. ». </w:t>
      </w:r>
    </w:p>
    <w:p w:rsidR="006E3D56" w:rsidRPr="00D27F20" w:rsidRDefault="006E3D56" w:rsidP="00F36958">
      <w:pPr>
        <w:pStyle w:val="SingleTxtG"/>
        <w:rPr>
          <w:iCs/>
          <w:lang w:val="fr-FR"/>
        </w:rPr>
      </w:pPr>
      <w:r w:rsidRPr="00D27F20">
        <w:rPr>
          <w:i/>
          <w:iCs/>
          <w:lang w:val="fr-FR"/>
        </w:rPr>
        <w:t>Ajouter de nouveaux paragraphes, 5.1.6 et 5.1.6.1</w:t>
      </w:r>
      <w:r w:rsidR="00C040EF" w:rsidRPr="00C040EF">
        <w:rPr>
          <w:iCs/>
          <w:lang w:val="fr-FR"/>
        </w:rPr>
        <w:t>,</w:t>
      </w:r>
      <w:r w:rsidRPr="00D27F20">
        <w:rPr>
          <w:iCs/>
          <w:lang w:val="fr-FR"/>
        </w:rPr>
        <w:t xml:space="preserve"> libellés </w:t>
      </w:r>
      <w:r w:rsidRPr="00F36958">
        <w:rPr>
          <w:rFonts w:eastAsia="Times New Roman"/>
        </w:rPr>
        <w:t>comme</w:t>
      </w:r>
      <w:r w:rsidRPr="00D27F20">
        <w:rPr>
          <w:iCs/>
          <w:lang w:val="fr-FR"/>
        </w:rPr>
        <w:t xml:space="preserve"> suit :</w:t>
      </w:r>
    </w:p>
    <w:p w:rsidR="006E3D56" w:rsidRPr="00D27F20" w:rsidRDefault="006E3D56" w:rsidP="00F36958">
      <w:pPr>
        <w:pStyle w:val="SingleTxtG"/>
        <w:ind w:left="2268" w:hanging="1134"/>
        <w:rPr>
          <w:iCs/>
          <w:lang w:val="fr-FR"/>
        </w:rPr>
      </w:pPr>
      <w:r w:rsidRPr="00D27F20">
        <w:rPr>
          <w:iCs/>
          <w:lang w:val="fr-FR"/>
        </w:rPr>
        <w:t>« 5.1.6</w:t>
      </w:r>
      <w:r w:rsidRPr="00D27F20">
        <w:rPr>
          <w:iCs/>
          <w:lang w:val="fr-FR"/>
        </w:rPr>
        <w:tab/>
      </w:r>
      <w:r w:rsidRPr="00D27F20">
        <w:rPr>
          <w:bCs/>
          <w:lang w:val="fr-FR"/>
        </w:rPr>
        <w:t xml:space="preserve">Prévention </w:t>
      </w:r>
      <w:r w:rsidRPr="00F36958">
        <w:rPr>
          <w:rFonts w:eastAsia="Times New Roman"/>
        </w:rPr>
        <w:t>des</w:t>
      </w:r>
      <w:r w:rsidRPr="00D27F20">
        <w:rPr>
          <w:bCs/>
          <w:lang w:val="fr-FR"/>
        </w:rPr>
        <w:t xml:space="preserve"> autres risques dus aux carburants</w:t>
      </w:r>
    </w:p>
    <w:p w:rsidR="006E3D56" w:rsidRPr="00D27F20" w:rsidRDefault="006E3D56" w:rsidP="00F36958">
      <w:pPr>
        <w:pStyle w:val="SingleTxtG"/>
        <w:ind w:left="2268" w:hanging="1134"/>
        <w:rPr>
          <w:iCs/>
          <w:lang w:val="fr-FR"/>
        </w:rPr>
      </w:pPr>
      <w:r w:rsidRPr="00D27F20">
        <w:rPr>
          <w:iCs/>
          <w:lang w:val="fr-FR"/>
        </w:rPr>
        <w:t>5.1.6.1</w:t>
      </w:r>
      <w:r w:rsidRPr="00D27F20">
        <w:rPr>
          <w:iCs/>
          <w:lang w:val="fr-FR"/>
        </w:rPr>
        <w:tab/>
      </w:r>
      <w:r w:rsidRPr="00D27F20">
        <w:rPr>
          <w:bCs/>
          <w:lang w:val="fr-FR"/>
        </w:rPr>
        <w:t xml:space="preserve">Les circuits </w:t>
      </w:r>
      <w:r w:rsidRPr="00F36958">
        <w:rPr>
          <w:rFonts w:eastAsia="Times New Roman"/>
        </w:rPr>
        <w:t>de</w:t>
      </w:r>
      <w:r w:rsidRPr="00D27F20">
        <w:rPr>
          <w:bCs/>
          <w:lang w:val="fr-FR"/>
        </w:rPr>
        <w:t xml:space="preserve"> carburant des moteurs fonctionnant au GNL doivent être équipés et placés de façon à éviter tout danger pour le chargement dû au fait que le gaz est réfrigéré. </w:t>
      </w:r>
      <w:r w:rsidRPr="00D27F20">
        <w:rPr>
          <w:lang w:val="fr-FR"/>
        </w:rPr>
        <w:t xml:space="preserve">». </w:t>
      </w:r>
    </w:p>
    <w:p w:rsidR="006E3D56" w:rsidRPr="00D27F20" w:rsidRDefault="006E3D56" w:rsidP="00F36958">
      <w:pPr>
        <w:pStyle w:val="SingleTxtG"/>
        <w:rPr>
          <w:iCs/>
          <w:lang w:val="fr-FR"/>
        </w:rPr>
      </w:pPr>
      <w:r w:rsidRPr="00D27F20">
        <w:rPr>
          <w:i/>
          <w:iCs/>
          <w:lang w:val="fr-FR"/>
        </w:rPr>
        <w:t>Paragraphes 10 à 10.4</w:t>
      </w:r>
      <w:r w:rsidR="00C040EF" w:rsidRPr="00C040EF">
        <w:rPr>
          <w:iCs/>
          <w:lang w:val="fr-FR"/>
        </w:rPr>
        <w:t>,</w:t>
      </w:r>
      <w:r w:rsidRPr="00D27F20">
        <w:rPr>
          <w:i/>
          <w:iCs/>
          <w:lang w:val="fr-FR"/>
        </w:rPr>
        <w:t xml:space="preserve"> </w:t>
      </w:r>
      <w:r w:rsidRPr="00D27F20">
        <w:rPr>
          <w:iCs/>
          <w:lang w:val="fr-FR"/>
        </w:rPr>
        <w:t>modifier comme suit :</w:t>
      </w:r>
    </w:p>
    <w:p w:rsidR="006E3D56" w:rsidRPr="00D27F20" w:rsidRDefault="006E3D56" w:rsidP="001F28D5">
      <w:pPr>
        <w:pStyle w:val="HChG"/>
        <w:ind w:left="2268"/>
        <w:rPr>
          <w:lang w:val="fr-FR"/>
        </w:rPr>
      </w:pPr>
      <w:r w:rsidRPr="00F36958">
        <w:rPr>
          <w:b w:val="0"/>
          <w:sz w:val="20"/>
          <w:lang w:val="fr-FR"/>
        </w:rPr>
        <w:t>«</w:t>
      </w:r>
      <w:r w:rsidRPr="00D27F20">
        <w:rPr>
          <w:lang w:val="fr-FR"/>
        </w:rPr>
        <w:t> 10</w:t>
      </w:r>
      <w:r w:rsidR="001F28D5">
        <w:rPr>
          <w:lang w:val="fr-FR"/>
        </w:rPr>
        <w:t>.</w:t>
      </w:r>
      <w:r w:rsidRPr="00D27F20">
        <w:rPr>
          <w:lang w:val="fr-FR"/>
        </w:rPr>
        <w:tab/>
        <w:t xml:space="preserve">Dispositions </w:t>
      </w:r>
      <w:r w:rsidRPr="00F36958">
        <w:rPr>
          <w:rFonts w:eastAsia="Times New Roman"/>
        </w:rPr>
        <w:t>transitoires</w:t>
      </w:r>
      <w:r w:rsidRPr="00D27F20">
        <w:rPr>
          <w:lang w:val="fr-FR"/>
        </w:rPr>
        <w:t xml:space="preserve"> </w:t>
      </w:r>
    </w:p>
    <w:p w:rsidR="006E3D56" w:rsidRPr="00D27F20" w:rsidRDefault="006E3D56" w:rsidP="00F36958">
      <w:pPr>
        <w:pStyle w:val="SingleTxtG"/>
        <w:ind w:left="2268" w:hanging="1134"/>
        <w:rPr>
          <w:lang w:val="fr-FR"/>
        </w:rPr>
      </w:pPr>
      <w:r w:rsidRPr="00D27F20">
        <w:rPr>
          <w:lang w:val="fr-FR"/>
        </w:rPr>
        <w:t>10.1</w:t>
      </w:r>
      <w:r w:rsidRPr="00D27F20">
        <w:rPr>
          <w:lang w:val="fr-FR"/>
        </w:rPr>
        <w:tab/>
        <w:t>À compter de la date officielle d’entrée en vigueur de la série </w:t>
      </w:r>
      <w:r w:rsidRPr="00D27F20">
        <w:rPr>
          <w:bCs/>
          <w:lang w:val="fr-FR"/>
        </w:rPr>
        <w:t xml:space="preserve">06 </w:t>
      </w:r>
      <w:r w:rsidRPr="00D27F20">
        <w:rPr>
          <w:lang w:val="fr-FR"/>
        </w:rPr>
        <w:t xml:space="preserve">d’amendements, aucune Partie contractante appliquant le présent Règlement ne peut </w:t>
      </w:r>
      <w:r w:rsidRPr="00F36958">
        <w:rPr>
          <w:rFonts w:eastAsia="Times New Roman"/>
        </w:rPr>
        <w:t>refuser</w:t>
      </w:r>
      <w:r w:rsidRPr="00D27F20">
        <w:rPr>
          <w:lang w:val="fr-FR"/>
        </w:rPr>
        <w:t xml:space="preserve"> de délivrer une homologation CEE conformément au présent Règlement tel </w:t>
      </w:r>
      <w:r w:rsidRPr="00F36958">
        <w:rPr>
          <w:rFonts w:eastAsia="Times New Roman"/>
        </w:rPr>
        <w:t>que</w:t>
      </w:r>
      <w:r w:rsidRPr="00D27F20">
        <w:rPr>
          <w:lang w:val="fr-FR"/>
        </w:rPr>
        <w:t xml:space="preserve"> modifié par la série </w:t>
      </w:r>
      <w:r w:rsidRPr="00D27F20">
        <w:rPr>
          <w:bCs/>
          <w:lang w:val="fr-FR"/>
        </w:rPr>
        <w:t xml:space="preserve">06 </w:t>
      </w:r>
      <w:r w:rsidRPr="00D27F20">
        <w:rPr>
          <w:lang w:val="fr-FR"/>
        </w:rPr>
        <w:t>d’amendements.</w:t>
      </w:r>
    </w:p>
    <w:p w:rsidR="006E3D56" w:rsidRPr="00F36958" w:rsidRDefault="006E3D56" w:rsidP="00F36958">
      <w:pPr>
        <w:pStyle w:val="SingleTxtG"/>
        <w:ind w:left="2268" w:hanging="1134"/>
        <w:rPr>
          <w:rFonts w:eastAsia="Times New Roman"/>
        </w:rPr>
      </w:pPr>
      <w:r w:rsidRPr="00D27F20">
        <w:rPr>
          <w:lang w:val="fr-FR"/>
        </w:rPr>
        <w:t>10.2</w:t>
      </w:r>
      <w:r w:rsidRPr="00D27F20">
        <w:rPr>
          <w:lang w:val="fr-FR"/>
        </w:rPr>
        <w:tab/>
        <w:t>À compter du 1</w:t>
      </w:r>
      <w:r w:rsidRPr="00D27F20">
        <w:rPr>
          <w:vertAlign w:val="superscript"/>
          <w:lang w:val="fr-FR"/>
        </w:rPr>
        <w:t>er</w:t>
      </w:r>
      <w:r w:rsidRPr="00D27F20">
        <w:rPr>
          <w:lang w:val="fr-FR"/>
        </w:rPr>
        <w:t xml:space="preserve"> avril </w:t>
      </w:r>
      <w:r w:rsidRPr="00D27F20">
        <w:rPr>
          <w:bCs/>
          <w:lang w:val="fr-FR"/>
        </w:rPr>
        <w:t>2018</w:t>
      </w:r>
      <w:r w:rsidRPr="00D27F20">
        <w:rPr>
          <w:lang w:val="fr-FR"/>
        </w:rPr>
        <w:t xml:space="preserve">, les Parties contractantes appliquant le présent Règlement ne doivent délivrer une homologation </w:t>
      </w:r>
      <w:r w:rsidRPr="00F36958">
        <w:rPr>
          <w:rFonts w:eastAsia="Times New Roman"/>
        </w:rPr>
        <w:t>CEE</w:t>
      </w:r>
      <w:r w:rsidRPr="00D27F20">
        <w:rPr>
          <w:lang w:val="fr-FR"/>
        </w:rPr>
        <w:t xml:space="preserve"> que si le type de véhicule à homologuer satisfait aux prescriptions du présent Règlement tel </w:t>
      </w:r>
      <w:r w:rsidRPr="00F36958">
        <w:rPr>
          <w:rFonts w:eastAsia="Times New Roman"/>
        </w:rPr>
        <w:t xml:space="preserve">que modifié par la série 06 d’amendements. </w:t>
      </w:r>
    </w:p>
    <w:p w:rsidR="006E3D56" w:rsidRPr="00D27F20" w:rsidRDefault="006E3D56" w:rsidP="00F36958">
      <w:pPr>
        <w:pStyle w:val="SingleTxtG"/>
        <w:ind w:left="2268" w:hanging="1134"/>
        <w:rPr>
          <w:lang w:val="fr-FR"/>
        </w:rPr>
      </w:pPr>
      <w:r w:rsidRPr="00D27F20">
        <w:rPr>
          <w:lang w:val="fr-FR"/>
        </w:rPr>
        <w:t>10.3</w:t>
      </w:r>
      <w:r w:rsidRPr="00D27F20">
        <w:rPr>
          <w:lang w:val="fr-FR"/>
        </w:rPr>
        <w:tab/>
        <w:t xml:space="preserve">Jusqu’au </w:t>
      </w:r>
      <w:r w:rsidRPr="00F36958">
        <w:rPr>
          <w:rFonts w:eastAsia="Times New Roman"/>
        </w:rPr>
        <w:t>31</w:t>
      </w:r>
      <w:r w:rsidRPr="00D27F20">
        <w:rPr>
          <w:lang w:val="fr-FR"/>
        </w:rPr>
        <w:t xml:space="preserve"> mars </w:t>
      </w:r>
      <w:r w:rsidRPr="00D27F20">
        <w:rPr>
          <w:bCs/>
          <w:lang w:val="fr-FR"/>
        </w:rPr>
        <w:t>2018</w:t>
      </w:r>
      <w:r w:rsidRPr="00D27F20">
        <w:rPr>
          <w:lang w:val="fr-FR"/>
        </w:rPr>
        <w:t xml:space="preserve">, les Parties contractantes appliquant le présent </w:t>
      </w:r>
      <w:r w:rsidRPr="00F36958">
        <w:rPr>
          <w:rFonts w:eastAsia="Times New Roman"/>
        </w:rPr>
        <w:t>Règlement</w:t>
      </w:r>
      <w:r w:rsidRPr="00D27F20">
        <w:rPr>
          <w:lang w:val="fr-FR"/>
        </w:rPr>
        <w:t xml:space="preserve"> doivent continuer à délivrer des homologations CEE et des extensions d’homologation CEE aux types de véhicules qui satisfont aux prescriptions du présent Règlement tel que modifié par la série précédente d’amendements. </w:t>
      </w:r>
    </w:p>
    <w:p w:rsidR="006E3D56" w:rsidRPr="00D27F20" w:rsidRDefault="006E3D56" w:rsidP="00F36958">
      <w:pPr>
        <w:pStyle w:val="SingleTxtG"/>
        <w:ind w:left="2268" w:hanging="1134"/>
        <w:rPr>
          <w:lang w:val="fr-FR"/>
        </w:rPr>
      </w:pPr>
      <w:r w:rsidRPr="00D27F20">
        <w:rPr>
          <w:lang w:val="fr-FR"/>
        </w:rPr>
        <w:t>10.4</w:t>
      </w:r>
      <w:r w:rsidRPr="00D27F20">
        <w:rPr>
          <w:lang w:val="fr-FR"/>
        </w:rPr>
        <w:tab/>
        <w:t xml:space="preserve">Aucune </w:t>
      </w:r>
      <w:r w:rsidRPr="00F36958">
        <w:rPr>
          <w:rFonts w:eastAsia="Times New Roman"/>
        </w:rPr>
        <w:t>Partie</w:t>
      </w:r>
      <w:r w:rsidRPr="00D27F20">
        <w:rPr>
          <w:lang w:val="fr-FR"/>
        </w:rPr>
        <w:t xml:space="preserve"> contractante appliquant le présent Règlement ne doit refuser une </w:t>
      </w:r>
      <w:r w:rsidRPr="00F36958">
        <w:rPr>
          <w:rFonts w:eastAsia="Times New Roman"/>
        </w:rPr>
        <w:t>homologation</w:t>
      </w:r>
      <w:r w:rsidRPr="00D27F20">
        <w:rPr>
          <w:lang w:val="fr-FR"/>
        </w:rPr>
        <w:t xml:space="preserve"> nationale ou régionale à un type de véhicule homologué en vertu de la série </w:t>
      </w:r>
      <w:r w:rsidRPr="00D27F20">
        <w:rPr>
          <w:bCs/>
          <w:lang w:val="fr-FR"/>
        </w:rPr>
        <w:t xml:space="preserve">06 </w:t>
      </w:r>
      <w:r w:rsidRPr="00D27F20">
        <w:rPr>
          <w:lang w:val="fr-FR"/>
        </w:rPr>
        <w:t>d’amendements à ce Règlement. ».</w:t>
      </w:r>
    </w:p>
    <w:p w:rsidR="006E3D56" w:rsidRPr="00D27F20" w:rsidRDefault="006E3D56" w:rsidP="00F36958">
      <w:pPr>
        <w:pStyle w:val="SingleTxtG"/>
        <w:rPr>
          <w:iCs/>
          <w:lang w:val="fr-FR"/>
        </w:rPr>
      </w:pPr>
      <w:r w:rsidRPr="00D27F20">
        <w:rPr>
          <w:i/>
          <w:iCs/>
          <w:lang w:val="fr-FR"/>
        </w:rPr>
        <w:t>Annexe 1, point 4</w:t>
      </w:r>
      <w:r w:rsidR="00C040EF" w:rsidRPr="00C040EF">
        <w:rPr>
          <w:iCs/>
          <w:lang w:val="fr-FR"/>
        </w:rPr>
        <w:t>,</w:t>
      </w:r>
      <w:r w:rsidRPr="00D27F20">
        <w:rPr>
          <w:iCs/>
          <w:lang w:val="fr-FR"/>
        </w:rPr>
        <w:t xml:space="preserve"> modifier comme </w:t>
      </w:r>
      <w:r w:rsidRPr="00F36958">
        <w:rPr>
          <w:rFonts w:eastAsia="Times New Roman"/>
        </w:rPr>
        <w:t>suit</w:t>
      </w:r>
      <w:r w:rsidRPr="00D27F20">
        <w:rPr>
          <w:iCs/>
          <w:lang w:val="fr-FR"/>
        </w:rPr>
        <w:t> :</w:t>
      </w:r>
    </w:p>
    <w:p w:rsidR="00823F7F" w:rsidRDefault="006E3D56" w:rsidP="001F28D5">
      <w:pPr>
        <w:pStyle w:val="SingleTxtG"/>
        <w:tabs>
          <w:tab w:val="right" w:leader="dot" w:pos="8505"/>
        </w:tabs>
        <w:ind w:left="2268" w:hanging="1134"/>
        <w:rPr>
          <w:lang w:val="fr-FR"/>
        </w:rPr>
      </w:pPr>
      <w:r w:rsidRPr="00D27F20">
        <w:rPr>
          <w:iCs/>
          <w:lang w:val="fr-FR"/>
        </w:rPr>
        <w:t>« </w:t>
      </w:r>
      <w:r w:rsidRPr="00D27F20">
        <w:rPr>
          <w:lang w:val="fr-FR"/>
        </w:rPr>
        <w:t>4.</w:t>
      </w:r>
      <w:r w:rsidRPr="00D27F20">
        <w:rPr>
          <w:lang w:val="fr-FR"/>
        </w:rPr>
        <w:tab/>
        <w:t xml:space="preserve">Désignation </w:t>
      </w:r>
      <w:r w:rsidRPr="00F36958">
        <w:rPr>
          <w:rFonts w:eastAsia="Times New Roman"/>
        </w:rPr>
        <w:t>du</w:t>
      </w:r>
      <w:r w:rsidRPr="00D27F20">
        <w:rPr>
          <w:lang w:val="fr-FR"/>
        </w:rPr>
        <w:t xml:space="preserve"> véhicule (EX/II, EX/III, FL, AT, MEMU) :</w:t>
      </w:r>
      <w:r w:rsidRPr="00D27F20">
        <w:rPr>
          <w:lang w:val="fr-FR"/>
        </w:rPr>
        <w:tab/>
        <w:t> ».</w:t>
      </w:r>
    </w:p>
    <w:p w:rsidR="006E3D56" w:rsidRPr="00D27F20" w:rsidRDefault="00823F7F" w:rsidP="00823F7F">
      <w:pPr>
        <w:pStyle w:val="SingleTxtG"/>
        <w:tabs>
          <w:tab w:val="right" w:leader="dot" w:pos="8505"/>
        </w:tabs>
        <w:ind w:left="2268" w:hanging="1134"/>
        <w:rPr>
          <w:iCs/>
          <w:lang w:val="fr-FR"/>
        </w:rPr>
      </w:pPr>
      <w:r>
        <w:rPr>
          <w:lang w:val="fr-FR"/>
        </w:rPr>
        <w:br w:type="page"/>
      </w:r>
      <w:r w:rsidR="006E3D56" w:rsidRPr="00D27F20">
        <w:rPr>
          <w:i/>
          <w:iCs/>
          <w:lang w:val="fr-FR"/>
        </w:rPr>
        <w:t>Annexe 2</w:t>
      </w:r>
      <w:r w:rsidR="006E3D56" w:rsidRPr="00D27F20">
        <w:rPr>
          <w:iCs/>
          <w:lang w:val="fr-FR"/>
        </w:rPr>
        <w:t>, modifier comme suit :</w:t>
      </w:r>
    </w:p>
    <w:p w:rsidR="006E3D56" w:rsidRPr="00D27F20" w:rsidRDefault="006E3D56" w:rsidP="00F36958">
      <w:pPr>
        <w:pStyle w:val="HChG"/>
        <w:rPr>
          <w:lang w:val="fr-FR"/>
        </w:rPr>
      </w:pPr>
      <w:r w:rsidRPr="00D27F20">
        <w:rPr>
          <w:lang w:val="fr-FR"/>
        </w:rPr>
        <w:tab/>
      </w:r>
      <w:r w:rsidRPr="00D27F20">
        <w:rPr>
          <w:lang w:val="fr-FR"/>
        </w:rPr>
        <w:tab/>
      </w:r>
      <w:r w:rsidRPr="00F36958">
        <w:rPr>
          <w:b w:val="0"/>
          <w:sz w:val="20"/>
          <w:lang w:val="fr-FR"/>
        </w:rPr>
        <w:t>«</w:t>
      </w:r>
      <w:r w:rsidRPr="00D27F20">
        <w:rPr>
          <w:lang w:val="fr-FR"/>
        </w:rPr>
        <w:t xml:space="preserve"> Exemples de marques d’homologation </w:t>
      </w:r>
    </w:p>
    <w:p w:rsidR="006E3D56" w:rsidRPr="00D27F20" w:rsidRDefault="006E3D56" w:rsidP="00F36958">
      <w:pPr>
        <w:pStyle w:val="SingleTxtG"/>
        <w:spacing w:after="0"/>
        <w:rPr>
          <w:lang w:val="fr-FR"/>
        </w:rPr>
      </w:pPr>
      <w:r w:rsidRPr="00F36958">
        <w:rPr>
          <w:rFonts w:eastAsia="Times New Roman"/>
        </w:rPr>
        <w:t>Modèle</w:t>
      </w:r>
      <w:r w:rsidRPr="00D27F20">
        <w:rPr>
          <w:lang w:val="fr-FR"/>
        </w:rPr>
        <w:t xml:space="preserve"> A</w:t>
      </w:r>
    </w:p>
    <w:p w:rsidR="006E3D56" w:rsidRPr="00D27F20" w:rsidRDefault="006E3D56" w:rsidP="001A73CC">
      <w:pPr>
        <w:pStyle w:val="SingleTxtG"/>
        <w:rPr>
          <w:lang w:val="fr-FR"/>
        </w:rPr>
      </w:pPr>
      <w:r w:rsidRPr="00D27F20">
        <w:rPr>
          <w:lang w:val="fr-FR"/>
        </w:rPr>
        <w:t>(</w:t>
      </w:r>
      <w:proofErr w:type="gramStart"/>
      <w:r w:rsidRPr="00D27F20">
        <w:rPr>
          <w:lang w:val="fr-FR"/>
        </w:rPr>
        <w:t>voir</w:t>
      </w:r>
      <w:proofErr w:type="gramEnd"/>
      <w:r w:rsidRPr="00D27F20">
        <w:rPr>
          <w:lang w:val="fr-FR"/>
        </w:rPr>
        <w:t xml:space="preserve"> le paragraphe 4.4 du présent Règlement)</w:t>
      </w:r>
    </w:p>
    <w:p w:rsidR="006E3D56" w:rsidRPr="00D27F20" w:rsidRDefault="006E3D56" w:rsidP="00FA52F6">
      <w:pPr>
        <w:ind w:left="1134"/>
        <w:rPr>
          <w:bCs/>
          <w:lang w:val="fr-FR"/>
        </w:rPr>
      </w:pPr>
      <w:r w:rsidRPr="00D27F20">
        <w:rPr>
          <w:rFonts w:eastAsia="Times New Roman"/>
          <w:lang w:val="fr-FR"/>
        </w:rPr>
        <w:object w:dxaOrig="732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71.25pt" o:ole="">
            <v:imagedata r:id="rId9" o:title="" croptop="-144f" cropbottom="-144f" cropleft="-58f" cropright="-58f"/>
          </v:shape>
          <o:OLEObject Type="Embed" ProgID="Word.Picture.8" ShapeID="_x0000_i1025" DrawAspect="Content" ObjectID="_1566814765" r:id="rId10"/>
        </w:object>
      </w:r>
    </w:p>
    <w:p w:rsidR="006E3D56" w:rsidRPr="00D27F20" w:rsidRDefault="006E3D56" w:rsidP="00FA52F6">
      <w:pPr>
        <w:pStyle w:val="SingleTxtG"/>
        <w:jc w:val="right"/>
        <w:rPr>
          <w:lang w:val="fr-FR"/>
        </w:rPr>
      </w:pPr>
      <w:r w:rsidRPr="00D27F20">
        <w:rPr>
          <w:lang w:val="fr-FR"/>
        </w:rPr>
        <w:tab/>
        <w:t xml:space="preserve">a = 8 </w:t>
      </w:r>
      <w:r w:rsidRPr="00C040EF">
        <w:rPr>
          <w:rFonts w:eastAsia="Times New Roman"/>
        </w:rPr>
        <w:t>mm</w:t>
      </w:r>
      <w:r w:rsidRPr="00D27F20">
        <w:rPr>
          <w:lang w:val="fr-FR"/>
        </w:rPr>
        <w:t xml:space="preserve"> min.</w:t>
      </w:r>
    </w:p>
    <w:p w:rsidR="006E3D56" w:rsidRPr="00D27F20" w:rsidRDefault="006E3D56" w:rsidP="00FA52F6">
      <w:pPr>
        <w:pStyle w:val="SingleTxtG"/>
        <w:ind w:firstLine="567"/>
        <w:rPr>
          <w:lang w:val="fr-FR"/>
        </w:rPr>
      </w:pPr>
      <w:r w:rsidRPr="00D27F20">
        <w:rPr>
          <w:lang w:val="fr-FR"/>
        </w:rPr>
        <w:t>La marque d’homologation ci-dessus, apposée sur un véhicule, indique que le type de ce véhicule, destiné au transport de marchandises dangereuses, a été homologué aux Pays</w:t>
      </w:r>
      <w:r w:rsidR="001F28D5">
        <w:rPr>
          <w:lang w:val="fr-FR"/>
        </w:rPr>
        <w:t>-</w:t>
      </w:r>
      <w:r w:rsidRPr="00D27F20">
        <w:rPr>
          <w:lang w:val="fr-FR"/>
        </w:rPr>
        <w:t xml:space="preserve">Bas (E4), en application du Règlement </w:t>
      </w:r>
      <w:r w:rsidRPr="00D27F20">
        <w:rPr>
          <w:rFonts w:eastAsia="MS Mincho"/>
          <w:lang w:val="fr-FR"/>
        </w:rPr>
        <w:t>n</w:t>
      </w:r>
      <w:r w:rsidRPr="00D27F20">
        <w:rPr>
          <w:rFonts w:eastAsia="MS Mincho"/>
          <w:vertAlign w:val="superscript"/>
          <w:lang w:val="fr-FR"/>
        </w:rPr>
        <w:t>o</w:t>
      </w:r>
      <w:r w:rsidRPr="00D27F20">
        <w:rPr>
          <w:lang w:val="fr-FR"/>
        </w:rPr>
        <w:t xml:space="preserve"> 105, sous le numéro </w:t>
      </w:r>
      <w:r w:rsidRPr="00D27F20">
        <w:rPr>
          <w:bCs/>
          <w:lang w:val="fr-FR"/>
        </w:rPr>
        <w:t xml:space="preserve">062492, </w:t>
      </w:r>
      <w:r w:rsidRPr="00D27F20">
        <w:rPr>
          <w:lang w:val="fr-FR"/>
        </w:rPr>
        <w:t xml:space="preserve">et qu’il porte la désignation EX/II (conformément au paragraphe 9.1.1.2 de l’annexe B de l’ADR). Les deux premiers chiffres du numéro d’homologation indiquent que l’homologation a été délivrée conformément aux prescriptions du Règlement </w:t>
      </w:r>
      <w:r w:rsidRPr="00D27F20">
        <w:rPr>
          <w:rFonts w:eastAsia="MS Mincho"/>
          <w:lang w:val="fr-FR"/>
        </w:rPr>
        <w:t>n</w:t>
      </w:r>
      <w:r w:rsidRPr="00D27F20">
        <w:rPr>
          <w:rFonts w:eastAsia="MS Mincho"/>
          <w:vertAlign w:val="superscript"/>
          <w:lang w:val="fr-FR"/>
        </w:rPr>
        <w:t>o</w:t>
      </w:r>
      <w:r w:rsidRPr="00D27F20">
        <w:rPr>
          <w:lang w:val="fr-FR"/>
        </w:rPr>
        <w:t xml:space="preserve"> 105 tel que modifié par la série </w:t>
      </w:r>
      <w:r w:rsidRPr="00D27F20">
        <w:rPr>
          <w:bCs/>
          <w:lang w:val="fr-FR"/>
        </w:rPr>
        <w:t xml:space="preserve">06 </w:t>
      </w:r>
      <w:r w:rsidRPr="00D27F20">
        <w:rPr>
          <w:lang w:val="fr-FR"/>
        </w:rPr>
        <w:t xml:space="preserve">d’amendements. </w:t>
      </w:r>
    </w:p>
    <w:p w:rsidR="006E3D56" w:rsidRPr="00D27F20" w:rsidRDefault="006E3D56" w:rsidP="00FA52F6">
      <w:pPr>
        <w:pStyle w:val="SingleTxtG"/>
        <w:spacing w:after="0"/>
        <w:rPr>
          <w:lang w:val="fr-FR"/>
        </w:rPr>
      </w:pPr>
      <w:r w:rsidRPr="00FA52F6">
        <w:rPr>
          <w:rFonts w:eastAsia="Times New Roman"/>
        </w:rPr>
        <w:t>Modèle</w:t>
      </w:r>
      <w:r w:rsidRPr="00D27F20">
        <w:rPr>
          <w:lang w:val="fr-FR"/>
        </w:rPr>
        <w:t xml:space="preserve"> B</w:t>
      </w:r>
    </w:p>
    <w:p w:rsidR="006E3D56" w:rsidRPr="00D27F20" w:rsidRDefault="006E3D56" w:rsidP="001A73CC">
      <w:pPr>
        <w:pStyle w:val="SingleTxtG"/>
        <w:rPr>
          <w:lang w:val="fr-FR"/>
        </w:rPr>
      </w:pPr>
      <w:r w:rsidRPr="00D27F20">
        <w:rPr>
          <w:lang w:val="fr-FR"/>
        </w:rPr>
        <w:t>(voir le paragraphe 4.5 du présent Règlement)</w:t>
      </w:r>
    </w:p>
    <w:bookmarkStart w:id="1" w:name="_MON_1330270309"/>
    <w:bookmarkStart w:id="2" w:name="_MON_1330270328"/>
    <w:bookmarkStart w:id="3" w:name="_MON_1201957159"/>
    <w:bookmarkStart w:id="4" w:name="_MON_1201963054"/>
    <w:bookmarkStart w:id="5" w:name="_MON_1201965299"/>
    <w:bookmarkStart w:id="6" w:name="_MON_1319286234"/>
    <w:bookmarkStart w:id="7" w:name="_MON_1319286275"/>
    <w:bookmarkStart w:id="8" w:name="_MON_1330268841"/>
    <w:bookmarkStart w:id="9" w:name="_MON_1330270116"/>
    <w:bookmarkEnd w:id="1"/>
    <w:bookmarkEnd w:id="2"/>
    <w:bookmarkEnd w:id="3"/>
    <w:bookmarkEnd w:id="4"/>
    <w:bookmarkEnd w:id="5"/>
    <w:bookmarkEnd w:id="6"/>
    <w:bookmarkEnd w:id="7"/>
    <w:bookmarkEnd w:id="8"/>
    <w:bookmarkEnd w:id="9"/>
    <w:bookmarkStart w:id="10" w:name="_MON_1330270291"/>
    <w:bookmarkEnd w:id="10"/>
    <w:p w:rsidR="00FA52F6" w:rsidRDefault="006E3D56" w:rsidP="00FA52F6">
      <w:pPr>
        <w:ind w:left="1134"/>
        <w:rPr>
          <w:rFonts w:eastAsia="Times New Roman"/>
          <w:lang w:val="fr-FR"/>
        </w:rPr>
      </w:pPr>
      <w:r w:rsidRPr="00D27F20">
        <w:rPr>
          <w:rFonts w:eastAsia="Times New Roman"/>
          <w:lang w:val="fr-FR"/>
        </w:rPr>
        <w:object w:dxaOrig="7305" w:dyaOrig="1590">
          <v:shape id="_x0000_i1026" type="#_x0000_t75" style="width:365.25pt;height:79.5pt" o:ole="">
            <v:imagedata r:id="rId11" o:title="" croptop="-177f" cropbottom="-177f" cropleft="-212f" cropright="-212f"/>
          </v:shape>
          <o:OLEObject Type="Embed" ProgID="Word.Picture.8" ShapeID="_x0000_i1026" DrawAspect="Content" ObjectID="_1566814766" r:id="rId12"/>
        </w:object>
      </w:r>
    </w:p>
    <w:p w:rsidR="006E3D56" w:rsidRPr="00D27F20" w:rsidRDefault="006E3D56" w:rsidP="00FA52F6">
      <w:pPr>
        <w:pStyle w:val="SingleTxtG"/>
        <w:jc w:val="right"/>
        <w:rPr>
          <w:lang w:val="fr-FR"/>
        </w:rPr>
      </w:pPr>
      <w:r w:rsidRPr="00D27F20">
        <w:rPr>
          <w:lang w:val="fr-FR"/>
        </w:rPr>
        <w:t>a = 8 mm min.</w:t>
      </w:r>
    </w:p>
    <w:p w:rsidR="006E3D56" w:rsidRDefault="006E3D56" w:rsidP="00FA52F6">
      <w:pPr>
        <w:pStyle w:val="SingleTxtG"/>
        <w:ind w:firstLine="567"/>
        <w:rPr>
          <w:lang w:val="fr-FR"/>
        </w:rPr>
      </w:pPr>
      <w:r w:rsidRPr="00D27F20">
        <w:rPr>
          <w:lang w:val="fr-FR"/>
        </w:rPr>
        <w:t>La marque d’homologation ci-dessus, apposée sur un véhicule, indique que le type de ce véhicule a été homologué aux Pays</w:t>
      </w:r>
      <w:r w:rsidR="001F28D5">
        <w:rPr>
          <w:lang w:val="fr-FR"/>
        </w:rPr>
        <w:t>-</w:t>
      </w:r>
      <w:r w:rsidRPr="00D27F20">
        <w:rPr>
          <w:lang w:val="fr-FR"/>
        </w:rPr>
        <w:t>Bas (E4), en application des Règlements n</w:t>
      </w:r>
      <w:r w:rsidRPr="00D27F20">
        <w:rPr>
          <w:vertAlign w:val="superscript"/>
          <w:lang w:val="fr-FR"/>
        </w:rPr>
        <w:t>os</w:t>
      </w:r>
      <w:r w:rsidRPr="00D27F20">
        <w:rPr>
          <w:lang w:val="fr-FR"/>
        </w:rPr>
        <w:t> 105 et 13</w:t>
      </w:r>
      <w:r w:rsidRPr="00D27F20">
        <w:rPr>
          <w:vertAlign w:val="superscript"/>
          <w:lang w:val="fr-FR"/>
        </w:rPr>
        <w:t>1</w:t>
      </w:r>
      <w:r w:rsidRPr="00D27F20">
        <w:rPr>
          <w:lang w:val="fr-FR"/>
        </w:rPr>
        <w:t xml:space="preserve">. Les deux premiers chiffres des numéros d’homologation signifient qu’aux dates où les homologations respectives ont été délivrées, le Règlement </w:t>
      </w:r>
      <w:r w:rsidRPr="00D27F20">
        <w:rPr>
          <w:rFonts w:eastAsia="MS Mincho"/>
          <w:lang w:val="fr-FR"/>
        </w:rPr>
        <w:t>n</w:t>
      </w:r>
      <w:r w:rsidRPr="00D27F20">
        <w:rPr>
          <w:rFonts w:eastAsia="MS Mincho"/>
          <w:vertAlign w:val="superscript"/>
          <w:lang w:val="fr-FR"/>
        </w:rPr>
        <w:t>o</w:t>
      </w:r>
      <w:r w:rsidRPr="00D27F20">
        <w:rPr>
          <w:lang w:val="fr-FR"/>
        </w:rPr>
        <w:t xml:space="preserve"> 105 incluait la série </w:t>
      </w:r>
      <w:r w:rsidRPr="00D27F20">
        <w:rPr>
          <w:bCs/>
          <w:lang w:val="fr-FR"/>
        </w:rPr>
        <w:t xml:space="preserve">06 </w:t>
      </w:r>
      <w:r w:rsidRPr="00D27F20">
        <w:rPr>
          <w:lang w:val="fr-FR"/>
        </w:rPr>
        <w:t xml:space="preserve">d’amendements, alors que le Règlement </w:t>
      </w:r>
      <w:r w:rsidRPr="00D27F20">
        <w:rPr>
          <w:rFonts w:eastAsia="MS Mincho"/>
          <w:lang w:val="fr-FR"/>
        </w:rPr>
        <w:t>n</w:t>
      </w:r>
      <w:r w:rsidRPr="00D27F20">
        <w:rPr>
          <w:rFonts w:eastAsia="MS Mincho"/>
          <w:vertAlign w:val="superscript"/>
          <w:lang w:val="fr-FR"/>
        </w:rPr>
        <w:t>o</w:t>
      </w:r>
      <w:r w:rsidRPr="00D27F20">
        <w:rPr>
          <w:lang w:val="fr-FR"/>
        </w:rPr>
        <w:t xml:space="preserve"> 13 comprenait déjà la série 11 d’amendements. </w:t>
      </w:r>
    </w:p>
    <w:p w:rsidR="000559F6" w:rsidRPr="001F28D5" w:rsidRDefault="000559F6" w:rsidP="000559F6">
      <w:pPr>
        <w:tabs>
          <w:tab w:val="left" w:pos="2155"/>
        </w:tabs>
        <w:spacing w:after="120"/>
        <w:ind w:left="680"/>
        <w:rPr>
          <w:rFonts w:eastAsia="Calibri"/>
          <w:u w:val="single"/>
        </w:rPr>
      </w:pPr>
      <w:r w:rsidRPr="001F28D5">
        <w:rPr>
          <w:rFonts w:eastAsia="Calibri"/>
          <w:u w:val="single"/>
        </w:rPr>
        <w:tab/>
      </w:r>
    </w:p>
    <w:p w:rsidR="00476118" w:rsidRPr="00D85083" w:rsidRDefault="00476118" w:rsidP="000559F6">
      <w:pPr>
        <w:pStyle w:val="FootnoteText"/>
        <w:spacing w:after="120"/>
      </w:pPr>
      <w:r>
        <w:tab/>
      </w:r>
      <w:r w:rsidRPr="00476118">
        <w:rPr>
          <w:vertAlign w:val="superscript"/>
        </w:rPr>
        <w:t>1</w:t>
      </w:r>
      <w:r>
        <w:tab/>
      </w:r>
      <w:r w:rsidRPr="00D85083">
        <w:t>Le deuxième numéro de Règlement n’est donné qu’à titre d’exemple. ».</w:t>
      </w:r>
    </w:p>
    <w:p w:rsidR="00FA52F6" w:rsidRPr="00FA52F6" w:rsidRDefault="00FA52F6" w:rsidP="00FA52F6">
      <w:pPr>
        <w:pStyle w:val="SingleTxtG"/>
        <w:spacing w:before="240" w:after="0"/>
        <w:jc w:val="center"/>
        <w:rPr>
          <w:u w:val="single"/>
        </w:rPr>
      </w:pPr>
      <w:r>
        <w:rPr>
          <w:u w:val="single"/>
        </w:rPr>
        <w:tab/>
      </w:r>
      <w:r>
        <w:rPr>
          <w:u w:val="single"/>
        </w:rPr>
        <w:tab/>
      </w:r>
      <w:r>
        <w:rPr>
          <w:u w:val="single"/>
        </w:rPr>
        <w:tab/>
      </w:r>
    </w:p>
    <w:sectPr w:rsidR="00FA52F6" w:rsidRPr="00FA52F6" w:rsidSect="00B07808">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49" w:rsidRDefault="00195349"/>
  </w:endnote>
  <w:endnote w:type="continuationSeparator" w:id="0">
    <w:p w:rsidR="00195349" w:rsidRDefault="00195349">
      <w:pPr>
        <w:pStyle w:val="Footer"/>
      </w:pPr>
    </w:p>
  </w:endnote>
  <w:endnote w:type="continuationNotice" w:id="1">
    <w:p w:rsidR="00195349" w:rsidRPr="00C451B9" w:rsidRDefault="0019534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08" w:rsidRPr="00B07808" w:rsidRDefault="00B07808" w:rsidP="00B07808">
    <w:pPr>
      <w:pStyle w:val="Footer"/>
      <w:tabs>
        <w:tab w:val="right" w:pos="9638"/>
      </w:tabs>
    </w:pPr>
    <w:r w:rsidRPr="00B07808">
      <w:rPr>
        <w:b/>
        <w:sz w:val="18"/>
      </w:rPr>
      <w:fldChar w:fldCharType="begin"/>
    </w:r>
    <w:r w:rsidRPr="00B07808">
      <w:rPr>
        <w:b/>
        <w:sz w:val="18"/>
      </w:rPr>
      <w:instrText xml:space="preserve"> PAGE  \* MERGEFORMAT </w:instrText>
    </w:r>
    <w:r w:rsidRPr="00B07808">
      <w:rPr>
        <w:b/>
        <w:sz w:val="18"/>
      </w:rPr>
      <w:fldChar w:fldCharType="separate"/>
    </w:r>
    <w:r w:rsidR="00556492">
      <w:rPr>
        <w:b/>
        <w:noProof/>
        <w:sz w:val="18"/>
      </w:rPr>
      <w:t>8</w:t>
    </w:r>
    <w:r w:rsidRPr="00B07808">
      <w:rPr>
        <w:b/>
        <w:sz w:val="18"/>
      </w:rPr>
      <w:fldChar w:fldCharType="end"/>
    </w:r>
    <w:r>
      <w:rPr>
        <w:b/>
        <w:sz w:val="18"/>
      </w:rPr>
      <w:tab/>
    </w:r>
    <w:r>
      <w:t>GE.17-11492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08" w:rsidRPr="00B07808" w:rsidRDefault="00B07808" w:rsidP="00B07808">
    <w:pPr>
      <w:pStyle w:val="Footer"/>
      <w:tabs>
        <w:tab w:val="right" w:pos="9638"/>
      </w:tabs>
      <w:rPr>
        <w:b/>
        <w:sz w:val="18"/>
      </w:rPr>
    </w:pPr>
    <w:r>
      <w:t>GE.17-11492</w:t>
    </w:r>
    <w:r>
      <w:tab/>
    </w:r>
    <w:r w:rsidRPr="00B07808">
      <w:rPr>
        <w:b/>
        <w:sz w:val="18"/>
      </w:rPr>
      <w:fldChar w:fldCharType="begin"/>
    </w:r>
    <w:r w:rsidRPr="00B07808">
      <w:rPr>
        <w:b/>
        <w:sz w:val="18"/>
      </w:rPr>
      <w:instrText xml:space="preserve"> PAGE  \* MERGEFORMAT </w:instrText>
    </w:r>
    <w:r w:rsidRPr="00B07808">
      <w:rPr>
        <w:b/>
        <w:sz w:val="18"/>
      </w:rPr>
      <w:fldChar w:fldCharType="separate"/>
    </w:r>
    <w:r w:rsidR="00556492">
      <w:rPr>
        <w:b/>
        <w:noProof/>
        <w:sz w:val="18"/>
      </w:rPr>
      <w:t>9</w:t>
    </w:r>
    <w:r w:rsidRPr="00B078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B07808" w:rsidRDefault="00B07808" w:rsidP="00B07808">
    <w:pPr>
      <w:pStyle w:val="Footer"/>
      <w:spacing w:before="120"/>
      <w:rPr>
        <w:sz w:val="20"/>
      </w:rPr>
    </w:pPr>
    <w:r>
      <w:rPr>
        <w:sz w:val="20"/>
      </w:rPr>
      <w:t>GE.</w:t>
    </w:r>
    <w:r w:rsidR="00467F2C">
      <w:rPr>
        <w:noProof/>
        <w:lang w:val="en-GB" w:eastAsia="en-GB"/>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17-11492  (F)</w:t>
    </w:r>
    <w:r w:rsidR="00C040EF">
      <w:rPr>
        <w:sz w:val="20"/>
      </w:rPr>
      <w:t xml:space="preserve">    080917    120917</w:t>
    </w:r>
    <w:r>
      <w:rPr>
        <w:sz w:val="20"/>
      </w:rPr>
      <w:br/>
    </w:r>
    <w:r w:rsidRPr="00B07808">
      <w:rPr>
        <w:rFonts w:ascii="C39T30Lfz" w:hAnsi="C39T30Lfz"/>
        <w:sz w:val="56"/>
      </w:rPr>
      <w:t></w:t>
    </w:r>
    <w:r w:rsidRPr="00B07808">
      <w:rPr>
        <w:rFonts w:ascii="C39T30Lfz" w:hAnsi="C39T30Lfz"/>
        <w:sz w:val="56"/>
      </w:rPr>
      <w:t></w:t>
    </w:r>
    <w:r w:rsidRPr="00B07808">
      <w:rPr>
        <w:rFonts w:ascii="C39T30Lfz" w:hAnsi="C39T30Lfz"/>
        <w:sz w:val="56"/>
      </w:rPr>
      <w:t></w:t>
    </w:r>
    <w:r w:rsidRPr="00B07808">
      <w:rPr>
        <w:rFonts w:ascii="C39T30Lfz" w:hAnsi="C39T30Lfz"/>
        <w:sz w:val="56"/>
      </w:rPr>
      <w:t></w:t>
    </w:r>
    <w:r w:rsidRPr="00B07808">
      <w:rPr>
        <w:rFonts w:ascii="C39T30Lfz" w:hAnsi="C39T30Lfz"/>
        <w:sz w:val="56"/>
      </w:rPr>
      <w:t></w:t>
    </w:r>
    <w:r w:rsidRPr="00B07808">
      <w:rPr>
        <w:rFonts w:ascii="C39T30Lfz" w:hAnsi="C39T30Lfz"/>
        <w:sz w:val="56"/>
      </w:rPr>
      <w:t></w:t>
    </w:r>
    <w:r w:rsidRPr="00B07808">
      <w:rPr>
        <w:rFonts w:ascii="C39T30Lfz" w:hAnsi="C39T30Lfz"/>
        <w:sz w:val="56"/>
      </w:rPr>
      <w:t></w:t>
    </w:r>
    <w:r w:rsidRPr="00B07808">
      <w:rPr>
        <w:rFonts w:ascii="C39T30Lfz" w:hAnsi="C39T30Lfz"/>
        <w:sz w:val="56"/>
      </w:rPr>
      <w:t></w:t>
    </w:r>
    <w:r w:rsidRPr="00B0780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4/Rev.2/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4/Rev.2/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49" w:rsidRPr="00D27D5E" w:rsidRDefault="00195349" w:rsidP="00D27D5E">
      <w:pPr>
        <w:tabs>
          <w:tab w:val="right" w:pos="2155"/>
        </w:tabs>
        <w:spacing w:after="80"/>
        <w:ind w:left="680"/>
        <w:rPr>
          <w:u w:val="single"/>
        </w:rPr>
      </w:pPr>
      <w:r>
        <w:rPr>
          <w:u w:val="single"/>
        </w:rPr>
        <w:tab/>
      </w:r>
    </w:p>
  </w:footnote>
  <w:footnote w:type="continuationSeparator" w:id="0">
    <w:p w:rsidR="00195349" w:rsidRPr="00D171D4" w:rsidRDefault="00195349" w:rsidP="00D171D4">
      <w:pPr>
        <w:tabs>
          <w:tab w:val="right" w:pos="2155"/>
        </w:tabs>
        <w:spacing w:after="80"/>
        <w:ind w:left="680"/>
        <w:rPr>
          <w:u w:val="single"/>
        </w:rPr>
      </w:pPr>
      <w:r w:rsidRPr="00D171D4">
        <w:rPr>
          <w:u w:val="single"/>
        </w:rPr>
        <w:tab/>
      </w:r>
    </w:p>
  </w:footnote>
  <w:footnote w:type="continuationNotice" w:id="1">
    <w:p w:rsidR="00195349" w:rsidRPr="00C451B9" w:rsidRDefault="00195349"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rsidR="00B20AB9">
        <w:t>’</w:t>
      </w:r>
      <w:r w:rsidRPr="007817A7">
        <w:t>Accor</w:t>
      </w:r>
      <w:r>
        <w:t>d</w:t>
      </w:r>
      <w:r w:rsidR="00B20AB9">
        <w:t> :</w:t>
      </w:r>
      <w:r>
        <w:t xml:space="preserve"> Accord concernant l</w:t>
      </w:r>
      <w:r w:rsidR="00B20AB9">
        <w:t>’</w:t>
      </w:r>
      <w:r>
        <w:t>a</w:t>
      </w:r>
      <w:r w:rsidRPr="007817A7">
        <w:t>doption de conditions uniformes d</w:t>
      </w:r>
      <w:r w:rsidR="00B20AB9">
        <w:t>’</w:t>
      </w:r>
      <w:r w:rsidRPr="007817A7">
        <w:t>homologation et la</w:t>
      </w:r>
      <w:r>
        <w:t> </w:t>
      </w:r>
      <w:r w:rsidRPr="007817A7">
        <w:t>reconnaissance réciproque de l</w:t>
      </w:r>
      <w:r w:rsidR="00B20AB9">
        <w:t>’</w:t>
      </w:r>
      <w:r w:rsidRPr="007817A7">
        <w:t>homologation des équipements et pièces de véhicules à m</w:t>
      </w:r>
      <w:r>
        <w:t>oteur, en date, à Genève, du 20</w:t>
      </w:r>
      <w:r w:rsidR="00B20AB9">
        <w:t>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08" w:rsidRPr="00B07808" w:rsidRDefault="00B07808">
    <w:pPr>
      <w:pStyle w:val="Header"/>
      <w:rPr>
        <w:lang w:val="en-US"/>
      </w:rPr>
    </w:pPr>
    <w:r>
      <w:fldChar w:fldCharType="begin"/>
    </w:r>
    <w:r w:rsidRPr="00B07808">
      <w:rPr>
        <w:lang w:val="en-US"/>
      </w:rPr>
      <w:instrText xml:space="preserve"> TITLE  \* MERGEFORMAT </w:instrText>
    </w:r>
    <w:r>
      <w:fldChar w:fldCharType="separate"/>
    </w:r>
    <w:r w:rsidR="00556492">
      <w:rPr>
        <w:lang w:val="en-US"/>
      </w:rPr>
      <w:t>E/ECE/324/Rev.2/Add.104/Rev.2/Amend.3</w:t>
    </w:r>
    <w:r>
      <w:fldChar w:fldCharType="end"/>
    </w:r>
    <w:r w:rsidRPr="00B07808">
      <w:rPr>
        <w:lang w:val="en-US"/>
      </w:rPr>
      <w:br/>
    </w:r>
    <w:r>
      <w:fldChar w:fldCharType="begin"/>
    </w:r>
    <w:r w:rsidRPr="00B07808">
      <w:rPr>
        <w:lang w:val="en-US"/>
      </w:rPr>
      <w:instrText xml:space="preserve"> KEYWORDS  \* MERGEFORMAT </w:instrText>
    </w:r>
    <w:r>
      <w:fldChar w:fldCharType="separate"/>
    </w:r>
    <w:r w:rsidR="00556492">
      <w:rPr>
        <w:lang w:val="en-US"/>
      </w:rPr>
      <w:t>E/ECE/TRANS/505/Rev.2/Add.104/Rev.2/Amend.3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08" w:rsidRPr="00B07808" w:rsidRDefault="00B07808" w:rsidP="00B07808">
    <w:pPr>
      <w:pStyle w:val="Header"/>
      <w:jc w:val="right"/>
      <w:rPr>
        <w:lang w:val="en-US"/>
      </w:rPr>
    </w:pPr>
    <w:r>
      <w:fldChar w:fldCharType="begin"/>
    </w:r>
    <w:r w:rsidRPr="00B07808">
      <w:rPr>
        <w:lang w:val="en-US"/>
      </w:rPr>
      <w:instrText xml:space="preserve"> TITLE  \* MERGEFORMAT </w:instrText>
    </w:r>
    <w:r>
      <w:fldChar w:fldCharType="separate"/>
    </w:r>
    <w:r w:rsidR="00556492">
      <w:rPr>
        <w:lang w:val="en-US"/>
      </w:rPr>
      <w:t>E/ECE/324/Rev.2/Add.104/Rev.2/Amend.3</w:t>
    </w:r>
    <w:r>
      <w:fldChar w:fldCharType="end"/>
    </w:r>
    <w:r w:rsidRPr="00B07808">
      <w:rPr>
        <w:lang w:val="en-US"/>
      </w:rPr>
      <w:br/>
    </w:r>
    <w:r>
      <w:fldChar w:fldCharType="begin"/>
    </w:r>
    <w:r w:rsidRPr="00B07808">
      <w:rPr>
        <w:lang w:val="en-US"/>
      </w:rPr>
      <w:instrText xml:space="preserve"> KEYWORDS  \* MERGEFORMAT </w:instrText>
    </w:r>
    <w:r>
      <w:fldChar w:fldCharType="separate"/>
    </w:r>
    <w:r w:rsidR="00556492">
      <w:rPr>
        <w:lang w:val="en-US"/>
      </w:rPr>
      <w:t>E/ECE/TRANS/505/Rev.2/Add.104/Rev.2/Amend.3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4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9F6"/>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95349"/>
    <w:rsid w:val="001A2040"/>
    <w:rsid w:val="001A20FB"/>
    <w:rsid w:val="001A252F"/>
    <w:rsid w:val="001A376F"/>
    <w:rsid w:val="001A73CC"/>
    <w:rsid w:val="001B09BB"/>
    <w:rsid w:val="001C3D8D"/>
    <w:rsid w:val="001C6497"/>
    <w:rsid w:val="001D7F8A"/>
    <w:rsid w:val="001E0447"/>
    <w:rsid w:val="001E1495"/>
    <w:rsid w:val="001E34CB"/>
    <w:rsid w:val="001E3FEB"/>
    <w:rsid w:val="001E4541"/>
    <w:rsid w:val="001E4A02"/>
    <w:rsid w:val="001E4E3F"/>
    <w:rsid w:val="001E653B"/>
    <w:rsid w:val="001E6DF0"/>
    <w:rsid w:val="001F28D5"/>
    <w:rsid w:val="001F3E68"/>
    <w:rsid w:val="001F4931"/>
    <w:rsid w:val="002000CD"/>
    <w:rsid w:val="00200CBA"/>
    <w:rsid w:val="00204B66"/>
    <w:rsid w:val="002059CE"/>
    <w:rsid w:val="00206AD4"/>
    <w:rsid w:val="00224B8B"/>
    <w:rsid w:val="00225A8C"/>
    <w:rsid w:val="00230ED3"/>
    <w:rsid w:val="00231A7F"/>
    <w:rsid w:val="00241F8A"/>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368F"/>
    <w:rsid w:val="00294D5B"/>
    <w:rsid w:val="0029791D"/>
    <w:rsid w:val="002A2A2C"/>
    <w:rsid w:val="002A5D07"/>
    <w:rsid w:val="002D25CA"/>
    <w:rsid w:val="002D3DA4"/>
    <w:rsid w:val="002E2F5C"/>
    <w:rsid w:val="002F00E6"/>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118"/>
    <w:rsid w:val="00476265"/>
    <w:rsid w:val="0048687D"/>
    <w:rsid w:val="00490F56"/>
    <w:rsid w:val="00491F39"/>
    <w:rsid w:val="004A478B"/>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492"/>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E3D56"/>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3F7F"/>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C56CD"/>
    <w:rsid w:val="008D1156"/>
    <w:rsid w:val="008D59DB"/>
    <w:rsid w:val="008E0319"/>
    <w:rsid w:val="008E4DE2"/>
    <w:rsid w:val="008E6252"/>
    <w:rsid w:val="008E7CE2"/>
    <w:rsid w:val="008E7FAE"/>
    <w:rsid w:val="00911BF7"/>
    <w:rsid w:val="0091594A"/>
    <w:rsid w:val="009230F1"/>
    <w:rsid w:val="00926925"/>
    <w:rsid w:val="00935490"/>
    <w:rsid w:val="009418DE"/>
    <w:rsid w:val="009514E5"/>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07808"/>
    <w:rsid w:val="00B101DB"/>
    <w:rsid w:val="00B13E4F"/>
    <w:rsid w:val="00B20AB9"/>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040EF"/>
    <w:rsid w:val="00C10FB1"/>
    <w:rsid w:val="00C11282"/>
    <w:rsid w:val="00C14108"/>
    <w:rsid w:val="00C261F8"/>
    <w:rsid w:val="00C27662"/>
    <w:rsid w:val="00C32914"/>
    <w:rsid w:val="00C33100"/>
    <w:rsid w:val="00C358D5"/>
    <w:rsid w:val="00C42EDB"/>
    <w:rsid w:val="00C451B9"/>
    <w:rsid w:val="00C51D9C"/>
    <w:rsid w:val="00C54DA4"/>
    <w:rsid w:val="00C55118"/>
    <w:rsid w:val="00C55BBD"/>
    <w:rsid w:val="00C577D1"/>
    <w:rsid w:val="00C57A2D"/>
    <w:rsid w:val="00C6018C"/>
    <w:rsid w:val="00C6525D"/>
    <w:rsid w:val="00C67D23"/>
    <w:rsid w:val="00C71827"/>
    <w:rsid w:val="00C75D25"/>
    <w:rsid w:val="00C825E5"/>
    <w:rsid w:val="00C85FF2"/>
    <w:rsid w:val="00C95EB8"/>
    <w:rsid w:val="00CA0756"/>
    <w:rsid w:val="00CB02C5"/>
    <w:rsid w:val="00CB0D41"/>
    <w:rsid w:val="00CB39CD"/>
    <w:rsid w:val="00CB7C30"/>
    <w:rsid w:val="00CC2A62"/>
    <w:rsid w:val="00CC7CE6"/>
    <w:rsid w:val="00CD044C"/>
    <w:rsid w:val="00CD1A71"/>
    <w:rsid w:val="00CD1FBB"/>
    <w:rsid w:val="00CE033D"/>
    <w:rsid w:val="00CE08E5"/>
    <w:rsid w:val="00CE29B9"/>
    <w:rsid w:val="00D016B5"/>
    <w:rsid w:val="00D034F1"/>
    <w:rsid w:val="00D05828"/>
    <w:rsid w:val="00D06712"/>
    <w:rsid w:val="00D13CAA"/>
    <w:rsid w:val="00D14C21"/>
    <w:rsid w:val="00D14F42"/>
    <w:rsid w:val="00D171D4"/>
    <w:rsid w:val="00D244CB"/>
    <w:rsid w:val="00D27D5E"/>
    <w:rsid w:val="00D32B08"/>
    <w:rsid w:val="00D407D1"/>
    <w:rsid w:val="00D43E5F"/>
    <w:rsid w:val="00D46D00"/>
    <w:rsid w:val="00D51CE6"/>
    <w:rsid w:val="00D639BD"/>
    <w:rsid w:val="00D65777"/>
    <w:rsid w:val="00D66E0D"/>
    <w:rsid w:val="00D7425A"/>
    <w:rsid w:val="00D74F7E"/>
    <w:rsid w:val="00D7695F"/>
    <w:rsid w:val="00D85083"/>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4FAB"/>
    <w:rsid w:val="00E06B3F"/>
    <w:rsid w:val="00E10A73"/>
    <w:rsid w:val="00E14F27"/>
    <w:rsid w:val="00E171D2"/>
    <w:rsid w:val="00E25534"/>
    <w:rsid w:val="00E319B6"/>
    <w:rsid w:val="00E32145"/>
    <w:rsid w:val="00E32F5A"/>
    <w:rsid w:val="00E510F3"/>
    <w:rsid w:val="00E51874"/>
    <w:rsid w:val="00E56E1C"/>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695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2F6"/>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5:docId w15:val="{2673C7B5-E9A7-456D-9652-6AA55240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F36958"/>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3070</Words>
  <Characters>15321</Characters>
  <Application>Microsoft Office Word</Application>
  <DocSecurity>0</DocSecurity>
  <Lines>373</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E/ECE/324/Rev.2/Add.104/Rev.2/Amend.3</vt:lpstr>
      <vt:lpstr>E/ECE/324/Rev.2/Add.104/Rev.2/Amend.3</vt:lpstr>
    </vt:vector>
  </TitlesOfParts>
  <Company>CSD</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E/ECE/324/Rev.2/Add.104/Rev.2/Amend.3</dc:title>
  <dc:subject/>
  <dc:creator>Pascale BEYSARD</dc:creator>
  <cp:keywords>E/ECE/TRANS/505/Rev.2/Add.104/Rev.2/Amend.3</cp:keywords>
  <dc:description/>
  <cp:lastModifiedBy>Marie-Claude Collet</cp:lastModifiedBy>
  <cp:revision>3</cp:revision>
  <cp:lastPrinted>2017-09-13T11:32:00Z</cp:lastPrinted>
  <dcterms:created xsi:type="dcterms:W3CDTF">2017-09-13T11:32:00Z</dcterms:created>
  <dcterms:modified xsi:type="dcterms:W3CDTF">2017-09-13T11:32:00Z</dcterms:modified>
</cp:coreProperties>
</file>