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AE1113F" w:rsidR="0064636E" w:rsidRPr="00D47EEA" w:rsidRDefault="0064636E" w:rsidP="00CC4838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CC4838">
              <w:t>98</w:t>
            </w:r>
            <w:r w:rsidR="000C3BA6">
              <w:t>/Rev.</w:t>
            </w:r>
            <w:r w:rsidR="00F134E9">
              <w:t>3</w:t>
            </w:r>
            <w:r w:rsidR="00EE0446" w:rsidRPr="00EE0446">
              <w:t>/Amend.</w:t>
            </w:r>
            <w:r w:rsidR="00CC4838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CC4838">
              <w:t>98</w:t>
            </w:r>
            <w:r w:rsidR="00EE0446" w:rsidRPr="00EE0446">
              <w:t>/Rev.</w:t>
            </w:r>
            <w:r w:rsidR="00F134E9">
              <w:t>3</w:t>
            </w:r>
            <w:r w:rsidR="00EE0446" w:rsidRPr="00EE0446">
              <w:t>/Amend.</w:t>
            </w:r>
            <w:r w:rsidR="00CC4838">
              <w:t>3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6FF373A" w:rsidR="00C84414" w:rsidRDefault="00B0448E" w:rsidP="003C3936">
            <w:pPr>
              <w:spacing w:before="120"/>
            </w:pPr>
            <w:r>
              <w:t>26</w:t>
            </w:r>
            <w:r w:rsidR="00452738">
              <w:t xml:space="preserve"> July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5B77AE2C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CC4838">
        <w:t>98</w:t>
      </w:r>
      <w:r w:rsidR="00EE0446">
        <w:t xml:space="preserve"> </w:t>
      </w:r>
      <w:r w:rsidR="007C258F">
        <w:t>–</w:t>
      </w:r>
      <w:r>
        <w:t xml:space="preserve"> Regulation No.</w:t>
      </w:r>
      <w:r w:rsidR="00271A7F">
        <w:t xml:space="preserve"> </w:t>
      </w:r>
      <w:r w:rsidR="00CC4838">
        <w:t>99</w:t>
      </w:r>
    </w:p>
    <w:p w14:paraId="4E272B2A" w14:textId="45A9C49D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134E9">
        <w:t>3</w:t>
      </w:r>
      <w:r w:rsidR="007C258F">
        <w:t xml:space="preserve"> – </w:t>
      </w:r>
      <w:r w:rsidR="00D623A7">
        <w:t>Amendment</w:t>
      </w:r>
      <w:r w:rsidRPr="00014D07">
        <w:t xml:space="preserve"> </w:t>
      </w:r>
      <w:r w:rsidR="00CC4838">
        <w:t>3</w:t>
      </w:r>
    </w:p>
    <w:p w14:paraId="4FAFC05A" w14:textId="4F1A33AB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F134E9">
        <w:rPr>
          <w:spacing w:val="-2"/>
        </w:rPr>
        <w:t>1</w:t>
      </w:r>
      <w:r w:rsidR="00CC4838">
        <w:rPr>
          <w:spacing w:val="-2"/>
        </w:rPr>
        <w:t>2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F134E9">
        <w:rPr>
          <w:spacing w:val="-2"/>
        </w:rPr>
        <w:t>original version of the Regulation</w:t>
      </w:r>
      <w:r w:rsidR="007C258F">
        <w:rPr>
          <w:spacing w:val="-2"/>
        </w:rPr>
        <w:t xml:space="preserve"> –</w:t>
      </w:r>
      <w:r w:rsidR="0064636E" w:rsidRPr="00272880">
        <w:rPr>
          <w:spacing w:val="-2"/>
        </w:rPr>
        <w:t xml:space="preserve"> Date of entry into force: </w:t>
      </w:r>
      <w:r w:rsidR="0001071D">
        <w:t>22</w:t>
      </w:r>
      <w:r w:rsidR="00B0448E">
        <w:t xml:space="preserve"> June </w:t>
      </w:r>
      <w:r w:rsidR="0001071D">
        <w:t>2017</w:t>
      </w:r>
    </w:p>
    <w:p w14:paraId="24730B39" w14:textId="34954365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4838" w:rsidRPr="00CC4838">
        <w:rPr>
          <w:lang w:val="en-US"/>
        </w:rPr>
        <w:t>Uniform provisions concerning the approval of gas-discharge light sources for use in approved gas-discharge lamp units of power-driven vehicles</w:t>
      </w:r>
    </w:p>
    <w:p w14:paraId="02EF65D0" w14:textId="3A511FDB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9F1FD9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6</w:t>
      </w:r>
      <w:r w:rsidR="00A41529">
        <w:rPr>
          <w:spacing w:val="-6"/>
          <w:lang w:eastAsia="en-GB"/>
        </w:rPr>
        <w:t>/</w:t>
      </w:r>
      <w:r w:rsidR="00F134E9">
        <w:rPr>
          <w:spacing w:val="-6"/>
          <w:lang w:eastAsia="en-GB"/>
        </w:rPr>
        <w:t>8</w:t>
      </w:r>
      <w:r w:rsidR="00CC4838">
        <w:rPr>
          <w:spacing w:val="-6"/>
          <w:lang w:eastAsia="en-GB"/>
        </w:rPr>
        <w:t>5</w:t>
      </w:r>
      <w:r w:rsidR="009F1FD9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4C816B75" w14:textId="77777777" w:rsidR="00CC4838" w:rsidRPr="008A1A9A" w:rsidRDefault="00D5540C" w:rsidP="00CC4838">
      <w:pPr>
        <w:pStyle w:val="para"/>
        <w:rPr>
          <w:lang w:val="en-US"/>
        </w:rPr>
      </w:pPr>
      <w:r>
        <w:br w:type="page"/>
      </w:r>
      <w:r w:rsidR="00CC4838" w:rsidRPr="008A1A9A">
        <w:rPr>
          <w:i/>
          <w:lang w:val="en-US"/>
        </w:rPr>
        <w:lastRenderedPageBreak/>
        <w:t>The title,</w:t>
      </w:r>
      <w:r w:rsidR="00CC4838" w:rsidRPr="008A1A9A">
        <w:rPr>
          <w:lang w:val="en-US"/>
        </w:rPr>
        <w:t xml:space="preserve"> amend to read:</w:t>
      </w:r>
    </w:p>
    <w:p w14:paraId="1C043608" w14:textId="77777777" w:rsidR="00CC4838" w:rsidRPr="00651E71" w:rsidRDefault="00CC4838" w:rsidP="00CC4838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51E71">
        <w:rPr>
          <w:lang w:val="en-US"/>
        </w:rPr>
        <w:t>"Uniform provisions concerning the approval of gas-discharge light sources for use in approved lamps of power-driven vehicles"</w:t>
      </w:r>
    </w:p>
    <w:p w14:paraId="6899922B" w14:textId="77777777" w:rsidR="00CC4838" w:rsidRPr="008A1A9A" w:rsidRDefault="00CC4838" w:rsidP="00CC4838">
      <w:pPr>
        <w:pStyle w:val="para"/>
        <w:rPr>
          <w:lang w:val="en-US"/>
        </w:rPr>
      </w:pPr>
      <w:r w:rsidRPr="008A1A9A">
        <w:rPr>
          <w:i/>
          <w:lang w:val="en-US"/>
        </w:rPr>
        <w:t xml:space="preserve">Paragraph </w:t>
      </w:r>
      <w:proofErr w:type="gramStart"/>
      <w:r w:rsidRPr="008A1A9A">
        <w:rPr>
          <w:i/>
          <w:lang w:val="en-US"/>
        </w:rPr>
        <w:t>1.,</w:t>
      </w:r>
      <w:proofErr w:type="gramEnd"/>
      <w:r w:rsidRPr="008A1A9A">
        <w:rPr>
          <w:lang w:val="en-US"/>
        </w:rPr>
        <w:t xml:space="preserve"> amend to read:</w:t>
      </w:r>
    </w:p>
    <w:p w14:paraId="66895D7A" w14:textId="77777777" w:rsidR="00CC4838" w:rsidRPr="00651E71" w:rsidRDefault="00CC4838" w:rsidP="00CC4838">
      <w:pPr>
        <w:spacing w:after="120"/>
        <w:ind w:left="1134"/>
        <w:rPr>
          <w:b/>
          <w:snapToGrid w:val="0"/>
          <w:sz w:val="28"/>
          <w:szCs w:val="28"/>
          <w:lang w:val="en-US"/>
        </w:rPr>
      </w:pPr>
      <w:bookmarkStart w:id="2" w:name="_Toc386202957"/>
      <w:r w:rsidRPr="00651E71">
        <w:rPr>
          <w:b/>
          <w:snapToGrid w:val="0"/>
          <w:sz w:val="28"/>
          <w:szCs w:val="28"/>
          <w:lang w:val="en-US"/>
        </w:rPr>
        <w:t>"1.</w:t>
      </w:r>
      <w:r w:rsidRPr="00651E71">
        <w:rPr>
          <w:b/>
          <w:snapToGrid w:val="0"/>
          <w:sz w:val="28"/>
          <w:szCs w:val="28"/>
          <w:lang w:val="en-US"/>
        </w:rPr>
        <w:tab/>
      </w:r>
      <w:r w:rsidRPr="00651E71">
        <w:rPr>
          <w:b/>
          <w:snapToGrid w:val="0"/>
          <w:sz w:val="28"/>
          <w:szCs w:val="28"/>
          <w:lang w:val="en-US"/>
        </w:rPr>
        <w:tab/>
        <w:t>Scope</w:t>
      </w:r>
      <w:bookmarkEnd w:id="2"/>
    </w:p>
    <w:p w14:paraId="3ED3F3B4" w14:textId="77777777" w:rsidR="00CC4838" w:rsidRPr="001A5242" w:rsidRDefault="00CC4838" w:rsidP="00CC4838">
      <w:pPr>
        <w:pStyle w:val="SingleTxtG"/>
        <w:ind w:left="2268"/>
        <w:rPr>
          <w:snapToGrid w:val="0"/>
          <w:spacing w:val="-2"/>
          <w:lang w:val="en-US"/>
        </w:rPr>
      </w:pPr>
      <w:r w:rsidRPr="001A5242">
        <w:rPr>
          <w:snapToGrid w:val="0"/>
          <w:spacing w:val="-2"/>
          <w:lang w:val="en-US"/>
        </w:rPr>
        <w:t>This Regulation applies to gas-discharge light sources shown in Annex 1 to this Regulation and intended for use in approved lamp</w:t>
      </w:r>
      <w:r w:rsidRPr="001A5242">
        <w:rPr>
          <w:b/>
          <w:snapToGrid w:val="0"/>
          <w:spacing w:val="-2"/>
          <w:lang w:val="en-US"/>
        </w:rPr>
        <w:t>s</w:t>
      </w:r>
      <w:r w:rsidRPr="001A5242">
        <w:rPr>
          <w:snapToGrid w:val="0"/>
          <w:spacing w:val="-2"/>
          <w:lang w:val="en-US"/>
        </w:rPr>
        <w:t xml:space="preserve"> of power-driven vehicles."</w:t>
      </w:r>
    </w:p>
    <w:p w14:paraId="643906D2" w14:textId="77777777" w:rsidR="00CC4838" w:rsidRPr="00000DB0" w:rsidRDefault="00CC4838" w:rsidP="00CC4838">
      <w:pPr>
        <w:pStyle w:val="SingleTxtG"/>
        <w:rPr>
          <w:snapToGrid w:val="0"/>
          <w:lang w:val="en-US"/>
        </w:rPr>
      </w:pPr>
      <w:proofErr w:type="gramStart"/>
      <w:r w:rsidRPr="00000DB0">
        <w:rPr>
          <w:i/>
          <w:snapToGrid w:val="0"/>
          <w:lang w:val="en-US"/>
        </w:rPr>
        <w:t>Paragraph 2.3.4.</w:t>
      </w:r>
      <w:proofErr w:type="gramEnd"/>
      <w:r w:rsidRPr="00000DB0">
        <w:rPr>
          <w:snapToGrid w:val="0"/>
          <w:lang w:val="en-US"/>
        </w:rPr>
        <w:t xml:space="preserve">, </w:t>
      </w:r>
      <w:proofErr w:type="gramStart"/>
      <w:r w:rsidRPr="00000DB0">
        <w:rPr>
          <w:snapToGrid w:val="0"/>
          <w:lang w:val="en-US"/>
        </w:rPr>
        <w:t>amend to read</w:t>
      </w:r>
      <w:proofErr w:type="gramEnd"/>
      <w:r w:rsidRPr="00000DB0">
        <w:rPr>
          <w:snapToGrid w:val="0"/>
          <w:lang w:val="en-US"/>
        </w:rPr>
        <w:t>:</w:t>
      </w:r>
    </w:p>
    <w:p w14:paraId="7AC79C99" w14:textId="77777777" w:rsidR="00CC4838" w:rsidRPr="00651E71" w:rsidRDefault="00CC4838" w:rsidP="00CC4838">
      <w:pPr>
        <w:pStyle w:val="SingleTxtG"/>
        <w:ind w:left="2259" w:hanging="1125"/>
        <w:rPr>
          <w:snapToGrid w:val="0"/>
          <w:lang w:val="en-US"/>
        </w:rPr>
      </w:pPr>
      <w:r w:rsidRPr="00000DB0">
        <w:rPr>
          <w:snapToGrid w:val="0"/>
          <w:lang w:val="en-US"/>
        </w:rPr>
        <w:t>"2.3.4.</w:t>
      </w:r>
      <w:r w:rsidRPr="00000DB0">
        <w:rPr>
          <w:snapToGrid w:val="0"/>
          <w:lang w:val="en-US"/>
        </w:rPr>
        <w:tab/>
        <w:t xml:space="preserve">In case the ballast is not integrated with the light source, the ballast used for </w:t>
      </w:r>
      <w:r w:rsidRPr="00651E71">
        <w:rPr>
          <w:snapToGrid w:val="0"/>
          <w:lang w:val="en-US"/>
        </w:rPr>
        <w:t xml:space="preserve">the type </w:t>
      </w:r>
      <w:r w:rsidRPr="00651E71">
        <w:rPr>
          <w:lang w:val="en-US"/>
        </w:rPr>
        <w:t>approval</w:t>
      </w:r>
      <w:r w:rsidRPr="00651E71">
        <w:rPr>
          <w:snapToGrid w:val="0"/>
          <w:lang w:val="en-US"/>
        </w:rPr>
        <w:t xml:space="preserve"> of the light source shall be marked with type and trade mark identification and with the rated voltage and wattage, as indicated on the relevant gas-discharge light source sheet.</w:t>
      </w:r>
      <w:r>
        <w:rPr>
          <w:snapToGrid w:val="0"/>
          <w:lang w:val="en-US"/>
        </w:rPr>
        <w:t>"</w:t>
      </w:r>
    </w:p>
    <w:p w14:paraId="56CF9284" w14:textId="77777777" w:rsidR="00CC4838" w:rsidRPr="00000DB0" w:rsidRDefault="00CC4838" w:rsidP="00CC4838">
      <w:pPr>
        <w:pStyle w:val="SingleTxtG"/>
        <w:ind w:left="2259" w:hanging="1125"/>
        <w:rPr>
          <w:snapToGrid w:val="0"/>
          <w:lang w:val="en-US"/>
        </w:rPr>
      </w:pPr>
      <w:r w:rsidRPr="00000DB0">
        <w:rPr>
          <w:i/>
          <w:snapToGrid w:val="0"/>
          <w:lang w:val="en-US"/>
        </w:rPr>
        <w:t>Paragraph 3.1.</w:t>
      </w:r>
      <w:r>
        <w:rPr>
          <w:i/>
          <w:snapToGrid w:val="0"/>
          <w:lang w:val="en-US"/>
        </w:rPr>
        <w:t xml:space="preserve"> </w:t>
      </w:r>
      <w:proofErr w:type="gramStart"/>
      <w:r>
        <w:rPr>
          <w:i/>
          <w:snapToGrid w:val="0"/>
          <w:lang w:val="en-US"/>
        </w:rPr>
        <w:t>and</w:t>
      </w:r>
      <w:proofErr w:type="gramEnd"/>
      <w:r>
        <w:rPr>
          <w:i/>
          <w:snapToGrid w:val="0"/>
          <w:lang w:val="en-US"/>
        </w:rPr>
        <w:t xml:space="preserve"> its subparagraphs</w:t>
      </w:r>
      <w:r w:rsidRPr="00000DB0">
        <w:rPr>
          <w:snapToGrid w:val="0"/>
          <w:lang w:val="en-US"/>
        </w:rPr>
        <w:t>, replace to read:</w:t>
      </w:r>
    </w:p>
    <w:p w14:paraId="7434B262" w14:textId="77777777" w:rsidR="00CC4838" w:rsidRPr="00651E71" w:rsidRDefault="00CC4838" w:rsidP="00CC4838">
      <w:pPr>
        <w:pStyle w:val="SingleTxtG"/>
        <w:ind w:left="2268" w:hanging="1134"/>
        <w:rPr>
          <w:lang w:val="en-US"/>
        </w:rPr>
      </w:pPr>
      <w:r w:rsidRPr="00651E71">
        <w:rPr>
          <w:lang w:val="en-US"/>
        </w:rPr>
        <w:t>"3.1.</w:t>
      </w:r>
      <w:r w:rsidRPr="00651E71">
        <w:rPr>
          <w:lang w:val="en-US"/>
        </w:rPr>
        <w:tab/>
        <w:t>Definitions</w:t>
      </w:r>
    </w:p>
    <w:p w14:paraId="24AC510A" w14:textId="3349D9AF" w:rsidR="00CC4838" w:rsidRDefault="00CC4838" w:rsidP="00CC4838">
      <w:pPr>
        <w:pStyle w:val="SingleTxtG"/>
        <w:ind w:left="2268"/>
        <w:rPr>
          <w:lang w:val="en-US"/>
        </w:rPr>
      </w:pPr>
      <w:r w:rsidRPr="00651E71">
        <w:rPr>
          <w:lang w:val="en-US"/>
        </w:rPr>
        <w:t>The d</w:t>
      </w:r>
      <w:r w:rsidR="00213593">
        <w:rPr>
          <w:lang w:val="en-US"/>
        </w:rPr>
        <w:t xml:space="preserve">efinitions given in Resolution R.E.5 </w:t>
      </w:r>
      <w:r w:rsidRPr="00651E71">
        <w:rPr>
          <w:lang w:val="en-US"/>
        </w:rPr>
        <w:t>or its subsequent revisions, applicable at the time of application for type approval shall apply.</w:t>
      </w:r>
    </w:p>
    <w:p w14:paraId="3B2A18AF" w14:textId="77777777" w:rsidR="00CC4838" w:rsidRPr="00000DB0" w:rsidRDefault="00CC4838" w:rsidP="00CC4838">
      <w:pPr>
        <w:pStyle w:val="SingleTxtG"/>
        <w:ind w:left="2259" w:hanging="1125"/>
        <w:rPr>
          <w:lang w:val="en-US"/>
        </w:rPr>
      </w:pPr>
      <w:r w:rsidRPr="00000DB0">
        <w:rPr>
          <w:i/>
          <w:lang w:val="en-US"/>
        </w:rPr>
        <w:t>Insert a new paragraph 3.2.3.</w:t>
      </w:r>
      <w:r w:rsidRPr="00000DB0">
        <w:rPr>
          <w:lang w:val="en-US"/>
        </w:rPr>
        <w:t>, to read:</w:t>
      </w:r>
    </w:p>
    <w:p w14:paraId="5901CB1D" w14:textId="77777777" w:rsidR="00CC4838" w:rsidRPr="00651E71" w:rsidRDefault="00CC4838" w:rsidP="00CC4838">
      <w:pPr>
        <w:pStyle w:val="para"/>
      </w:pPr>
      <w:r w:rsidRPr="00651E71">
        <w:t>"3.2.3.</w:t>
      </w:r>
      <w:r w:rsidRPr="00651E71">
        <w:tab/>
        <w:t>The discharge arc shall be the only element of the gas-discharge light source that generates and emits light when energi</w:t>
      </w:r>
      <w:r>
        <w:t>z</w:t>
      </w:r>
      <w:r w:rsidRPr="00651E71">
        <w:t>ed."</w:t>
      </w:r>
    </w:p>
    <w:p w14:paraId="34D9F3B3" w14:textId="77777777" w:rsidR="00CC4838" w:rsidRPr="00000DB0" w:rsidRDefault="00CC4838" w:rsidP="00CC4838">
      <w:pPr>
        <w:pStyle w:val="SingleTxtG"/>
        <w:ind w:left="2259" w:hanging="1125"/>
        <w:rPr>
          <w:lang w:val="en-US"/>
        </w:rPr>
      </w:pPr>
      <w:proofErr w:type="gramStart"/>
      <w:r w:rsidRPr="00000DB0">
        <w:rPr>
          <w:i/>
          <w:lang w:val="en-US"/>
        </w:rPr>
        <w:t>Paragraph 3.3.3.</w:t>
      </w:r>
      <w:proofErr w:type="gramEnd"/>
      <w:r w:rsidRPr="00000DB0">
        <w:rPr>
          <w:i/>
          <w:lang w:val="en-US"/>
        </w:rPr>
        <w:t xml:space="preserve">, </w:t>
      </w:r>
      <w:proofErr w:type="gramStart"/>
      <w:r w:rsidRPr="00000DB0">
        <w:rPr>
          <w:lang w:val="en-US"/>
        </w:rPr>
        <w:t>amend to read</w:t>
      </w:r>
      <w:proofErr w:type="gramEnd"/>
      <w:r w:rsidRPr="00000DB0">
        <w:rPr>
          <w:lang w:val="en-US"/>
        </w:rPr>
        <w:t>:</w:t>
      </w:r>
    </w:p>
    <w:p w14:paraId="2866DD8A" w14:textId="77777777" w:rsidR="00CC4838" w:rsidRDefault="00CC4838" w:rsidP="00CC4838">
      <w:pPr>
        <w:pStyle w:val="SingleTxtG"/>
        <w:spacing w:after="0"/>
        <w:ind w:left="2257" w:hanging="1123"/>
        <w:rPr>
          <w:lang w:val="en-US"/>
        </w:rPr>
      </w:pPr>
      <w:r w:rsidRPr="00FC0475">
        <w:rPr>
          <w:lang w:val="en-US"/>
        </w:rPr>
        <w:t>"</w:t>
      </w:r>
      <w:r w:rsidRPr="00000DB0">
        <w:rPr>
          <w:lang w:val="en-US"/>
        </w:rPr>
        <w:t>3.3.3.</w:t>
      </w:r>
      <w:r w:rsidRPr="00000DB0">
        <w:rPr>
          <w:i/>
          <w:lang w:val="en-US"/>
        </w:rPr>
        <w:tab/>
      </w:r>
      <w:r w:rsidRPr="00000DB0">
        <w:rPr>
          <w:lang w:val="en-US"/>
        </w:rPr>
        <w:t>Gas-discharge light sources shall be equipped with standard caps complying with the cap data sheets of IEC Publication 60061, as specified on the individual data sheets of Annex 1 to this Regulation.</w:t>
      </w:r>
      <w:r>
        <w:rPr>
          <w:lang w:val="en-US"/>
        </w:rPr>
        <w:t>"</w:t>
      </w:r>
    </w:p>
    <w:p w14:paraId="79ED10D1" w14:textId="77777777" w:rsidR="009F1FD9" w:rsidRDefault="009F1FD9">
      <w:pPr>
        <w:suppressAutoHyphens w:val="0"/>
        <w:spacing w:line="240" w:lineRule="auto"/>
        <w:rPr>
          <w:i/>
          <w:lang w:val="en-US"/>
        </w:rPr>
      </w:pPr>
      <w:r>
        <w:rPr>
          <w:i/>
          <w:lang w:val="en-US"/>
        </w:rPr>
        <w:br w:type="page"/>
      </w:r>
    </w:p>
    <w:p w14:paraId="0D4DC3DD" w14:textId="28C71E95" w:rsidR="00CC4838" w:rsidRPr="00000DB0" w:rsidRDefault="00CC4838" w:rsidP="00CC4838">
      <w:pPr>
        <w:pStyle w:val="SingleTxtG"/>
        <w:spacing w:before="120"/>
        <w:ind w:left="2268" w:hanging="1134"/>
        <w:rPr>
          <w:lang w:val="en-US"/>
        </w:rPr>
      </w:pPr>
      <w:r w:rsidRPr="00000DB0">
        <w:rPr>
          <w:i/>
          <w:lang w:val="en-US"/>
        </w:rPr>
        <w:lastRenderedPageBreak/>
        <w:t xml:space="preserve">Annex </w:t>
      </w:r>
      <w:proofErr w:type="gramStart"/>
      <w:r w:rsidRPr="00000DB0">
        <w:rPr>
          <w:i/>
          <w:lang w:val="en-US"/>
        </w:rPr>
        <w:t>1</w:t>
      </w:r>
      <w:proofErr w:type="gramEnd"/>
      <w:r w:rsidRPr="00000DB0">
        <w:rPr>
          <w:i/>
          <w:lang w:val="en-US"/>
        </w:rPr>
        <w:t xml:space="preserve">, </w:t>
      </w:r>
      <w:r w:rsidRPr="00000DB0">
        <w:rPr>
          <w:lang w:val="en-US"/>
        </w:rPr>
        <w:t>replace to read:</w:t>
      </w:r>
    </w:p>
    <w:p w14:paraId="7B5FA8C2" w14:textId="77777777" w:rsidR="00CC4838" w:rsidRPr="00651E71" w:rsidRDefault="00CC4838" w:rsidP="00CC4838">
      <w:pPr>
        <w:pStyle w:val="HChG"/>
        <w:rPr>
          <w:lang w:val="en-US"/>
        </w:rPr>
      </w:pPr>
      <w:r w:rsidRPr="00651E71">
        <w:rPr>
          <w:lang w:val="en-US"/>
        </w:rPr>
        <w:t>"</w:t>
      </w:r>
      <w:bookmarkStart w:id="3" w:name="_Toc386202964"/>
      <w:r w:rsidRPr="00651E71">
        <w:rPr>
          <w:lang w:val="en-US"/>
        </w:rPr>
        <w:t>Annex 1</w:t>
      </w:r>
      <w:bookmarkEnd w:id="3"/>
    </w:p>
    <w:p w14:paraId="1FDA1284" w14:textId="77777777" w:rsidR="00CC4838" w:rsidRPr="00651E71" w:rsidRDefault="00CC4838" w:rsidP="00CC4838">
      <w:pPr>
        <w:pStyle w:val="HChG"/>
        <w:rPr>
          <w:lang w:val="en-US"/>
        </w:rPr>
      </w:pPr>
      <w:bookmarkStart w:id="4" w:name="_Toc386202965"/>
      <w:r>
        <w:rPr>
          <w:lang w:val="en-US"/>
        </w:rPr>
        <w:tab/>
      </w:r>
      <w:r>
        <w:rPr>
          <w:lang w:val="en-US"/>
        </w:rPr>
        <w:tab/>
      </w:r>
      <w:r w:rsidRPr="00651E71">
        <w:rPr>
          <w:lang w:val="en-US"/>
        </w:rPr>
        <w:t>Sheets</w:t>
      </w:r>
      <w:r w:rsidRPr="005A25AE">
        <w:rPr>
          <w:vertAlign w:val="superscript"/>
        </w:rPr>
        <w:t>1</w:t>
      </w:r>
      <w:r w:rsidRPr="00651E71">
        <w:rPr>
          <w:lang w:val="en-US"/>
        </w:rPr>
        <w:t xml:space="preserve"> for gas-discharge light sources</w:t>
      </w:r>
      <w:bookmarkEnd w:id="4"/>
    </w:p>
    <w:p w14:paraId="0C050522" w14:textId="460672B1" w:rsidR="00CC4838" w:rsidRDefault="00CC4838" w:rsidP="00CC4838">
      <w:pPr>
        <w:spacing w:after="120"/>
        <w:ind w:left="1134" w:right="1134"/>
        <w:jc w:val="both"/>
        <w:rPr>
          <w:lang w:val="en-US"/>
        </w:rPr>
      </w:pPr>
      <w:r w:rsidRPr="00651E71">
        <w:rPr>
          <w:lang w:val="en-US"/>
        </w:rPr>
        <w:t xml:space="preserve">The sheets of the relevant gas-discharge light source category and the group in which this category </w:t>
      </w:r>
      <w:proofErr w:type="gramStart"/>
      <w:r w:rsidRPr="00651E71">
        <w:rPr>
          <w:lang w:val="en-US"/>
        </w:rPr>
        <w:t>is listed</w:t>
      </w:r>
      <w:proofErr w:type="gramEnd"/>
      <w:r w:rsidRPr="00651E71">
        <w:rPr>
          <w:lang w:val="en-US"/>
        </w:rPr>
        <w:t xml:space="preserve"> with restrictions on the use of this category shall apply</w:t>
      </w:r>
      <w:r w:rsidR="00213593">
        <w:rPr>
          <w:lang w:val="en-US"/>
        </w:rPr>
        <w:t xml:space="preserve"> as incorporated in Resolution R.E.5</w:t>
      </w:r>
      <w:r w:rsidR="00880BCF" w:rsidRPr="00880BCF">
        <w:rPr>
          <w:vertAlign w:val="superscript"/>
          <w:lang w:val="en-US"/>
        </w:rPr>
        <w:t>1</w:t>
      </w:r>
      <w:r w:rsidRPr="00651E71">
        <w:rPr>
          <w:lang w:val="en-US"/>
        </w:rPr>
        <w:t xml:space="preserve"> or its subsequent revisions, applicable at the time of application for type approval of the gas-discharge light source.</w:t>
      </w:r>
    </w:p>
    <w:p w14:paraId="37A29F27" w14:textId="77777777" w:rsidR="00CC4838" w:rsidRPr="00AC18AD" w:rsidRDefault="00CC4838" w:rsidP="00CC4838">
      <w:pPr>
        <w:keepNext/>
        <w:keepLines/>
        <w:spacing w:after="120"/>
        <w:ind w:left="567" w:right="1134"/>
        <w:jc w:val="both"/>
        <w:rPr>
          <w:lang w:val="en-US"/>
        </w:rPr>
      </w:pPr>
      <w:r>
        <w:rPr>
          <w:lang w:val="en-US"/>
        </w:rPr>
        <w:t>______________</w:t>
      </w:r>
    </w:p>
    <w:p w14:paraId="74C05EAD" w14:textId="4827B570" w:rsidR="00CC4838" w:rsidRPr="00651E71" w:rsidRDefault="00CC4838" w:rsidP="00CC4838">
      <w:pPr>
        <w:pStyle w:val="FootnoteText"/>
        <w:keepNext/>
        <w:keepLines/>
        <w:rPr>
          <w:szCs w:val="18"/>
          <w:lang w:val="en-US"/>
        </w:rPr>
      </w:pPr>
      <w:r>
        <w:rPr>
          <w:vertAlign w:val="superscript"/>
          <w:lang w:val="en-US"/>
        </w:rPr>
        <w:tab/>
      </w:r>
      <w:r w:rsidRPr="005A25AE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ab/>
      </w:r>
      <w:r w:rsidR="00213593">
        <w:rPr>
          <w:lang w:val="en-US"/>
        </w:rPr>
        <w:t>From 22 June 2017</w:t>
      </w:r>
      <w:r w:rsidRPr="005A25AE">
        <w:rPr>
          <w:lang w:val="en-US"/>
        </w:rPr>
        <w:t xml:space="preserve"> onwards, the sheets for gas-discharge light sources, the list and group of light source categories with restrictions on the use of this category and their sheet numbers </w:t>
      </w:r>
      <w:r w:rsidR="00213593">
        <w:rPr>
          <w:lang w:val="en-US"/>
        </w:rPr>
        <w:t xml:space="preserve">are incorporated in Resolution </w:t>
      </w:r>
      <w:r w:rsidRPr="005A25AE">
        <w:rPr>
          <w:lang w:val="en-US"/>
        </w:rPr>
        <w:t>R.E</w:t>
      </w:r>
      <w:r w:rsidR="007C258F">
        <w:rPr>
          <w:lang w:val="en-US"/>
        </w:rPr>
        <w:t>.5</w:t>
      </w:r>
      <w:bookmarkStart w:id="5" w:name="_GoBack"/>
      <w:bookmarkEnd w:id="5"/>
      <w:r w:rsidR="00213593">
        <w:rPr>
          <w:lang w:val="en-US"/>
        </w:rPr>
        <w:t xml:space="preserve"> </w:t>
      </w:r>
      <w:r w:rsidRPr="007F0D5E">
        <w:rPr>
          <w:lang w:val="en-US"/>
        </w:rPr>
        <w:t>with symbol ECE/TRANS/WP.29/2016/111."</w:t>
      </w:r>
      <w:r w:rsidRPr="00651E71">
        <w:rPr>
          <w:szCs w:val="18"/>
          <w:lang w:val="en-US"/>
        </w:rPr>
        <w:t xml:space="preserve"> </w:t>
      </w:r>
    </w:p>
    <w:p w14:paraId="12FD05F1" w14:textId="77777777" w:rsidR="00CC4838" w:rsidRPr="00000DB0" w:rsidRDefault="00CC4838" w:rsidP="00CC4838">
      <w:pPr>
        <w:spacing w:before="120" w:after="120"/>
        <w:ind w:left="1134"/>
        <w:rPr>
          <w:i/>
          <w:lang w:val="en-US"/>
        </w:rPr>
      </w:pPr>
      <w:r w:rsidRPr="00000DB0">
        <w:rPr>
          <w:i/>
          <w:lang w:val="en-US"/>
        </w:rPr>
        <w:t xml:space="preserve">Annex </w:t>
      </w:r>
      <w:proofErr w:type="gramStart"/>
      <w:r w:rsidRPr="00000DB0">
        <w:rPr>
          <w:i/>
          <w:lang w:val="en-US"/>
        </w:rPr>
        <w:t>4</w:t>
      </w:r>
      <w:proofErr w:type="gramEnd"/>
      <w:r w:rsidRPr="00000DB0">
        <w:rPr>
          <w:i/>
          <w:lang w:val="en-US"/>
        </w:rPr>
        <w:t>,</w:t>
      </w:r>
    </w:p>
    <w:p w14:paraId="0FD9A208" w14:textId="77777777" w:rsidR="00CC4838" w:rsidRPr="00000DB0" w:rsidRDefault="00CC4838" w:rsidP="00CC4838">
      <w:pPr>
        <w:spacing w:after="120"/>
        <w:ind w:left="1134" w:right="-1"/>
        <w:rPr>
          <w:i/>
          <w:lang w:val="en-US"/>
        </w:rPr>
      </w:pPr>
      <w:r w:rsidRPr="00000DB0">
        <w:rPr>
          <w:i/>
          <w:lang w:val="en-US"/>
        </w:rPr>
        <w:t xml:space="preserve">Paragraph </w:t>
      </w:r>
      <w:proofErr w:type="gramStart"/>
      <w:r w:rsidRPr="00000DB0">
        <w:rPr>
          <w:i/>
          <w:lang w:val="en-US"/>
        </w:rPr>
        <w:t>3.</w:t>
      </w:r>
      <w:r w:rsidRPr="00000DB0">
        <w:rPr>
          <w:lang w:val="en-US"/>
        </w:rPr>
        <w:t>,</w:t>
      </w:r>
      <w:proofErr w:type="gramEnd"/>
      <w:r w:rsidRPr="00000DB0">
        <w:rPr>
          <w:lang w:val="en-US"/>
        </w:rPr>
        <w:t xml:space="preserve"> </w:t>
      </w:r>
      <w:r w:rsidRPr="00000DB0">
        <w:rPr>
          <w:i/>
          <w:lang w:val="en-US"/>
        </w:rPr>
        <w:t>amend to read:</w:t>
      </w:r>
    </w:p>
    <w:p w14:paraId="2B29B837" w14:textId="77777777" w:rsidR="00CC4838" w:rsidRPr="00000DB0" w:rsidRDefault="00CC4838" w:rsidP="00CC4838">
      <w:pPr>
        <w:pStyle w:val="SingleTxtG"/>
        <w:tabs>
          <w:tab w:val="left" w:pos="2268"/>
          <w:tab w:val="left" w:pos="2300"/>
        </w:tabs>
        <w:ind w:left="2268" w:hanging="1134"/>
        <w:rPr>
          <w:lang w:val="en-US"/>
        </w:rPr>
      </w:pPr>
      <w:r w:rsidRPr="00000DB0">
        <w:rPr>
          <w:lang w:val="en-US"/>
        </w:rPr>
        <w:t>"3.</w:t>
      </w:r>
      <w:r w:rsidRPr="00000DB0">
        <w:rPr>
          <w:lang w:val="en-US"/>
        </w:rPr>
        <w:tab/>
        <w:t>Burning position</w:t>
      </w:r>
    </w:p>
    <w:p w14:paraId="7A8CEF5E" w14:textId="77777777" w:rsidR="00CC4838" w:rsidRPr="00000DB0" w:rsidRDefault="00CC4838" w:rsidP="00CC4838">
      <w:pPr>
        <w:pStyle w:val="SingleTxtG"/>
        <w:tabs>
          <w:tab w:val="left" w:pos="2268"/>
          <w:tab w:val="left" w:pos="2300"/>
        </w:tabs>
        <w:ind w:left="2268"/>
        <w:rPr>
          <w:lang w:val="en-US"/>
        </w:rPr>
      </w:pPr>
      <w:r w:rsidRPr="00000DB0">
        <w:rPr>
          <w:lang w:val="en-US"/>
        </w:rPr>
        <w:t xml:space="preserve">The burning position shall be horizontal within ±10° with the lead wire down. Ageing and testing positions shall be identical. If the </w:t>
      </w:r>
      <w:r w:rsidRPr="00F17E32">
        <w:rPr>
          <w:lang w:val="en-US"/>
        </w:rPr>
        <w:t xml:space="preserve">gas-discharge light source </w:t>
      </w:r>
      <w:proofErr w:type="gramStart"/>
      <w:r w:rsidRPr="00000DB0">
        <w:rPr>
          <w:lang w:val="en-US"/>
        </w:rPr>
        <w:t>is accidentally operated</w:t>
      </w:r>
      <w:proofErr w:type="gramEnd"/>
      <w:r w:rsidRPr="00000DB0">
        <w:rPr>
          <w:lang w:val="en-US"/>
        </w:rPr>
        <w:t xml:space="preserve"> in the wrong direction, it shall be re-aged before measurements begin. </w:t>
      </w:r>
      <w:r w:rsidRPr="00F17E32">
        <w:rPr>
          <w:lang w:val="en-US"/>
        </w:rPr>
        <w:t xml:space="preserve">During ageing and </w:t>
      </w:r>
      <w:proofErr w:type="gramStart"/>
      <w:r w:rsidRPr="00F17E32">
        <w:rPr>
          <w:lang w:val="en-US"/>
        </w:rPr>
        <w:t>measurements</w:t>
      </w:r>
      <w:proofErr w:type="gramEnd"/>
      <w:r w:rsidRPr="00F17E32">
        <w:rPr>
          <w:lang w:val="en-US"/>
        </w:rPr>
        <w:t xml:space="preserve"> no electrically</w:t>
      </w:r>
      <w:r>
        <w:rPr>
          <w:lang w:val="en-US"/>
        </w:rPr>
        <w:t xml:space="preserve"> </w:t>
      </w:r>
      <w:r w:rsidRPr="00F17E32">
        <w:rPr>
          <w:lang w:val="en-US"/>
        </w:rPr>
        <w:t>conducting objects shall be allowed within a cylinder having a diameter of 32</w:t>
      </w:r>
      <w:r>
        <w:rPr>
          <w:lang w:val="en-US"/>
        </w:rPr>
        <w:t xml:space="preserve"> </w:t>
      </w:r>
      <w:r w:rsidRPr="00F17E32">
        <w:rPr>
          <w:lang w:val="en-US"/>
        </w:rPr>
        <w:t>mm and a length of 60 mm concentric with the reference axis and symmetric</w:t>
      </w:r>
      <w:r>
        <w:rPr>
          <w:lang w:val="en-US"/>
        </w:rPr>
        <w:t xml:space="preserve"> </w:t>
      </w:r>
      <w:r w:rsidRPr="00F17E32">
        <w:rPr>
          <w:lang w:val="en-US"/>
        </w:rPr>
        <w:t>to the arc. Moreover stray magnetic fields shall be avoided.</w:t>
      </w:r>
      <w:r w:rsidRPr="00000DB0">
        <w:rPr>
          <w:lang w:val="en-US"/>
        </w:rPr>
        <w:t>"</w:t>
      </w:r>
    </w:p>
    <w:p w14:paraId="0BC7DDBE" w14:textId="77777777" w:rsidR="00CC4838" w:rsidRPr="00000DB0" w:rsidRDefault="00CC4838" w:rsidP="00CC4838">
      <w:pPr>
        <w:pStyle w:val="SingleTxtG"/>
        <w:tabs>
          <w:tab w:val="left" w:pos="2268"/>
          <w:tab w:val="left" w:pos="2300"/>
        </w:tabs>
        <w:rPr>
          <w:lang w:val="en-US"/>
        </w:rPr>
      </w:pPr>
      <w:r w:rsidRPr="00000DB0">
        <w:rPr>
          <w:i/>
          <w:lang w:val="en-US"/>
        </w:rPr>
        <w:t xml:space="preserve">Paragraph </w:t>
      </w:r>
      <w:proofErr w:type="gramStart"/>
      <w:r w:rsidRPr="00000DB0">
        <w:rPr>
          <w:i/>
          <w:lang w:val="en-US"/>
        </w:rPr>
        <w:t>10.</w:t>
      </w:r>
      <w:r w:rsidRPr="00000DB0">
        <w:rPr>
          <w:lang w:val="en-US"/>
        </w:rPr>
        <w:t>,</w:t>
      </w:r>
      <w:proofErr w:type="gramEnd"/>
      <w:r w:rsidRPr="00000DB0">
        <w:rPr>
          <w:lang w:val="en-US"/>
        </w:rPr>
        <w:t xml:space="preserve"> delete the figure and amend to read:</w:t>
      </w:r>
    </w:p>
    <w:p w14:paraId="0D92676B" w14:textId="77777777" w:rsidR="00CC4838" w:rsidRPr="00000DB0" w:rsidRDefault="00CC4838" w:rsidP="00CC4838">
      <w:pPr>
        <w:pStyle w:val="SingleTxtG"/>
        <w:tabs>
          <w:tab w:val="left" w:pos="2268"/>
          <w:tab w:val="left" w:pos="2300"/>
        </w:tabs>
        <w:rPr>
          <w:lang w:val="en-US" w:eastAsia="de-DE"/>
        </w:rPr>
      </w:pPr>
      <w:r w:rsidRPr="00000DB0">
        <w:rPr>
          <w:lang w:val="en-US"/>
        </w:rPr>
        <w:t>"</w:t>
      </w:r>
      <w:r w:rsidRPr="00000DB0">
        <w:rPr>
          <w:lang w:val="en-US" w:eastAsia="de-DE"/>
        </w:rPr>
        <w:t>10.</w:t>
      </w:r>
      <w:r w:rsidRPr="00000DB0">
        <w:rPr>
          <w:lang w:val="en-US" w:eastAsia="de-DE"/>
        </w:rPr>
        <w:tab/>
      </w:r>
      <w:proofErr w:type="spellStart"/>
      <w:r w:rsidRPr="00000DB0">
        <w:rPr>
          <w:snapToGrid w:val="0"/>
          <w:lang w:val="en-US"/>
        </w:rPr>
        <w:t>Colour</w:t>
      </w:r>
      <w:proofErr w:type="spellEnd"/>
    </w:p>
    <w:p w14:paraId="4496197C" w14:textId="77777777" w:rsidR="00CC4838" w:rsidRPr="00000DB0" w:rsidRDefault="00CC4838" w:rsidP="00CC4838">
      <w:pPr>
        <w:pStyle w:val="SingleTxtG"/>
        <w:ind w:left="2257" w:hanging="1123"/>
        <w:rPr>
          <w:lang w:val="en-US" w:eastAsia="de-DE"/>
        </w:rPr>
      </w:pPr>
      <w:r w:rsidRPr="00000DB0">
        <w:rPr>
          <w:lang w:val="en-US" w:eastAsia="de-DE"/>
        </w:rPr>
        <w:tab/>
        <w:t xml:space="preserve">The </w:t>
      </w:r>
      <w:proofErr w:type="spellStart"/>
      <w:r w:rsidRPr="00000DB0">
        <w:rPr>
          <w:lang w:val="en-US" w:eastAsia="de-DE"/>
        </w:rPr>
        <w:t>colour</w:t>
      </w:r>
      <w:proofErr w:type="spellEnd"/>
      <w:r w:rsidRPr="00000DB0">
        <w:rPr>
          <w:lang w:val="en-US" w:eastAsia="de-DE"/>
        </w:rPr>
        <w:t xml:space="preserve"> of the light source shall be measured in an integrating sphere using a measuring </w:t>
      </w:r>
      <w:r w:rsidRPr="00000DB0">
        <w:rPr>
          <w:snapToGrid w:val="0"/>
          <w:lang w:val="en-US"/>
        </w:rPr>
        <w:t>system</w:t>
      </w:r>
      <w:r w:rsidRPr="00000DB0">
        <w:rPr>
          <w:lang w:val="en-US" w:eastAsia="de-DE"/>
        </w:rPr>
        <w:t xml:space="preserve"> which shows the CIE chromaticity co-ordinates of the received light with a resolution of </w:t>
      </w:r>
      <w:r w:rsidRPr="008A1A9A">
        <w:rPr>
          <w:lang w:eastAsia="de-DE"/>
        </w:rPr>
        <w:sym w:font="Symbol" w:char="F0B1"/>
      </w:r>
      <w:r w:rsidRPr="00000DB0">
        <w:rPr>
          <w:lang w:val="en-US" w:eastAsia="de-DE"/>
        </w:rPr>
        <w:t xml:space="preserve"> 0.002."</w:t>
      </w:r>
    </w:p>
    <w:p w14:paraId="5A9BB037" w14:textId="77777777" w:rsidR="009F1FD9" w:rsidRDefault="009F1FD9">
      <w:pPr>
        <w:suppressAutoHyphens w:val="0"/>
        <w:spacing w:line="240" w:lineRule="auto"/>
        <w:rPr>
          <w:i/>
          <w:lang w:val="en-US"/>
        </w:rPr>
      </w:pPr>
      <w:r>
        <w:rPr>
          <w:i/>
          <w:lang w:val="en-US"/>
        </w:rPr>
        <w:br w:type="page"/>
      </w:r>
    </w:p>
    <w:p w14:paraId="4D5C8AEE" w14:textId="6DAE811A" w:rsidR="00CC4838" w:rsidRPr="00000DB0" w:rsidRDefault="00CC4838" w:rsidP="00CC4838">
      <w:pPr>
        <w:ind w:left="1134"/>
        <w:rPr>
          <w:lang w:val="en-US"/>
        </w:rPr>
      </w:pPr>
      <w:r w:rsidRPr="00000DB0">
        <w:rPr>
          <w:i/>
          <w:lang w:val="en-US"/>
        </w:rPr>
        <w:lastRenderedPageBreak/>
        <w:t xml:space="preserve">Annex </w:t>
      </w:r>
      <w:proofErr w:type="gramStart"/>
      <w:r w:rsidRPr="00000DB0">
        <w:rPr>
          <w:i/>
          <w:lang w:val="en-US"/>
        </w:rPr>
        <w:t>5</w:t>
      </w:r>
      <w:proofErr w:type="gramEnd"/>
      <w:r w:rsidRPr="00000DB0">
        <w:rPr>
          <w:i/>
          <w:lang w:val="en-US"/>
        </w:rPr>
        <w:t xml:space="preserve">, </w:t>
      </w:r>
      <w:r w:rsidRPr="00000DB0">
        <w:rPr>
          <w:lang w:val="en-US"/>
        </w:rPr>
        <w:t>amend to read:</w:t>
      </w:r>
    </w:p>
    <w:p w14:paraId="724AA0FA" w14:textId="77777777" w:rsidR="00CC4838" w:rsidRPr="00F17E32" w:rsidRDefault="00CC4838" w:rsidP="00CC4838">
      <w:pPr>
        <w:pStyle w:val="HChG"/>
        <w:spacing w:before="240"/>
        <w:rPr>
          <w:lang w:val="en-US"/>
        </w:rPr>
      </w:pPr>
      <w:bookmarkStart w:id="6" w:name="_Toc386203011"/>
      <w:r>
        <w:rPr>
          <w:lang w:val="en-US"/>
        </w:rPr>
        <w:t>"</w:t>
      </w:r>
      <w:r w:rsidRPr="00F17E32">
        <w:rPr>
          <w:lang w:val="en-US"/>
        </w:rPr>
        <w:t>Annex 5</w:t>
      </w:r>
      <w:bookmarkEnd w:id="6"/>
    </w:p>
    <w:p w14:paraId="340E92D4" w14:textId="77777777" w:rsidR="00CC4838" w:rsidRPr="00F17E32" w:rsidRDefault="00CC4838" w:rsidP="00CC4838">
      <w:pPr>
        <w:pStyle w:val="HChG"/>
        <w:rPr>
          <w:lang w:val="en-US"/>
        </w:rPr>
      </w:pPr>
      <w:r w:rsidRPr="00F17E32">
        <w:rPr>
          <w:lang w:val="en-US"/>
        </w:rPr>
        <w:tab/>
      </w:r>
      <w:r w:rsidRPr="00F17E32">
        <w:rPr>
          <w:lang w:val="en-US"/>
        </w:rPr>
        <w:tab/>
      </w:r>
      <w:bookmarkStart w:id="7" w:name="_Toc386203012"/>
      <w:r w:rsidRPr="00F17E32">
        <w:rPr>
          <w:lang w:val="en-US"/>
        </w:rPr>
        <w:t>Optical setup for the measurement of the position and form</w:t>
      </w:r>
      <w:r w:rsidRPr="00F17E32">
        <w:rPr>
          <w:lang w:val="en-US"/>
        </w:rPr>
        <w:br/>
        <w:t>of the arc and of the position of the electrodes</w:t>
      </w:r>
      <w:r w:rsidRPr="001A5242">
        <w:rPr>
          <w:rStyle w:val="FootnoteReference"/>
          <w:sz w:val="24"/>
          <w:szCs w:val="24"/>
        </w:rPr>
        <w:footnoteReference w:id="3"/>
      </w:r>
      <w:bookmarkEnd w:id="7"/>
    </w:p>
    <w:p w14:paraId="2E239A2C" w14:textId="77777777" w:rsidR="00CC4838" w:rsidRDefault="00CC4838" w:rsidP="00CC4838">
      <w:pPr>
        <w:pStyle w:val="SingleTxtG"/>
        <w:rPr>
          <w:lang w:val="en-US"/>
        </w:rPr>
      </w:pPr>
      <w:r w:rsidRPr="00F17E32">
        <w:rPr>
          <w:lang w:val="en-US"/>
        </w:rPr>
        <w:t xml:space="preserve">The gas-discharge light source </w:t>
      </w:r>
      <w:proofErr w:type="gramStart"/>
      <w:r w:rsidRPr="00F17E32">
        <w:rPr>
          <w:lang w:val="en-US"/>
        </w:rPr>
        <w:t>shall be positioned</w:t>
      </w:r>
      <w:proofErr w:type="gramEnd"/>
      <w:r w:rsidRPr="00F17E32">
        <w:rPr>
          <w:lang w:val="en-US"/>
        </w:rPr>
        <w:t xml:space="preserve"> as shown</w:t>
      </w:r>
      <w:r>
        <w:rPr>
          <w:lang w:val="en-US"/>
        </w:rPr>
        <w:t xml:space="preserve"> </w:t>
      </w:r>
      <w:r w:rsidRPr="00686E49">
        <w:rPr>
          <w:lang w:val="en-US"/>
        </w:rPr>
        <w:t>in the main drawing of the respective category.</w:t>
      </w:r>
    </w:p>
    <w:p w14:paraId="26DE4495" w14:textId="77777777" w:rsidR="00CC4838" w:rsidRPr="00F17E32" w:rsidRDefault="00CC4838" w:rsidP="00CC4838">
      <w:pPr>
        <w:pStyle w:val="SingleTxtG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16A0AFE" wp14:editId="7C3471A9">
            <wp:extent cx="4533900" cy="2329815"/>
            <wp:effectExtent l="0" t="0" r="0" b="0"/>
            <wp:docPr id="2" name="Picture 2" descr="Annex 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ex 5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BD41" w14:textId="77777777" w:rsidR="00CC4838" w:rsidRPr="00F17E32" w:rsidRDefault="00CC4838" w:rsidP="00CC4838">
      <w:pPr>
        <w:pStyle w:val="SingleTxtG"/>
        <w:rPr>
          <w:lang w:val="en-US"/>
        </w:rPr>
      </w:pPr>
      <w:r w:rsidRPr="00F17E32">
        <w:rPr>
          <w:lang w:val="en-US"/>
        </w:rPr>
        <w:t xml:space="preserve">An optical system shall project a real image A' of the arc A with a magnification of preferably M = s'/s = 20 on a screen. The optical system shall be aplanatic and achromatic. In the </w:t>
      </w:r>
      <w:proofErr w:type="gramStart"/>
      <w:r w:rsidRPr="00F17E32">
        <w:rPr>
          <w:lang w:val="en-US"/>
        </w:rPr>
        <w:t>focus-length</w:t>
      </w:r>
      <w:proofErr w:type="gramEnd"/>
      <w:r w:rsidRPr="00F17E32">
        <w:rPr>
          <w:lang w:val="en-US"/>
        </w:rPr>
        <w:t xml:space="preserve"> f of the optical system a diaphragm d shall cause a projection of the arc with nearly parallel observation directions. To get the angle of the half divergence not larger than </w:t>
      </w:r>
      <w:r>
        <w:sym w:font="Symbol" w:char="F06D"/>
      </w:r>
      <w:r w:rsidRPr="00F17E32">
        <w:rPr>
          <w:lang w:val="en-US"/>
        </w:rPr>
        <w:t xml:space="preserve"> = 0.5°, the diameter of the focus-diaphragm with respect to the focus-length of the optical system shall be not more than d = 2f </w:t>
      </w:r>
      <w:proofErr w:type="gramStart"/>
      <w:r w:rsidRPr="00F17E32">
        <w:rPr>
          <w:lang w:val="en-US"/>
        </w:rPr>
        <w:t>tan(</w:t>
      </w:r>
      <w:proofErr w:type="gramEnd"/>
      <w:r>
        <w:sym w:font="Symbol" w:char="F06D"/>
      </w:r>
      <w:r w:rsidRPr="00F17E32">
        <w:rPr>
          <w:lang w:val="en-US"/>
        </w:rPr>
        <w:t>). The active diameter of the optical system shall be not more than:</w:t>
      </w:r>
    </w:p>
    <w:p w14:paraId="02DE3824" w14:textId="77777777" w:rsidR="00CC4838" w:rsidRPr="00F17E32" w:rsidRDefault="00CC4838" w:rsidP="00CC4838">
      <w:pPr>
        <w:pStyle w:val="SingleTxtG"/>
        <w:rPr>
          <w:lang w:val="en-US"/>
        </w:rPr>
      </w:pPr>
      <w:r w:rsidRPr="00F17E32">
        <w:rPr>
          <w:lang w:val="en-US"/>
        </w:rPr>
        <w:t>D = (1 + 1/M</w:t>
      </w:r>
      <w:proofErr w:type="gramStart"/>
      <w:r w:rsidRPr="00F17E32">
        <w:rPr>
          <w:lang w:val="en-US"/>
        </w:rPr>
        <w:t>)d</w:t>
      </w:r>
      <w:proofErr w:type="gramEnd"/>
      <w:r w:rsidRPr="00F17E32">
        <w:rPr>
          <w:lang w:val="en-US"/>
        </w:rPr>
        <w:t xml:space="preserve"> + c + (b1 + b2)/2. (</w:t>
      </w:r>
      <w:proofErr w:type="gramStart"/>
      <w:r w:rsidRPr="00F17E32">
        <w:rPr>
          <w:lang w:val="en-US"/>
        </w:rPr>
        <w:t>c</w:t>
      </w:r>
      <w:proofErr w:type="gramEnd"/>
      <w:r w:rsidRPr="00F17E32">
        <w:rPr>
          <w:lang w:val="en-US"/>
        </w:rPr>
        <w:t xml:space="preserve">, b1 and b2 are given </w:t>
      </w:r>
      <w:r w:rsidRPr="00686E49">
        <w:rPr>
          <w:lang w:val="en-US"/>
        </w:rPr>
        <w:t>in the sheets prescribing the position of the electrodes</w:t>
      </w:r>
      <w:r w:rsidRPr="00F17E32">
        <w:rPr>
          <w:lang w:val="en-US"/>
        </w:rPr>
        <w:t>).</w:t>
      </w:r>
    </w:p>
    <w:p w14:paraId="221C622B" w14:textId="77777777" w:rsidR="00CC4838" w:rsidRPr="00F17E32" w:rsidRDefault="00CC4838" w:rsidP="00CC4838">
      <w:pPr>
        <w:pStyle w:val="SingleTxtG"/>
        <w:rPr>
          <w:spacing w:val="-2"/>
          <w:lang w:val="en-US"/>
        </w:rPr>
      </w:pPr>
      <w:r w:rsidRPr="00F17E32">
        <w:rPr>
          <w:lang w:val="en-US"/>
        </w:rPr>
        <w:t xml:space="preserve">A scale on the screen shall enable to measure the position of the electrodes. The calibration of the arrangement advantageously </w:t>
      </w:r>
      <w:proofErr w:type="gramStart"/>
      <w:r w:rsidRPr="00F17E32">
        <w:rPr>
          <w:lang w:val="en-US"/>
        </w:rPr>
        <w:t>can be done</w:t>
      </w:r>
      <w:proofErr w:type="gramEnd"/>
      <w:r w:rsidRPr="00F17E32">
        <w:rPr>
          <w:lang w:val="en-US"/>
        </w:rPr>
        <w:t xml:space="preserve"> by using a separate projector with a parallel beam in connection with a gauge whose shadow is projected to the screen. The gauge shall show the reference axis and the plane parallel to the reference plane and at distance "e" mm from it</w:t>
      </w:r>
      <w:r>
        <w:rPr>
          <w:lang w:val="en-US"/>
        </w:rPr>
        <w:t>.</w:t>
      </w:r>
      <w:r w:rsidRPr="00F17E32">
        <w:rPr>
          <w:lang w:val="en-US"/>
        </w:rPr>
        <w:t xml:space="preserve"> </w:t>
      </w:r>
    </w:p>
    <w:p w14:paraId="35EEE217" w14:textId="77777777" w:rsidR="00CC4838" w:rsidRPr="00F17E32" w:rsidRDefault="00CC4838" w:rsidP="00CC4838">
      <w:pPr>
        <w:pStyle w:val="SingleTxtG"/>
        <w:rPr>
          <w:spacing w:val="-2"/>
          <w:lang w:val="en-US"/>
        </w:rPr>
      </w:pPr>
      <w:r w:rsidRPr="00F17E32">
        <w:rPr>
          <w:spacing w:val="-2"/>
          <w:lang w:val="en-US"/>
        </w:rPr>
        <w:t xml:space="preserve">In the plane of the </w:t>
      </w:r>
      <w:proofErr w:type="gramStart"/>
      <w:r w:rsidRPr="00F17E32">
        <w:rPr>
          <w:spacing w:val="-2"/>
          <w:lang w:val="en-US"/>
        </w:rPr>
        <w:t>screen</w:t>
      </w:r>
      <w:proofErr w:type="gramEnd"/>
      <w:r w:rsidRPr="00F17E32">
        <w:rPr>
          <w:spacing w:val="-2"/>
          <w:lang w:val="en-US"/>
        </w:rPr>
        <w:t xml:space="preserve"> a receiver has to be mounted movable in a vertical direction on a line corresponding to the plane at "e" from the reference plane of the gas discharge light source.</w:t>
      </w:r>
    </w:p>
    <w:p w14:paraId="28646E5D" w14:textId="77777777" w:rsidR="00CC4838" w:rsidRPr="00F17E32" w:rsidRDefault="00CC4838" w:rsidP="00CC4838">
      <w:pPr>
        <w:pStyle w:val="SingleTxtG"/>
        <w:rPr>
          <w:lang w:val="en-US"/>
        </w:rPr>
      </w:pPr>
      <w:r w:rsidRPr="00F17E32">
        <w:rPr>
          <w:lang w:val="en-US"/>
        </w:rPr>
        <w:t xml:space="preserve">The receiver shall have the relative spectral sensitivity of the human eye. The size of the receiver shall be not more than 0.2 M mm in the horizontal and not more than 0.025 M mm in the vertical direction (M = the magnification). The range of measurable movement shall be such that the required measures of the arc bending r and arc diffusion s </w:t>
      </w:r>
      <w:proofErr w:type="gramStart"/>
      <w:r w:rsidRPr="00F17E32">
        <w:rPr>
          <w:lang w:val="en-US"/>
        </w:rPr>
        <w:t>can be measured</w:t>
      </w:r>
      <w:proofErr w:type="gramEnd"/>
      <w:r w:rsidRPr="00F17E32">
        <w:rPr>
          <w:lang w:val="en-US"/>
        </w:rPr>
        <w:t>.</w:t>
      </w:r>
      <w:r w:rsidRPr="00686E49">
        <w:rPr>
          <w:lang w:val="en-US"/>
        </w:rPr>
        <w:t xml:space="preserve"> </w:t>
      </w:r>
      <w:r w:rsidRPr="00686E49">
        <w:rPr>
          <w:lang w:val="en-US"/>
        </w:rPr>
        <w:lastRenderedPageBreak/>
        <w:t>For the measurement of the stray light, the size of the receiver shall be circular with a diameter of 0.2M mm diameter."</w:t>
      </w:r>
    </w:p>
    <w:p w14:paraId="2FEAAFBE" w14:textId="77777777" w:rsidR="00CC4838" w:rsidRPr="00686E49" w:rsidRDefault="00CC4838" w:rsidP="00CC4838">
      <w:pPr>
        <w:pStyle w:val="SingleTxtG"/>
        <w:rPr>
          <w:i/>
          <w:lang w:val="en-US"/>
        </w:rPr>
      </w:pPr>
      <w:r w:rsidRPr="00686E49">
        <w:rPr>
          <w:i/>
          <w:lang w:val="en-US"/>
        </w:rPr>
        <w:t xml:space="preserve">Annex </w:t>
      </w:r>
      <w:proofErr w:type="gramStart"/>
      <w:r w:rsidRPr="00686E49">
        <w:rPr>
          <w:i/>
          <w:lang w:val="en-US"/>
        </w:rPr>
        <w:t>7</w:t>
      </w:r>
      <w:proofErr w:type="gramEnd"/>
      <w:r w:rsidRPr="00686E49">
        <w:rPr>
          <w:i/>
          <w:lang w:val="en-US"/>
        </w:rPr>
        <w:t>,</w:t>
      </w:r>
    </w:p>
    <w:p w14:paraId="5964CA36" w14:textId="77777777" w:rsidR="00CC4838" w:rsidRPr="00686E49" w:rsidRDefault="00CC4838" w:rsidP="00CC4838">
      <w:pPr>
        <w:pStyle w:val="SingleTxtG"/>
        <w:rPr>
          <w:lang w:val="en-US"/>
        </w:rPr>
      </w:pPr>
      <w:r w:rsidRPr="00686E49">
        <w:rPr>
          <w:i/>
          <w:lang w:val="en-US"/>
        </w:rPr>
        <w:t xml:space="preserve">Table </w:t>
      </w:r>
      <w:proofErr w:type="gramStart"/>
      <w:r w:rsidRPr="00686E49">
        <w:rPr>
          <w:i/>
          <w:lang w:val="en-US"/>
        </w:rPr>
        <w:t>1</w:t>
      </w:r>
      <w:proofErr w:type="gramEnd"/>
      <w:r w:rsidRPr="00686E49">
        <w:rPr>
          <w:i/>
          <w:lang w:val="en-US"/>
        </w:rPr>
        <w:t xml:space="preserve">, row "Lamp </w:t>
      </w:r>
      <w:r>
        <w:rPr>
          <w:i/>
          <w:lang w:val="en-US"/>
        </w:rPr>
        <w:t xml:space="preserve">voltage and wattage", </w:t>
      </w:r>
      <w:r w:rsidRPr="00686E49">
        <w:rPr>
          <w:lang w:val="en-US"/>
        </w:rPr>
        <w:t>amend to read:</w:t>
      </w:r>
    </w:p>
    <w:p w14:paraId="0AAE70AF" w14:textId="77777777" w:rsidR="00CC4838" w:rsidRPr="008A1A9A" w:rsidRDefault="00CC4838" w:rsidP="00CC4838">
      <w:pPr>
        <w:pStyle w:val="Heading1"/>
        <w:numPr>
          <w:ilvl w:val="0"/>
          <w:numId w:val="0"/>
        </w:numPr>
        <w:ind w:left="567" w:firstLine="567"/>
      </w:pPr>
      <w:r w:rsidRPr="008A1A9A">
        <w:t>"...</w:t>
      </w:r>
    </w:p>
    <w:tbl>
      <w:tblPr>
        <w:tblW w:w="7371" w:type="dxa"/>
        <w:tblInd w:w="1134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</w:tblGrid>
      <w:tr w:rsidR="00CC4838" w:rsidRPr="00972610" w14:paraId="005ED194" w14:textId="77777777" w:rsidTr="0030353E">
        <w:trPr>
          <w:cantSplit/>
          <w:tblHeader/>
        </w:trPr>
        <w:tc>
          <w:tcPr>
            <w:tcW w:w="184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258EBD" w14:textId="77777777" w:rsidR="00CC4838" w:rsidRPr="008A1A9A" w:rsidRDefault="00CC4838" w:rsidP="0030353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8A1A9A">
              <w:rPr>
                <w:i/>
                <w:sz w:val="16"/>
              </w:rPr>
              <w:t>Grouping of characteristics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E1C618" w14:textId="77777777" w:rsidR="00CC4838" w:rsidRPr="00000DB0" w:rsidRDefault="00CC4838" w:rsidP="0030353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000DB0">
              <w:rPr>
                <w:i/>
                <w:sz w:val="16"/>
                <w:lang w:val="en-US"/>
              </w:rPr>
              <w:t>Grouping* of test records between gas-discharge light source types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7973F8" w14:textId="77777777" w:rsidR="00CC4838" w:rsidRPr="00000DB0" w:rsidRDefault="00CC4838" w:rsidP="0030353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000DB0">
              <w:rPr>
                <w:i/>
                <w:sz w:val="16"/>
                <w:lang w:val="en-US"/>
              </w:rPr>
              <w:t>Minimum 12 monthly sample per grouping*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629E47" w14:textId="77777777" w:rsidR="00CC4838" w:rsidRPr="00000DB0" w:rsidRDefault="00CC4838" w:rsidP="0030353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000DB0">
              <w:rPr>
                <w:i/>
                <w:sz w:val="16"/>
                <w:lang w:val="en-US"/>
              </w:rPr>
              <w:t>Acceptable level of non-compliance per grouping of characteristics (percentage)</w:t>
            </w:r>
          </w:p>
        </w:tc>
      </w:tr>
      <w:tr w:rsidR="00CC4838" w:rsidRPr="008A1A9A" w14:paraId="4B061889" w14:textId="77777777" w:rsidTr="0030353E">
        <w:trPr>
          <w:cantSplit/>
        </w:trPr>
        <w:tc>
          <w:tcPr>
            <w:tcW w:w="184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509ACEB1" w14:textId="77777777" w:rsidR="00CC4838" w:rsidRPr="008A1A9A" w:rsidRDefault="00CC4838" w:rsidP="0030353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F8316B" w14:textId="77777777" w:rsidR="00CC4838" w:rsidRPr="008A1A9A" w:rsidRDefault="00CC4838" w:rsidP="0030353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8CCB49" w14:textId="77777777" w:rsidR="00CC4838" w:rsidRPr="008A1A9A" w:rsidRDefault="00CC4838" w:rsidP="0030353E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bottom"/>
          </w:tcPr>
          <w:p w14:paraId="555F7B32" w14:textId="77777777" w:rsidR="00CC4838" w:rsidRPr="008A1A9A" w:rsidRDefault="00CC4838" w:rsidP="0030353E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</w:tr>
      <w:tr w:rsidR="00CC4838" w:rsidRPr="008A1A9A" w14:paraId="703C5509" w14:textId="77777777" w:rsidTr="0030353E">
        <w:trPr>
          <w:cantSplit/>
        </w:trPr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3E824C6" w14:textId="77777777" w:rsidR="00CC4838" w:rsidRPr="00686E49" w:rsidRDefault="00CC4838" w:rsidP="0030353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686E49">
              <w:rPr>
                <w:sz w:val="18"/>
                <w:lang w:val="en-US"/>
              </w:rPr>
              <w:t>Gas-discharge light source voltage and wattage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D79413" w14:textId="77777777" w:rsidR="00CC4838" w:rsidRPr="00000DB0" w:rsidRDefault="00CC4838" w:rsidP="0030353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000DB0">
              <w:rPr>
                <w:sz w:val="18"/>
                <w:lang w:val="en-US"/>
              </w:rPr>
              <w:t>All types of the same category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587611" w14:textId="77777777" w:rsidR="00CC4838" w:rsidRPr="008A1A9A" w:rsidRDefault="00CC4838" w:rsidP="0030353E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bottom"/>
          </w:tcPr>
          <w:p w14:paraId="54B649DC" w14:textId="77777777" w:rsidR="00CC4838" w:rsidRPr="008A1A9A" w:rsidRDefault="00CC4838" w:rsidP="0030353E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1</w:t>
            </w:r>
          </w:p>
        </w:tc>
      </w:tr>
      <w:tr w:rsidR="00CC4838" w:rsidRPr="008A1A9A" w14:paraId="1295C8E4" w14:textId="77777777" w:rsidTr="0030353E">
        <w:trPr>
          <w:cantSplit/>
        </w:trPr>
        <w:tc>
          <w:tcPr>
            <w:tcW w:w="184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5972B7C" w14:textId="77777777" w:rsidR="00CC4838" w:rsidRPr="008A1A9A" w:rsidRDefault="00CC4838" w:rsidP="0030353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val="fr-FR"/>
              </w:rPr>
            </w:pPr>
            <w:r w:rsidRPr="008A1A9A">
              <w:rPr>
                <w:sz w:val="18"/>
                <w:lang w:val="fr-FR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6C1F92" w14:textId="77777777" w:rsidR="00CC4838" w:rsidRPr="008A1A9A" w:rsidRDefault="00CC4838" w:rsidP="0030353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03F09F" w14:textId="77777777" w:rsidR="00CC4838" w:rsidRPr="008A1A9A" w:rsidRDefault="00CC4838" w:rsidP="0030353E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32A94D" w14:textId="77777777" w:rsidR="00CC4838" w:rsidRPr="008A1A9A" w:rsidRDefault="00CC4838" w:rsidP="0030353E">
            <w:pPr>
              <w:suppressAutoHyphens w:val="0"/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8A1A9A">
              <w:rPr>
                <w:sz w:val="18"/>
              </w:rPr>
              <w:t>…</w:t>
            </w:r>
          </w:p>
        </w:tc>
      </w:tr>
    </w:tbl>
    <w:p w14:paraId="1748851C" w14:textId="77777777" w:rsidR="00CC4838" w:rsidRPr="008A1A9A" w:rsidRDefault="00CC4838" w:rsidP="00CC4838">
      <w:pPr>
        <w:pStyle w:val="SingleTxtG"/>
        <w:rPr>
          <w:szCs w:val="24"/>
        </w:rPr>
      </w:pPr>
      <w:r w:rsidRPr="008A1A9A">
        <w:t>...</w:t>
      </w:r>
      <w:r w:rsidRPr="008A1A9A">
        <w:rPr>
          <w:szCs w:val="24"/>
        </w:rPr>
        <w:t>"</w:t>
      </w:r>
    </w:p>
    <w:p w14:paraId="54273213" w14:textId="77777777" w:rsidR="00CC4838" w:rsidRPr="00000DB0" w:rsidRDefault="00CC4838" w:rsidP="00CC4838">
      <w:pPr>
        <w:pStyle w:val="SingleTxtG"/>
        <w:rPr>
          <w:lang w:val="en-US"/>
        </w:rPr>
      </w:pPr>
      <w:bookmarkStart w:id="8" w:name="_Toc386203019"/>
      <w:r w:rsidRPr="00000DB0">
        <w:rPr>
          <w:i/>
          <w:lang w:val="en-US"/>
        </w:rPr>
        <w:t>Table 3</w:t>
      </w:r>
      <w:bookmarkEnd w:id="8"/>
      <w:r w:rsidRPr="00000DB0">
        <w:rPr>
          <w:i/>
          <w:lang w:val="en-US"/>
        </w:rPr>
        <w:t>, header row</w:t>
      </w:r>
      <w:r w:rsidRPr="00000DB0">
        <w:rPr>
          <w:lang w:val="en-US"/>
        </w:rPr>
        <w:t>, amend to read:</w:t>
      </w:r>
    </w:p>
    <w:p w14:paraId="7EB8F7DD" w14:textId="77777777" w:rsidR="00CC4838" w:rsidRPr="008A1A9A" w:rsidRDefault="00CC4838" w:rsidP="00CC4838">
      <w:pPr>
        <w:pStyle w:val="SingleTxtG"/>
        <w:spacing w:after="0"/>
      </w:pPr>
      <w:r w:rsidRPr="008A1A9A">
        <w:t>"</w:t>
      </w:r>
    </w:p>
    <w:tbl>
      <w:tblPr>
        <w:tblW w:w="7370" w:type="dxa"/>
        <w:tblInd w:w="1134" w:type="dxa"/>
        <w:tblBorders>
          <w:top w:val="single" w:sz="4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  <w:gridCol w:w="1228"/>
        <w:gridCol w:w="1228"/>
        <w:gridCol w:w="1229"/>
      </w:tblGrid>
      <w:tr w:rsidR="00CC4838" w:rsidRPr="00686E49" w14:paraId="3C637128" w14:textId="77777777" w:rsidTr="0030353E">
        <w:trPr>
          <w:cantSplit/>
          <w:tblHeader/>
        </w:trPr>
        <w:tc>
          <w:tcPr>
            <w:tcW w:w="1228" w:type="dxa"/>
            <w:shd w:val="clear" w:color="auto" w:fill="auto"/>
            <w:vAlign w:val="bottom"/>
          </w:tcPr>
          <w:p w14:paraId="1909C7E2" w14:textId="77777777" w:rsidR="00CC4838" w:rsidRPr="00686E49" w:rsidRDefault="00CC4838" w:rsidP="0030353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686E49">
              <w:rPr>
                <w:i/>
                <w:sz w:val="16"/>
                <w:lang w:val="en-US"/>
              </w:rPr>
              <w:t>Number of gas-discharge light sources in records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2745E07A" w14:textId="77777777" w:rsidR="00CC4838" w:rsidRPr="00686E49" w:rsidRDefault="00CC4838" w:rsidP="0030353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86E49">
              <w:rPr>
                <w:i/>
                <w:sz w:val="16"/>
              </w:rPr>
              <w:t>Qualifying limit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3EC164B7" w14:textId="77777777" w:rsidR="00CC4838" w:rsidRPr="00686E49" w:rsidRDefault="00CC4838" w:rsidP="0030353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686E49">
              <w:rPr>
                <w:i/>
                <w:sz w:val="16"/>
                <w:lang w:val="en-US"/>
              </w:rPr>
              <w:t>Number of gas-discharge light sources in records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1C418365" w14:textId="77777777" w:rsidR="00CC4838" w:rsidRPr="00686E49" w:rsidRDefault="00CC4838" w:rsidP="0030353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86E49">
              <w:rPr>
                <w:i/>
                <w:sz w:val="16"/>
              </w:rPr>
              <w:t>Qualifying limit</w:t>
            </w:r>
          </w:p>
        </w:tc>
        <w:tc>
          <w:tcPr>
            <w:tcW w:w="1228" w:type="dxa"/>
            <w:shd w:val="clear" w:color="auto" w:fill="auto"/>
            <w:vAlign w:val="bottom"/>
          </w:tcPr>
          <w:p w14:paraId="185A750A" w14:textId="77777777" w:rsidR="00CC4838" w:rsidRPr="00686E49" w:rsidRDefault="00CC4838" w:rsidP="0030353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val="en-US"/>
              </w:rPr>
            </w:pPr>
            <w:r w:rsidRPr="00686E49">
              <w:rPr>
                <w:i/>
                <w:sz w:val="16"/>
                <w:lang w:val="en-US"/>
              </w:rPr>
              <w:t>Number of gas-discharge light sources in records</w:t>
            </w:r>
          </w:p>
        </w:tc>
        <w:tc>
          <w:tcPr>
            <w:tcW w:w="1229" w:type="dxa"/>
            <w:shd w:val="clear" w:color="auto" w:fill="auto"/>
            <w:vAlign w:val="bottom"/>
          </w:tcPr>
          <w:p w14:paraId="6148AEB6" w14:textId="77777777" w:rsidR="00CC4838" w:rsidRPr="00686E49" w:rsidRDefault="00CC4838" w:rsidP="0030353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686E49">
              <w:rPr>
                <w:i/>
                <w:sz w:val="16"/>
              </w:rPr>
              <w:t>Qualifying limit</w:t>
            </w:r>
          </w:p>
        </w:tc>
      </w:tr>
    </w:tbl>
    <w:p w14:paraId="4DF8DABB" w14:textId="77777777" w:rsidR="00CC4838" w:rsidRPr="008A1A9A" w:rsidRDefault="00CC4838" w:rsidP="00CC4838">
      <w:pPr>
        <w:pStyle w:val="SingleTxtG"/>
        <w:jc w:val="right"/>
      </w:pPr>
      <w:r w:rsidRPr="008A1A9A">
        <w:t>"</w:t>
      </w:r>
    </w:p>
    <w:p w14:paraId="3E7F50EC" w14:textId="61C70ECF" w:rsidR="009952F1" w:rsidRPr="009F1FD9" w:rsidRDefault="009F1FD9" w:rsidP="009F1FD9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52F1" w:rsidRPr="009F1FD9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155ABBC5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C258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52DBF23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C258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  <w:footnote w:id="3">
    <w:p w14:paraId="02F953DD" w14:textId="77777777" w:rsidR="00CC4838" w:rsidRPr="003505A2" w:rsidRDefault="00CC4838" w:rsidP="00CC4838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 w:rsidRPr="005A25AE">
        <w:tab/>
      </w:r>
      <w:r>
        <w:rPr>
          <w:rStyle w:val="FootnoteReference"/>
        </w:rPr>
        <w:footnoteRef/>
      </w:r>
      <w:r w:rsidRPr="00F17E32">
        <w:rPr>
          <w:lang w:val="en-US"/>
        </w:rPr>
        <w:tab/>
        <w:t>This method is an example of a measurement method; any method with equivalent measurement accuracy may be used.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75CAC554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CC4838">
      <w:t>9</w:t>
    </w:r>
    <w:r w:rsidR="00A034CA">
      <w:t>8</w:t>
    </w:r>
    <w:r w:rsidR="004D2C93" w:rsidRPr="00D623A7">
      <w:t>/Rev.</w:t>
    </w:r>
    <w:r w:rsidR="00F60A2D">
      <w:t>3</w:t>
    </w:r>
    <w:r w:rsidR="004D2C93" w:rsidRPr="00D623A7">
      <w:t>/Amend.</w:t>
    </w:r>
    <w:r w:rsidR="00CC4838">
      <w:t>3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CC4838">
      <w:t>1</w:t>
    </w:r>
    <w:r w:rsidR="00CC4838" w:rsidRPr="00841EB5">
      <w:t>/</w:t>
    </w:r>
    <w:r w:rsidR="00CC4838" w:rsidRPr="00D623A7">
      <w:t>Add.</w:t>
    </w:r>
    <w:r w:rsidR="00CC4838">
      <w:t>98</w:t>
    </w:r>
    <w:r w:rsidR="00CC4838" w:rsidRPr="00D623A7">
      <w:t>/Rev.</w:t>
    </w:r>
    <w:r w:rsidR="00CC4838">
      <w:t>3</w:t>
    </w:r>
    <w:r w:rsidR="00CC4838" w:rsidRPr="00D623A7">
      <w:t>/Amend.</w:t>
    </w:r>
    <w:r w:rsidR="00CC4838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29D1AA74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="00CC4838" w:rsidRPr="00D623A7">
      <w:t>Add.</w:t>
    </w:r>
    <w:r w:rsidR="00CC4838">
      <w:t>98</w:t>
    </w:r>
    <w:r w:rsidR="00CC4838" w:rsidRPr="00D623A7">
      <w:t>/Rev.</w:t>
    </w:r>
    <w:r w:rsidR="00CC4838">
      <w:t>3</w:t>
    </w:r>
    <w:r w:rsidR="00CC4838" w:rsidRPr="00D623A7">
      <w:t>/Amend.</w:t>
    </w:r>
    <w:r w:rsidR="00CC4838">
      <w:t>3</w:t>
    </w:r>
    <w:r>
      <w:br/>
    </w:r>
    <w:r w:rsidRPr="00D623A7">
      <w:t>E/ECE/TRANS/505/</w:t>
    </w:r>
    <w:r w:rsidR="0001071D">
      <w:t>Rev.1</w:t>
    </w:r>
    <w:r w:rsidR="00CC4838">
      <w:t>/</w:t>
    </w:r>
    <w:r w:rsidR="00CC4838" w:rsidRPr="00D623A7">
      <w:t>Add.</w:t>
    </w:r>
    <w:r w:rsidR="00CC4838">
      <w:t>98</w:t>
    </w:r>
    <w:r w:rsidR="00CC4838" w:rsidRPr="00D623A7">
      <w:t>/Rev.</w:t>
    </w:r>
    <w:r w:rsidR="00CC4838">
      <w:t>3</w:t>
    </w:r>
    <w:r w:rsidR="00CC4838" w:rsidRPr="00D623A7">
      <w:t>/Amend.</w:t>
    </w:r>
    <w:r w:rsidR="00CC4838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70FE"/>
    <w:rsid w:val="00211E0B"/>
    <w:rsid w:val="00213593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52738"/>
    <w:rsid w:val="004A41CA"/>
    <w:rsid w:val="004D2C93"/>
    <w:rsid w:val="004E3FEB"/>
    <w:rsid w:val="00503228"/>
    <w:rsid w:val="00504750"/>
    <w:rsid w:val="00505384"/>
    <w:rsid w:val="005420F2"/>
    <w:rsid w:val="0054561B"/>
    <w:rsid w:val="0057171E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76D12"/>
    <w:rsid w:val="00784B94"/>
    <w:rsid w:val="007B6BA5"/>
    <w:rsid w:val="007C258F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724B7"/>
    <w:rsid w:val="00880BCF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952F1"/>
    <w:rsid w:val="009F015A"/>
    <w:rsid w:val="009F1FD9"/>
    <w:rsid w:val="009F3A17"/>
    <w:rsid w:val="00A034CA"/>
    <w:rsid w:val="00A1427D"/>
    <w:rsid w:val="00A22277"/>
    <w:rsid w:val="00A41529"/>
    <w:rsid w:val="00A532AE"/>
    <w:rsid w:val="00A569D6"/>
    <w:rsid w:val="00A72F22"/>
    <w:rsid w:val="00A748A6"/>
    <w:rsid w:val="00A85956"/>
    <w:rsid w:val="00A879A4"/>
    <w:rsid w:val="00AE07D4"/>
    <w:rsid w:val="00B0448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42</TotalTime>
  <Pages>5</Pages>
  <Words>949</Words>
  <Characters>5442</Characters>
  <Application>Microsoft Office Word</Application>
  <DocSecurity>0</DocSecurity>
  <Lines>129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8</cp:revision>
  <cp:lastPrinted>2015-05-06T11:39:00Z</cp:lastPrinted>
  <dcterms:created xsi:type="dcterms:W3CDTF">2017-06-29T09:44:00Z</dcterms:created>
  <dcterms:modified xsi:type="dcterms:W3CDTF">2017-07-26T08:06:00Z</dcterms:modified>
</cp:coreProperties>
</file>