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5390" w:rsidRPr="00DB58B5" w:rsidTr="00F14D09">
        <w:trPr>
          <w:trHeight w:hRule="exact" w:val="851"/>
        </w:trPr>
        <w:tc>
          <w:tcPr>
            <w:tcW w:w="1276" w:type="dxa"/>
            <w:tcBorders>
              <w:bottom w:val="single" w:sz="4" w:space="0" w:color="auto"/>
            </w:tcBorders>
          </w:tcPr>
          <w:p w:rsidR="005A5390" w:rsidRPr="00DB58B5" w:rsidRDefault="005A5390" w:rsidP="005A5390">
            <w:bookmarkStart w:id="0" w:name="_GoBack"/>
            <w:bookmarkEnd w:id="0"/>
          </w:p>
        </w:tc>
        <w:tc>
          <w:tcPr>
            <w:tcW w:w="8363" w:type="dxa"/>
            <w:gridSpan w:val="2"/>
            <w:tcBorders>
              <w:bottom w:val="single" w:sz="4" w:space="0" w:color="auto"/>
            </w:tcBorders>
            <w:vAlign w:val="bottom"/>
          </w:tcPr>
          <w:p w:rsidR="005A5390" w:rsidRPr="00DB58B5" w:rsidRDefault="005A5390" w:rsidP="005A5390">
            <w:pPr>
              <w:jc w:val="right"/>
            </w:pPr>
            <w:r w:rsidRPr="005A5390">
              <w:rPr>
                <w:sz w:val="40"/>
              </w:rPr>
              <w:t>E</w:t>
            </w:r>
            <w:r>
              <w:t>/ECE/324/Rev.1/Add.97/Rev.3/Amend.6−</w:t>
            </w:r>
            <w:r w:rsidRPr="005A5390">
              <w:rPr>
                <w:sz w:val="40"/>
              </w:rPr>
              <w:t>E</w:t>
            </w:r>
            <w:r>
              <w:t>/ECE/TRANS/505/Rev.1/Add.97/Rev.3/Amend.6</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p>
        </w:tc>
        <w:tc>
          <w:tcPr>
            <w:tcW w:w="5528" w:type="dxa"/>
            <w:tcBorders>
              <w:top w:val="single" w:sz="4" w:space="0" w:color="auto"/>
              <w:bottom w:val="single" w:sz="12" w:space="0" w:color="auto"/>
            </w:tcBorders>
          </w:tcPr>
          <w:p w:rsidR="0080236C" w:rsidRPr="00740562" w:rsidRDefault="0080236C" w:rsidP="002443B1">
            <w:pPr>
              <w:spacing w:before="120" w:line="420" w:lineRule="exact"/>
              <w:rPr>
                <w:b/>
                <w:sz w:val="40"/>
                <w:szCs w:val="40"/>
              </w:rPr>
            </w:pPr>
          </w:p>
        </w:tc>
        <w:tc>
          <w:tcPr>
            <w:tcW w:w="2835" w:type="dxa"/>
            <w:tcBorders>
              <w:top w:val="single" w:sz="4" w:space="0" w:color="auto"/>
              <w:bottom w:val="single" w:sz="12" w:space="0" w:color="auto"/>
            </w:tcBorders>
          </w:tcPr>
          <w:p w:rsidR="005A5390" w:rsidRDefault="005A5390" w:rsidP="005A5390">
            <w:pPr>
              <w:spacing w:before="240" w:line="240" w:lineRule="exact"/>
            </w:pPr>
            <w:r>
              <w:t>11 juillet 2016</w:t>
            </w:r>
          </w:p>
          <w:p w:rsidR="005A5390" w:rsidRPr="00DB58B5" w:rsidRDefault="005A5390" w:rsidP="005A5390">
            <w:pPr>
              <w:spacing w:line="240" w:lineRule="exact"/>
            </w:pPr>
          </w:p>
        </w:tc>
      </w:tr>
    </w:tbl>
    <w:p w:rsidR="005061C5" w:rsidRPr="008730B4" w:rsidRDefault="00C53CBB" w:rsidP="003C127E">
      <w:pPr>
        <w:pStyle w:val="HChG"/>
      </w:pPr>
      <w:r w:rsidRPr="008730B4">
        <w:rPr>
          <w:lang w:val="fr-FR"/>
        </w:rPr>
        <w:tab/>
      </w:r>
      <w:r w:rsidRPr="008730B4">
        <w:rPr>
          <w:lang w:val="fr-FR"/>
        </w:rPr>
        <w:tab/>
        <w:t>Accord</w:t>
      </w:r>
      <w:bookmarkStart w:id="1" w:name="_Toc340666199"/>
      <w:bookmarkStart w:id="2" w:name="_Toc340745062"/>
      <w:bookmarkEnd w:id="1"/>
      <w:bookmarkEnd w:id="2"/>
    </w:p>
    <w:p w:rsidR="005061C5" w:rsidRPr="008730B4" w:rsidRDefault="003C127E" w:rsidP="003C127E">
      <w:pPr>
        <w:pStyle w:val="H1G"/>
      </w:pPr>
      <w:r>
        <w:rPr>
          <w:lang w:val="fr-FR"/>
        </w:rPr>
        <w:tab/>
      </w:r>
      <w:r>
        <w:rPr>
          <w:lang w:val="fr-FR"/>
        </w:rPr>
        <w:tab/>
      </w:r>
      <w:r w:rsidRPr="003C127E">
        <w:rPr>
          <w:spacing w:val="2"/>
          <w:lang w:val="fr-FR"/>
        </w:rPr>
        <w:t>Concernant l’</w:t>
      </w:r>
      <w:r w:rsidR="00C53CBB" w:rsidRPr="003C127E">
        <w:rPr>
          <w:spacing w:val="2"/>
          <w:lang w:val="fr-FR"/>
        </w:rPr>
        <w:t>adoption de prescriptions techniques uniformes</w:t>
      </w:r>
      <w:r w:rsidR="00C53CBB" w:rsidRPr="008730B4">
        <w:rPr>
          <w:lang w:val="fr-FR"/>
        </w:rPr>
        <w:t xml:space="preserve"> </w:t>
      </w:r>
      <w:r w:rsidR="00C53CBB" w:rsidRPr="003C127E">
        <w:rPr>
          <w:spacing w:val="-2"/>
          <w:lang w:val="fr-FR"/>
        </w:rPr>
        <w:t>applicables aux véhicules à roues, aux équipements et aux pièces</w:t>
      </w:r>
      <w:r w:rsidR="00C53CBB" w:rsidRPr="008730B4">
        <w:rPr>
          <w:lang w:val="fr-FR"/>
        </w:rPr>
        <w:t xml:space="preserve"> susceptibles</w:t>
      </w:r>
      <w:r>
        <w:rPr>
          <w:lang w:val="fr-FR"/>
        </w:rPr>
        <w:t xml:space="preserve"> d’</w:t>
      </w:r>
      <w:r w:rsidR="00C53CBB" w:rsidRPr="008730B4">
        <w:rPr>
          <w:lang w:val="fr-FR"/>
        </w:rPr>
        <w:t xml:space="preserve">être montés ou utilisés sur un véhicule à roues et </w:t>
      </w:r>
      <w:r>
        <w:rPr>
          <w:lang w:val="fr-FR"/>
        </w:rPr>
        <w:br/>
      </w:r>
      <w:r w:rsidR="00C53CBB" w:rsidRPr="008730B4">
        <w:rPr>
          <w:lang w:val="fr-FR"/>
        </w:rPr>
        <w:t>les conditions de reconnaissance réciproque des homologations délivrées conformément à ces prescriptions</w:t>
      </w:r>
      <w:r w:rsidRPr="003C127E">
        <w:rPr>
          <w:rStyle w:val="FootnoteReference"/>
          <w:b w:val="0"/>
          <w:sz w:val="20"/>
          <w:vertAlign w:val="baseline"/>
        </w:rPr>
        <w:footnoteReference w:customMarkFollows="1" w:id="2"/>
        <w:t>*</w:t>
      </w:r>
    </w:p>
    <w:p w:rsidR="005061C5" w:rsidRPr="008730B4" w:rsidRDefault="00C53CBB" w:rsidP="008730B4">
      <w:pPr>
        <w:pStyle w:val="SingleTxtG"/>
      </w:pPr>
      <w:r w:rsidRPr="008730B4">
        <w:rPr>
          <w:lang w:val="fr-FR"/>
        </w:rPr>
        <w:t>(Révision</w:t>
      </w:r>
      <w:r w:rsidR="003C127E">
        <w:rPr>
          <w:lang w:val="fr-FR"/>
        </w:rPr>
        <w:t> </w:t>
      </w:r>
      <w:r w:rsidRPr="008730B4">
        <w:rPr>
          <w:lang w:val="fr-FR"/>
        </w:rPr>
        <w:t>2, comprenant les amen</w:t>
      </w:r>
      <w:r w:rsidR="003C127E">
        <w:rPr>
          <w:lang w:val="fr-FR"/>
        </w:rPr>
        <w:t xml:space="preserve">dements entrés en vigueur le </w:t>
      </w:r>
      <w:r w:rsidR="003C127E" w:rsidRPr="003C127E">
        <w:t>16</w:t>
      </w:r>
      <w:r w:rsidR="000039EF">
        <w:t> </w:t>
      </w:r>
      <w:r w:rsidRPr="003C127E">
        <w:rPr>
          <w:lang w:val="fr-FR"/>
        </w:rPr>
        <w:t>octobre</w:t>
      </w:r>
      <w:r w:rsidRPr="008730B4">
        <w:rPr>
          <w:lang w:val="fr-FR"/>
        </w:rPr>
        <w:t xml:space="preserve"> 1995)</w:t>
      </w:r>
    </w:p>
    <w:p w:rsidR="005061C5" w:rsidRPr="008730B4" w:rsidRDefault="00C53CBB" w:rsidP="003C127E">
      <w:pPr>
        <w:pStyle w:val="SingleTxtG"/>
        <w:jc w:val="center"/>
      </w:pPr>
      <w:r w:rsidRPr="008730B4">
        <w:rPr>
          <w:lang w:val="fr-FR"/>
        </w:rPr>
        <w:t>_________</w:t>
      </w:r>
    </w:p>
    <w:p w:rsidR="005061C5" w:rsidRPr="008730B4" w:rsidRDefault="00C53CBB" w:rsidP="003C127E">
      <w:pPr>
        <w:pStyle w:val="H1G"/>
      </w:pPr>
      <w:r w:rsidRPr="008730B4">
        <w:rPr>
          <w:lang w:val="fr-FR"/>
        </w:rPr>
        <w:tab/>
      </w:r>
      <w:r w:rsidRPr="008730B4">
        <w:rPr>
          <w:lang w:val="fr-FR"/>
        </w:rPr>
        <w:tab/>
        <w:t xml:space="preserve">Additif 97 </w:t>
      </w:r>
      <w:r w:rsidR="003C127E">
        <w:rPr>
          <w:lang w:val="fr-FR"/>
        </w:rPr>
        <w:t>−</w:t>
      </w:r>
      <w:r w:rsidRPr="008730B4">
        <w:rPr>
          <w:lang w:val="fr-FR"/>
        </w:rPr>
        <w:t xml:space="preserve"> Règlement n</w:t>
      </w:r>
      <w:r w:rsidRPr="003C127E">
        <w:rPr>
          <w:vertAlign w:val="superscript"/>
          <w:lang w:val="fr-FR"/>
        </w:rPr>
        <w:t>o</w:t>
      </w:r>
      <w:r w:rsidR="003C127E">
        <w:rPr>
          <w:lang w:val="fr-FR"/>
        </w:rPr>
        <w:t> </w:t>
      </w:r>
      <w:r w:rsidRPr="008730B4">
        <w:rPr>
          <w:lang w:val="fr-FR"/>
        </w:rPr>
        <w:t>98</w:t>
      </w:r>
    </w:p>
    <w:p w:rsidR="005061C5" w:rsidRPr="008730B4" w:rsidRDefault="00C53CBB" w:rsidP="003C127E">
      <w:pPr>
        <w:pStyle w:val="H1G"/>
      </w:pPr>
      <w:r w:rsidRPr="008730B4">
        <w:rPr>
          <w:lang w:val="fr-FR"/>
        </w:rPr>
        <w:tab/>
      </w:r>
      <w:r w:rsidRPr="008730B4">
        <w:rPr>
          <w:lang w:val="fr-FR"/>
        </w:rPr>
        <w:tab/>
        <w:t xml:space="preserve">Révision 3 </w:t>
      </w:r>
      <w:r w:rsidR="003C127E">
        <w:rPr>
          <w:lang w:val="fr-FR"/>
        </w:rPr>
        <w:t>−</w:t>
      </w:r>
      <w:r w:rsidRPr="008730B4">
        <w:rPr>
          <w:lang w:val="fr-FR"/>
        </w:rPr>
        <w:t xml:space="preserve"> Amendement 6</w:t>
      </w:r>
    </w:p>
    <w:p w:rsidR="005061C5" w:rsidRPr="008730B4" w:rsidRDefault="00C53CBB" w:rsidP="008730B4">
      <w:pPr>
        <w:pStyle w:val="SingleTxtG"/>
      </w:pPr>
      <w:r w:rsidRPr="008730B4">
        <w:rPr>
          <w:lang w:val="fr-FR"/>
        </w:rPr>
        <w:t>Complément</w:t>
      </w:r>
      <w:r w:rsidR="003C127E">
        <w:rPr>
          <w:lang w:val="fr-FR"/>
        </w:rPr>
        <w:t> </w:t>
      </w:r>
      <w:r w:rsidRPr="008730B4">
        <w:rPr>
          <w:lang w:val="fr-FR"/>
        </w:rPr>
        <w:t xml:space="preserve">7 à la série 01 d’amendements </w:t>
      </w:r>
      <w:r w:rsidR="003C127E">
        <w:rPr>
          <w:lang w:val="fr-FR"/>
        </w:rPr>
        <w:t>−</w:t>
      </w:r>
      <w:r w:rsidRPr="008730B4">
        <w:rPr>
          <w:lang w:val="fr-FR"/>
        </w:rPr>
        <w:t xml:space="preserve"> Date d’entrée en vigueur</w:t>
      </w:r>
      <w:r w:rsidR="003C127E">
        <w:rPr>
          <w:lang w:val="fr-FR"/>
        </w:rPr>
        <w:t> </w:t>
      </w:r>
      <w:r w:rsidRPr="008730B4">
        <w:rPr>
          <w:lang w:val="fr-FR"/>
        </w:rPr>
        <w:t>: 18</w:t>
      </w:r>
      <w:r w:rsidR="003C127E">
        <w:rPr>
          <w:lang w:val="fr-FR"/>
        </w:rPr>
        <w:t> </w:t>
      </w:r>
      <w:r w:rsidRPr="008730B4">
        <w:rPr>
          <w:lang w:val="fr-FR"/>
        </w:rPr>
        <w:t>juin 2016</w:t>
      </w:r>
    </w:p>
    <w:p w:rsidR="005061C5" w:rsidRPr="008730B4" w:rsidRDefault="00C53CBB" w:rsidP="003C127E">
      <w:pPr>
        <w:pStyle w:val="H1G"/>
      </w:pPr>
      <w:r w:rsidRPr="008730B4">
        <w:rPr>
          <w:lang w:val="fr-FR"/>
        </w:rPr>
        <w:tab/>
      </w:r>
      <w:r w:rsidRPr="008730B4">
        <w:rPr>
          <w:lang w:val="fr-FR"/>
        </w:rPr>
        <w:tab/>
        <w:t>Presc</w:t>
      </w:r>
      <w:r w:rsidR="000039EF">
        <w:rPr>
          <w:lang w:val="fr-FR"/>
        </w:rPr>
        <w:t>riptions uniformes concernant l’</w:t>
      </w:r>
      <w:r w:rsidRPr="008730B4">
        <w:rPr>
          <w:lang w:val="fr-FR"/>
        </w:rPr>
        <w:t xml:space="preserve">homologation des projecteurs </w:t>
      </w:r>
      <w:r w:rsidR="003C127E">
        <w:rPr>
          <w:lang w:val="fr-FR"/>
        </w:rPr>
        <w:br/>
      </w:r>
      <w:r w:rsidRPr="008730B4">
        <w:rPr>
          <w:lang w:val="fr-FR"/>
        </w:rPr>
        <w:t>de véhicules à moteur munis de sources lumineuses à décharge</w:t>
      </w:r>
    </w:p>
    <w:p w:rsidR="00446FE5" w:rsidRDefault="00C53CBB" w:rsidP="003C127E">
      <w:pPr>
        <w:pStyle w:val="SingleTxtG"/>
        <w:ind w:firstLine="567"/>
        <w:rPr>
          <w:lang w:val="fr-FR"/>
        </w:rPr>
      </w:pPr>
      <w:r w:rsidRPr="008730B4">
        <w:rPr>
          <w:lang w:val="fr-FR"/>
        </w:rPr>
        <w:t>Le présent document est communiqué uniquement à titre d’information. Le texte authentique, juridiquement contraignant, est celui du document ECE/TRANS/</w:t>
      </w:r>
      <w:r w:rsidR="003C127E">
        <w:rPr>
          <w:lang w:val="fr-FR"/>
        </w:rPr>
        <w:br/>
      </w:r>
      <w:r w:rsidRPr="008730B4">
        <w:rPr>
          <w:lang w:val="fr-FR"/>
        </w:rPr>
        <w:t>WP.29/2015/80.</w:t>
      </w:r>
    </w:p>
    <w:p w:rsidR="008730B4" w:rsidRDefault="003C127E" w:rsidP="003C127E">
      <w:pPr>
        <w:pStyle w:val="SingleTxtG"/>
        <w:jc w:val="center"/>
        <w:rPr>
          <w:lang w:val="fr-FR"/>
        </w:rPr>
      </w:pPr>
      <w:r w:rsidRPr="008730B4">
        <w:rPr>
          <w:lang w:val="fr-FR"/>
        </w:rPr>
        <w:t>_________</w:t>
      </w:r>
    </w:p>
    <w:p w:rsidR="003C127E" w:rsidRDefault="003C127E" w:rsidP="003C127E">
      <w:pPr>
        <w:pStyle w:val="SingleTxtG"/>
        <w:spacing w:line="200" w:lineRule="atLeast"/>
        <w:jc w:val="center"/>
        <w:rPr>
          <w:lang w:val="fr-FR"/>
        </w:rPr>
      </w:pPr>
      <w:r>
        <w:rPr>
          <w:b/>
          <w:noProof/>
          <w:sz w:val="24"/>
          <w:lang w:val="en-GB" w:eastAsia="en-GB"/>
        </w:rPr>
        <w:drawing>
          <wp:inline distT="0" distB="0" distL="0" distR="0" wp14:anchorId="672DCF30" wp14:editId="63725E32">
            <wp:extent cx="785612" cy="63140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785612" cy="631401"/>
                    </a:xfrm>
                    <a:prstGeom prst="rect">
                      <a:avLst/>
                    </a:prstGeom>
                    <a:noFill/>
                  </pic:spPr>
                </pic:pic>
              </a:graphicData>
            </a:graphic>
          </wp:inline>
        </w:drawing>
      </w:r>
    </w:p>
    <w:p w:rsidR="005061C5" w:rsidRPr="003C127E" w:rsidRDefault="00C53CBB" w:rsidP="003C127E">
      <w:pPr>
        <w:pStyle w:val="SingleTxtG"/>
        <w:jc w:val="center"/>
        <w:rPr>
          <w:b/>
          <w:sz w:val="24"/>
          <w:szCs w:val="24"/>
        </w:rPr>
      </w:pPr>
      <w:r w:rsidRPr="003C127E">
        <w:rPr>
          <w:b/>
          <w:sz w:val="24"/>
          <w:szCs w:val="24"/>
          <w:lang w:val="fr-FR"/>
        </w:rPr>
        <w:t>O</w:t>
      </w:r>
      <w:r w:rsidR="00137784">
        <w:rPr>
          <w:b/>
          <w:sz w:val="24"/>
          <w:szCs w:val="24"/>
          <w:lang w:val="fr-FR"/>
        </w:rPr>
        <w:t>RGANISATION DES NATIONS UNIES</w:t>
      </w:r>
    </w:p>
    <w:p w:rsidR="005061C5" w:rsidRPr="009A1953" w:rsidRDefault="003C127E" w:rsidP="008730B4">
      <w:pPr>
        <w:pStyle w:val="SingleTxtG"/>
      </w:pPr>
      <w:r>
        <w:br w:type="page"/>
      </w:r>
      <w:r w:rsidR="00C53CBB" w:rsidRPr="009A1953">
        <w:rPr>
          <w:i/>
          <w:lang w:val="fr-FR"/>
        </w:rPr>
        <w:lastRenderedPageBreak/>
        <w:t>Paragraphe 2.1.5</w:t>
      </w:r>
      <w:r w:rsidR="00C53CBB" w:rsidRPr="009A1953">
        <w:rPr>
          <w:lang w:val="fr-FR"/>
        </w:rPr>
        <w:t>, lire</w:t>
      </w:r>
      <w:r w:rsidRPr="009A1953">
        <w:rPr>
          <w:lang w:val="fr-FR"/>
        </w:rPr>
        <w:t> </w:t>
      </w:r>
      <w:r w:rsidR="00C53CBB" w:rsidRPr="009A1953">
        <w:rPr>
          <w:lang w:val="fr-FR"/>
        </w:rPr>
        <w:t>:</w:t>
      </w:r>
    </w:p>
    <w:p w:rsidR="005061C5" w:rsidRPr="008730B4" w:rsidRDefault="00C53CBB" w:rsidP="00150607">
      <w:pPr>
        <w:pStyle w:val="SingleTxtG"/>
        <w:ind w:left="2268" w:hanging="1134"/>
      </w:pPr>
      <w:r w:rsidRPr="008730B4">
        <w:rPr>
          <w:lang w:val="fr-FR"/>
        </w:rPr>
        <w:t>« 2.1.5</w:t>
      </w:r>
      <w:r w:rsidRPr="008730B4">
        <w:rPr>
          <w:lang w:val="fr-FR"/>
        </w:rPr>
        <w:tab/>
        <w:t>Les sources lumineuses qui sont alimentées lorsque les diverses combinaisons de feux sont utilisées et, pour les catégories de sources lumineuses produisant plusieurs valeurs de flux lumineux normal, la valeur de flux lumineux normal qui est utilisée</w:t>
      </w:r>
      <w:r>
        <w:rPr>
          <w:lang w:val="fr-FR"/>
        </w:rPr>
        <w:t> ;</w:t>
      </w:r>
      <w:r w:rsidRPr="008730B4">
        <w:rPr>
          <w:lang w:val="fr-FR"/>
        </w:rPr>
        <w:t> »</w:t>
      </w:r>
      <w:r w:rsidR="004F70C5">
        <w:rPr>
          <w:lang w:val="fr-FR"/>
        </w:rPr>
        <w:t>.</w:t>
      </w:r>
    </w:p>
    <w:p w:rsidR="005061C5" w:rsidRPr="008730B4" w:rsidRDefault="00C53CBB" w:rsidP="008730B4">
      <w:pPr>
        <w:pStyle w:val="SingleTxtG"/>
      </w:pPr>
      <w:r w:rsidRPr="009A1953">
        <w:rPr>
          <w:i/>
          <w:lang w:val="fr-FR"/>
        </w:rPr>
        <w:t>Paragraphe 2.1.6</w:t>
      </w:r>
      <w:r w:rsidRPr="009A1953">
        <w:rPr>
          <w:lang w:val="fr-FR"/>
        </w:rPr>
        <w:t>, lire</w:t>
      </w:r>
      <w:r w:rsidR="003C127E">
        <w:rPr>
          <w:lang w:val="fr-FR"/>
        </w:rPr>
        <w:t> </w:t>
      </w:r>
      <w:r w:rsidRPr="008730B4">
        <w:rPr>
          <w:lang w:val="fr-FR"/>
        </w:rPr>
        <w:t>:</w:t>
      </w:r>
    </w:p>
    <w:p w:rsidR="005061C5" w:rsidRPr="008730B4" w:rsidRDefault="00C53CBB" w:rsidP="00150607">
      <w:pPr>
        <w:pStyle w:val="SingleTxtG"/>
        <w:ind w:left="2268" w:hanging="1134"/>
      </w:pPr>
      <w:r w:rsidRPr="008730B4">
        <w:rPr>
          <w:lang w:val="fr-FR"/>
        </w:rPr>
        <w:t>« 2.1.6</w:t>
      </w:r>
      <w:r w:rsidRPr="008730B4">
        <w:rPr>
          <w:lang w:val="fr-FR"/>
        </w:rPr>
        <w:tab/>
        <w:t>La catégorie de source lumineuse définie dans les Règlements n</w:t>
      </w:r>
      <w:r w:rsidRPr="003C127E">
        <w:rPr>
          <w:vertAlign w:val="superscript"/>
          <w:lang w:val="fr-FR"/>
        </w:rPr>
        <w:t>os</w:t>
      </w:r>
      <w:r w:rsidR="003C127E">
        <w:rPr>
          <w:lang w:val="fr-FR"/>
        </w:rPr>
        <w:t> </w:t>
      </w:r>
      <w:r w:rsidRPr="008730B4">
        <w:rPr>
          <w:lang w:val="fr-FR"/>
        </w:rPr>
        <w:t>37 ou 99 et leurs séries d’amendements en vigueur au moment de la demande d’homologation de type et, pour les catégories de sources lumineuses comportant plusieurs valeurs de flux lumineux normal, la valeur de flux lumineux normal utilisée pour le feu de croisement et pour le feu de route ; »</w:t>
      </w:r>
      <w:r w:rsidR="004F70C5">
        <w:rPr>
          <w:lang w:val="fr-FR"/>
        </w:rPr>
        <w:t>.</w:t>
      </w:r>
    </w:p>
    <w:p w:rsidR="005061C5" w:rsidRPr="008730B4" w:rsidRDefault="00C53CBB" w:rsidP="008730B4">
      <w:pPr>
        <w:pStyle w:val="SingleTxtG"/>
      </w:pPr>
      <w:r w:rsidRPr="009A1953">
        <w:rPr>
          <w:i/>
          <w:lang w:val="fr-FR"/>
        </w:rPr>
        <w:t>Paragraphe 6.1.3</w:t>
      </w:r>
      <w:r w:rsidRPr="009A1953">
        <w:rPr>
          <w:lang w:val="fr-FR"/>
        </w:rPr>
        <w:t>, lire</w:t>
      </w:r>
      <w:r w:rsidR="003C127E">
        <w:rPr>
          <w:lang w:val="fr-FR"/>
        </w:rPr>
        <w:t> </w:t>
      </w:r>
      <w:r w:rsidRPr="008730B4">
        <w:rPr>
          <w:lang w:val="fr-FR"/>
        </w:rPr>
        <w:t>:</w:t>
      </w:r>
    </w:p>
    <w:p w:rsidR="005061C5" w:rsidRPr="008730B4" w:rsidRDefault="00C53CBB" w:rsidP="00150607">
      <w:pPr>
        <w:pStyle w:val="SingleTxtG"/>
        <w:ind w:left="2268" w:hanging="1134"/>
      </w:pPr>
      <w:r w:rsidRPr="008730B4">
        <w:rPr>
          <w:lang w:val="fr-FR"/>
        </w:rPr>
        <w:t>« 6.1.3</w:t>
      </w:r>
      <w:r w:rsidRPr="008730B4">
        <w:rPr>
          <w:lang w:val="fr-FR"/>
        </w:rPr>
        <w:tab/>
      </w:r>
      <w:r w:rsidRPr="008730B4">
        <w:t>Le projecteur doit être considéré comme satisfaisant si les prescriptions relatives aux valeurs photométriques énoncées dans le présent paragraphe</w:t>
      </w:r>
      <w:r w:rsidR="003C127E">
        <w:rPr>
          <w:lang w:val="fr-FR"/>
        </w:rPr>
        <w:t> </w:t>
      </w:r>
      <w:r w:rsidRPr="008730B4">
        <w:t>6 sont respectées pour une source lumineuse qui a subi un processus de vieillissement d’une durée minimale de 15</w:t>
      </w:r>
      <w:r w:rsidR="003C127E">
        <w:rPr>
          <w:lang w:val="fr-FR"/>
        </w:rPr>
        <w:t> </w:t>
      </w:r>
      <w:r w:rsidRPr="008730B4">
        <w:t>cycles, conformément au paragraphe</w:t>
      </w:r>
      <w:r w:rsidR="004F70C5">
        <w:t> </w:t>
      </w:r>
      <w:r w:rsidRPr="008730B4">
        <w:t>4 de l’annexe</w:t>
      </w:r>
      <w:r w:rsidR="004F70C5">
        <w:t> </w:t>
      </w:r>
      <w:r w:rsidRPr="008730B4">
        <w:t>4 du Règlement n</w:t>
      </w:r>
      <w:r w:rsidRPr="003C127E">
        <w:rPr>
          <w:vertAlign w:val="superscript"/>
        </w:rPr>
        <w:t>o</w:t>
      </w:r>
      <w:r w:rsidR="003C127E">
        <w:rPr>
          <w:lang w:val="fr-FR"/>
        </w:rPr>
        <w:t> </w:t>
      </w:r>
      <w:r w:rsidRPr="008730B4">
        <w:t>99.</w:t>
      </w:r>
    </w:p>
    <w:p w:rsidR="003C127E" w:rsidRDefault="00C53CBB" w:rsidP="004F70C5">
      <w:pPr>
        <w:pStyle w:val="SingleTxtG"/>
        <w:ind w:left="2268"/>
      </w:pPr>
      <w:r w:rsidRPr="008730B4">
        <w:t>Cette source doit être une source lumineuse de série (étalon) homologuée selon le Règlement n</w:t>
      </w:r>
      <w:r w:rsidRPr="003C127E">
        <w:rPr>
          <w:vertAlign w:val="superscript"/>
        </w:rPr>
        <w:t>o</w:t>
      </w:r>
      <w:r w:rsidR="003C127E">
        <w:rPr>
          <w:lang w:val="fr-FR"/>
        </w:rPr>
        <w:t> </w:t>
      </w:r>
      <w:r w:rsidRPr="008730B4">
        <w:t>99 et son flux peut différer de l’objectif qui est fixé dans le Règlement n</w:t>
      </w:r>
      <w:r w:rsidRPr="003C127E">
        <w:rPr>
          <w:vertAlign w:val="superscript"/>
        </w:rPr>
        <w:t>o</w:t>
      </w:r>
      <w:r w:rsidR="003C127E">
        <w:rPr>
          <w:lang w:val="fr-FR"/>
        </w:rPr>
        <w:t> </w:t>
      </w:r>
      <w:r w:rsidRPr="008730B4">
        <w:t>99. Dans ce cas, les intensités lumineuses doivent être corrigées en conséquence.</w:t>
      </w:r>
    </w:p>
    <w:p w:rsidR="005061C5" w:rsidRPr="008730B4" w:rsidRDefault="00C53CBB" w:rsidP="004F70C5">
      <w:pPr>
        <w:pStyle w:val="SingleTxtG"/>
        <w:ind w:left="2268"/>
      </w:pPr>
      <w:r w:rsidRPr="008730B4">
        <w:t>Si la catégorie de source lumineuse à décharge est utilisée avec plusieurs valeurs de flux lumineux normal, le demandeur doit choisir l’une des valeurs de flux lumineux normal indiquées sur la feuille de caractéristiques correspondante du Règlement n</w:t>
      </w:r>
      <w:r w:rsidRPr="003C127E">
        <w:rPr>
          <w:vertAlign w:val="superscript"/>
        </w:rPr>
        <w:t>o</w:t>
      </w:r>
      <w:r w:rsidR="003C127E">
        <w:rPr>
          <w:lang w:val="fr-FR"/>
        </w:rPr>
        <w:t> </w:t>
      </w:r>
      <w:r w:rsidRPr="008730B4">
        <w:t>99 et la valeur de flux lumineux normal choisie aux fins de l’homologation de type doit être spécifiée aux points</w:t>
      </w:r>
      <w:r w:rsidR="003C127E">
        <w:rPr>
          <w:lang w:val="fr-FR"/>
        </w:rPr>
        <w:t> </w:t>
      </w:r>
      <w:r w:rsidRPr="008730B4">
        <w:t>9.4.1 et 9.4.2 de la fiche de communication de l’annexe</w:t>
      </w:r>
      <w:r w:rsidR="003C127E">
        <w:rPr>
          <w:lang w:val="fr-FR"/>
        </w:rPr>
        <w:t> </w:t>
      </w:r>
      <w:r w:rsidRPr="008730B4">
        <w:t>1. ».</w:t>
      </w:r>
    </w:p>
    <w:p w:rsidR="005061C5" w:rsidRPr="008730B4" w:rsidRDefault="003C127E" w:rsidP="008730B4">
      <w:pPr>
        <w:pStyle w:val="SingleTxtG"/>
        <w:rPr>
          <w:lang w:val="fr-FR"/>
        </w:rPr>
      </w:pPr>
      <w:r w:rsidRPr="0020630F">
        <w:rPr>
          <w:i/>
          <w:lang w:val="fr-FR"/>
        </w:rPr>
        <w:t>Annexe 1</w:t>
      </w:r>
      <w:r>
        <w:rPr>
          <w:lang w:val="fr-FR"/>
        </w:rPr>
        <w:t>,</w:t>
      </w:r>
    </w:p>
    <w:p w:rsidR="005061C5" w:rsidRPr="009A1953" w:rsidRDefault="00C53CBB" w:rsidP="008730B4">
      <w:pPr>
        <w:pStyle w:val="SingleTxtG"/>
      </w:pPr>
      <w:r w:rsidRPr="009A1953">
        <w:rPr>
          <w:lang w:val="fr-FR"/>
        </w:rPr>
        <w:t>Ajouter de nouveaux paragraphes</w:t>
      </w:r>
      <w:r w:rsidR="003C127E" w:rsidRPr="009A1953">
        <w:rPr>
          <w:lang w:val="fr-FR"/>
        </w:rPr>
        <w:t> </w:t>
      </w:r>
      <w:r w:rsidRPr="009A1953">
        <w:rPr>
          <w:lang w:val="fr-FR"/>
        </w:rPr>
        <w:t>9.4.1 et 9.4.2, libellés comme suit</w:t>
      </w:r>
      <w:r w:rsidR="003C127E" w:rsidRPr="009A1953">
        <w:rPr>
          <w:lang w:val="fr-FR"/>
        </w:rPr>
        <w:t> </w:t>
      </w:r>
      <w:r w:rsidRPr="009A1953">
        <w:rPr>
          <w:lang w:val="fr-FR"/>
        </w:rPr>
        <w:t>:</w:t>
      </w:r>
    </w:p>
    <w:p w:rsidR="005061C5" w:rsidRPr="008730B4" w:rsidRDefault="00C53CBB" w:rsidP="0020630F">
      <w:pPr>
        <w:pStyle w:val="SingleTxtG"/>
        <w:tabs>
          <w:tab w:val="right" w:leader="dot" w:pos="8505"/>
        </w:tabs>
        <w:ind w:left="2268" w:hanging="1134"/>
      </w:pPr>
      <w:r w:rsidRPr="008730B4">
        <w:rPr>
          <w:lang w:val="fr-FR"/>
        </w:rPr>
        <w:t>« 9.4.1</w:t>
      </w:r>
      <w:r w:rsidRPr="008730B4">
        <w:rPr>
          <w:lang w:val="fr-FR"/>
        </w:rPr>
        <w:tab/>
        <w:t>Si plusieurs valeurs de flux lumineux normal ont été spécifiées, valeur du flux lumineux normal utilisée pour le feu de croisement principal</w:t>
      </w:r>
      <w:r w:rsidR="003C127E">
        <w:rPr>
          <w:lang w:val="fr-FR"/>
        </w:rPr>
        <w:t> </w:t>
      </w:r>
      <w:r w:rsidRPr="008730B4">
        <w:rPr>
          <w:lang w:val="fr-FR"/>
        </w:rPr>
        <w:t>:</w:t>
      </w:r>
      <w:r w:rsidRPr="008730B4">
        <w:rPr>
          <w:lang w:val="fr-FR"/>
        </w:rPr>
        <w:tab/>
        <w:t>[lm]</w:t>
      </w:r>
    </w:p>
    <w:p w:rsidR="008730B4" w:rsidRDefault="00C53CBB" w:rsidP="0020630F">
      <w:pPr>
        <w:pStyle w:val="SingleTxtG"/>
        <w:tabs>
          <w:tab w:val="right" w:leader="dot" w:pos="8505"/>
        </w:tabs>
        <w:ind w:left="2268" w:hanging="1134"/>
        <w:rPr>
          <w:lang w:val="fr-FR"/>
        </w:rPr>
      </w:pPr>
      <w:r w:rsidRPr="008730B4">
        <w:rPr>
          <w:lang w:val="fr-FR"/>
        </w:rPr>
        <w:t>9.4.2</w:t>
      </w:r>
      <w:r w:rsidRPr="008730B4">
        <w:rPr>
          <w:lang w:val="fr-FR"/>
        </w:rPr>
        <w:tab/>
        <w:t>Si plusieurs valeurs de flux lumineux normal ont été spécifiées, valeur du flux lumineux normal utilisée pour le feu de route</w:t>
      </w:r>
      <w:r w:rsidR="003C127E">
        <w:rPr>
          <w:lang w:val="fr-FR"/>
        </w:rPr>
        <w:t> </w:t>
      </w:r>
      <w:r w:rsidRPr="008730B4">
        <w:rPr>
          <w:lang w:val="fr-FR"/>
        </w:rPr>
        <w:t>:</w:t>
      </w:r>
      <w:r w:rsidR="0020630F">
        <w:rPr>
          <w:lang w:val="fr-FR"/>
        </w:rPr>
        <w:tab/>
      </w:r>
      <w:r w:rsidRPr="008730B4">
        <w:rPr>
          <w:lang w:val="fr-FR"/>
        </w:rPr>
        <w:t>[lm] ».</w:t>
      </w:r>
    </w:p>
    <w:p w:rsidR="008730B4" w:rsidRPr="008730B4" w:rsidRDefault="008730B4" w:rsidP="008730B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730B4" w:rsidRPr="008730B4" w:rsidSect="005A53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C6" w:rsidRDefault="00385BC6" w:rsidP="00F95C08">
      <w:pPr>
        <w:spacing w:line="240" w:lineRule="auto"/>
      </w:pPr>
    </w:p>
  </w:endnote>
  <w:endnote w:type="continuationSeparator" w:id="0">
    <w:p w:rsidR="00385BC6" w:rsidRPr="00AC3823" w:rsidRDefault="00385BC6" w:rsidP="00AC3823">
      <w:pPr>
        <w:pStyle w:val="Footer"/>
      </w:pPr>
    </w:p>
  </w:endnote>
  <w:endnote w:type="continuationNotice" w:id="1">
    <w:p w:rsidR="00385BC6" w:rsidRDefault="00385B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90" w:rsidRPr="005A5390" w:rsidRDefault="005A5390" w:rsidP="005A5390">
    <w:pPr>
      <w:pStyle w:val="Footer"/>
      <w:tabs>
        <w:tab w:val="right" w:pos="9638"/>
      </w:tabs>
    </w:pPr>
    <w:r w:rsidRPr="005A5390">
      <w:rPr>
        <w:b/>
        <w:sz w:val="18"/>
      </w:rPr>
      <w:fldChar w:fldCharType="begin"/>
    </w:r>
    <w:r w:rsidRPr="005A5390">
      <w:rPr>
        <w:b/>
        <w:sz w:val="18"/>
      </w:rPr>
      <w:instrText xml:space="preserve"> PAGE  \* MERGEFORMAT </w:instrText>
    </w:r>
    <w:r w:rsidRPr="005A5390">
      <w:rPr>
        <w:b/>
        <w:sz w:val="18"/>
      </w:rPr>
      <w:fldChar w:fldCharType="separate"/>
    </w:r>
    <w:r w:rsidR="00F9693F">
      <w:rPr>
        <w:b/>
        <w:noProof/>
        <w:sz w:val="18"/>
      </w:rPr>
      <w:t>2</w:t>
    </w:r>
    <w:r w:rsidRPr="005A5390">
      <w:rPr>
        <w:b/>
        <w:sz w:val="18"/>
      </w:rPr>
      <w:fldChar w:fldCharType="end"/>
    </w:r>
    <w:r>
      <w:rPr>
        <w:b/>
        <w:sz w:val="18"/>
      </w:rPr>
      <w:tab/>
    </w:r>
    <w:r>
      <w:t>GE.16-11507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90" w:rsidRPr="005A5390" w:rsidRDefault="005A5390" w:rsidP="005A5390">
    <w:pPr>
      <w:pStyle w:val="Footer"/>
      <w:tabs>
        <w:tab w:val="right" w:pos="9638"/>
      </w:tabs>
      <w:rPr>
        <w:b/>
        <w:sz w:val="18"/>
      </w:rPr>
    </w:pPr>
    <w:r>
      <w:t>GE.16-11507</w:t>
    </w:r>
    <w:r>
      <w:tab/>
    </w:r>
    <w:r w:rsidRPr="005A5390">
      <w:rPr>
        <w:b/>
        <w:sz w:val="18"/>
      </w:rPr>
      <w:fldChar w:fldCharType="begin"/>
    </w:r>
    <w:r w:rsidRPr="005A5390">
      <w:rPr>
        <w:b/>
        <w:sz w:val="18"/>
      </w:rPr>
      <w:instrText xml:space="preserve"> PAGE  \* MERGEFORMAT </w:instrText>
    </w:r>
    <w:r w:rsidRPr="005A5390">
      <w:rPr>
        <w:b/>
        <w:sz w:val="18"/>
      </w:rPr>
      <w:fldChar w:fldCharType="separate"/>
    </w:r>
    <w:r>
      <w:rPr>
        <w:b/>
        <w:noProof/>
        <w:sz w:val="18"/>
      </w:rPr>
      <w:t>3</w:t>
    </w:r>
    <w:r w:rsidRPr="005A53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5A5390" w:rsidRDefault="005A5390" w:rsidP="005A5390">
    <w:pPr>
      <w:pStyle w:val="Footer"/>
      <w:spacing w:before="120"/>
      <w:rPr>
        <w:sz w:val="20"/>
      </w:rPr>
    </w:pPr>
    <w:r>
      <w:rPr>
        <w:sz w:val="20"/>
      </w:rPr>
      <w:t>GE.</w:t>
    </w:r>
    <w:r w:rsidR="0080236C">
      <w:rPr>
        <w:noProof/>
        <w:lang w:val="en-GB" w:eastAsia="en-GB"/>
      </w:rPr>
      <w:drawing>
        <wp:anchor distT="0" distB="0" distL="114300" distR="114300" simplePos="0" relativeHeight="251659264" behindDoc="0" locked="0" layoutInCell="1" allowOverlap="0" wp14:anchorId="310FC7A0" wp14:editId="456A217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16-11507  (F)    121216    131216</w:t>
    </w:r>
    <w:r>
      <w:rPr>
        <w:sz w:val="20"/>
      </w:rPr>
      <w:br/>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sidRPr="005A539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ECE/324/Rev.1/Add.97/Rev.3/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97/Rev.3/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C6" w:rsidRPr="00AC3823" w:rsidRDefault="00385BC6" w:rsidP="00AC3823">
      <w:pPr>
        <w:pStyle w:val="Footer"/>
        <w:tabs>
          <w:tab w:val="right" w:pos="2155"/>
        </w:tabs>
        <w:spacing w:after="80" w:line="240" w:lineRule="atLeast"/>
        <w:ind w:left="680"/>
        <w:rPr>
          <w:u w:val="single"/>
        </w:rPr>
      </w:pPr>
      <w:r>
        <w:rPr>
          <w:u w:val="single"/>
        </w:rPr>
        <w:tab/>
      </w:r>
    </w:p>
  </w:footnote>
  <w:footnote w:type="continuationSeparator" w:id="0">
    <w:p w:rsidR="00385BC6" w:rsidRPr="00AC3823" w:rsidRDefault="00385BC6" w:rsidP="00AC3823">
      <w:pPr>
        <w:pStyle w:val="Footer"/>
        <w:tabs>
          <w:tab w:val="right" w:pos="2155"/>
        </w:tabs>
        <w:spacing w:after="80" w:line="240" w:lineRule="atLeast"/>
        <w:ind w:left="680"/>
        <w:rPr>
          <w:u w:val="single"/>
        </w:rPr>
      </w:pPr>
      <w:r>
        <w:rPr>
          <w:u w:val="single"/>
        </w:rPr>
        <w:tab/>
      </w:r>
    </w:p>
  </w:footnote>
  <w:footnote w:type="continuationNotice" w:id="1">
    <w:p w:rsidR="00385BC6" w:rsidRPr="00AC3823" w:rsidRDefault="00385BC6">
      <w:pPr>
        <w:spacing w:line="240" w:lineRule="auto"/>
        <w:rPr>
          <w:sz w:val="2"/>
          <w:szCs w:val="2"/>
        </w:rPr>
      </w:pPr>
    </w:p>
  </w:footnote>
  <w:footnote w:id="2">
    <w:p w:rsidR="003C127E" w:rsidRPr="003C127E" w:rsidRDefault="003C127E">
      <w:pPr>
        <w:pStyle w:val="FootnoteText"/>
      </w:pPr>
      <w:r>
        <w:rPr>
          <w:rStyle w:val="FootnoteReference"/>
        </w:rPr>
        <w:tab/>
      </w:r>
      <w:r w:rsidRPr="003C127E">
        <w:rPr>
          <w:rStyle w:val="FootnoteReference"/>
          <w:sz w:val="20"/>
          <w:vertAlign w:val="baseline"/>
        </w:rPr>
        <w:t>*</w:t>
      </w:r>
      <w:r>
        <w:rPr>
          <w:rStyle w:val="FootnoteReference"/>
          <w:sz w:val="20"/>
          <w:vertAlign w:val="baseline"/>
        </w:rPr>
        <w:tab/>
      </w:r>
      <w:r>
        <w:rPr>
          <w:lang w:val="fr-FR"/>
        </w:rPr>
        <w:t>Ancien titre de l’Accord : Accord concernant l’adoption de conditions uniformes d’homologation et la reconnaissance réciproque de l’homologation des équipements et pièces de véhicules à moteur, en date, à Genève, du 20 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90" w:rsidRPr="005A5390" w:rsidRDefault="005A5390">
    <w:pPr>
      <w:pStyle w:val="Header"/>
    </w:pPr>
    <w:r>
      <w:t>E/ECE/324/Rev.1/Add.97/Rev.3/Amend.6</w:t>
    </w:r>
    <w:r>
      <w:br/>
      <w:t>E/ECE/TRANS/505/Rev.1/Add.97/Rev.3/Amend.6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90" w:rsidRPr="005A5390" w:rsidRDefault="005A5390" w:rsidP="005A5390">
    <w:pPr>
      <w:pStyle w:val="Header"/>
      <w:jc w:val="right"/>
    </w:pPr>
    <w:r>
      <w:t>E/ECE/324/Rev.1/Add.97/Rev.3/Amend.6</w:t>
    </w:r>
    <w:r>
      <w:br/>
      <w:t>E/ECE/TRANS/505/Rev.1/Add.97/Rev.3/Amend.6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C6"/>
    <w:rsid w:val="000039EF"/>
    <w:rsid w:val="00017F94"/>
    <w:rsid w:val="00023842"/>
    <w:rsid w:val="000334F9"/>
    <w:rsid w:val="0007796D"/>
    <w:rsid w:val="000B5136"/>
    <w:rsid w:val="000B7790"/>
    <w:rsid w:val="00111F2F"/>
    <w:rsid w:val="00137784"/>
    <w:rsid w:val="0014365E"/>
    <w:rsid w:val="00150607"/>
    <w:rsid w:val="00176178"/>
    <w:rsid w:val="001F525A"/>
    <w:rsid w:val="0020630F"/>
    <w:rsid w:val="00223272"/>
    <w:rsid w:val="0024779E"/>
    <w:rsid w:val="002832AC"/>
    <w:rsid w:val="002D7C93"/>
    <w:rsid w:val="00385BC6"/>
    <w:rsid w:val="003C127E"/>
    <w:rsid w:val="00441C3B"/>
    <w:rsid w:val="00446FE5"/>
    <w:rsid w:val="00452396"/>
    <w:rsid w:val="004E468C"/>
    <w:rsid w:val="004F70C5"/>
    <w:rsid w:val="00532ABE"/>
    <w:rsid w:val="005505B7"/>
    <w:rsid w:val="00573BE5"/>
    <w:rsid w:val="00586ED3"/>
    <w:rsid w:val="00596AA9"/>
    <w:rsid w:val="005A5390"/>
    <w:rsid w:val="0071601D"/>
    <w:rsid w:val="007A62E6"/>
    <w:rsid w:val="0080236C"/>
    <w:rsid w:val="0080684C"/>
    <w:rsid w:val="00866D97"/>
    <w:rsid w:val="00871C75"/>
    <w:rsid w:val="008730B4"/>
    <w:rsid w:val="008776DC"/>
    <w:rsid w:val="008B1BC9"/>
    <w:rsid w:val="008D3D02"/>
    <w:rsid w:val="00967489"/>
    <w:rsid w:val="009705C8"/>
    <w:rsid w:val="009A1953"/>
    <w:rsid w:val="009C1CF4"/>
    <w:rsid w:val="00A30353"/>
    <w:rsid w:val="00AA42FA"/>
    <w:rsid w:val="00AC3823"/>
    <w:rsid w:val="00AE323C"/>
    <w:rsid w:val="00AF290F"/>
    <w:rsid w:val="00B00181"/>
    <w:rsid w:val="00B00B0D"/>
    <w:rsid w:val="00B765F7"/>
    <w:rsid w:val="00BA0CA9"/>
    <w:rsid w:val="00C02897"/>
    <w:rsid w:val="00C53CBB"/>
    <w:rsid w:val="00D3439C"/>
    <w:rsid w:val="00D972CE"/>
    <w:rsid w:val="00DB1831"/>
    <w:rsid w:val="00DD3BFD"/>
    <w:rsid w:val="00DF6678"/>
    <w:rsid w:val="00EF2E22"/>
    <w:rsid w:val="00F660DF"/>
    <w:rsid w:val="00F95C08"/>
    <w:rsid w:val="00F969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199CD2-B367-4381-A2B4-9CF59F13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A0B4-1F74-4FE8-A23D-AA97D1FA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E/ECE/324/Rev.1/Add.97/Rev.3/Amend.6</vt:lpstr>
      <vt:lpstr>E/ECE/324/Rev.1/Add.97/Rev.3/Amend.6</vt:lpstr>
    </vt:vector>
  </TitlesOfParts>
  <Company>DCM</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E/ECE/324/Rev.1/Add.97/Rev.3/Amend.6</dc:title>
  <dc:subject>final</dc:subject>
  <dc:creator>Deschamps</dc:creator>
  <cp:keywords/>
  <dc:description/>
  <cp:lastModifiedBy>Lucille</cp:lastModifiedBy>
  <cp:revision>2</cp:revision>
  <cp:lastPrinted>2016-12-13T10:17:00Z</cp:lastPrinted>
  <dcterms:created xsi:type="dcterms:W3CDTF">2017-01-09T18:14:00Z</dcterms:created>
  <dcterms:modified xsi:type="dcterms:W3CDTF">2017-01-09T18:14:00Z</dcterms:modified>
</cp:coreProperties>
</file>