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3E3861" w:rsidTr="00A27C92">
        <w:trPr>
          <w:trHeight w:hRule="exact" w:val="851"/>
        </w:trPr>
        <w:tc>
          <w:tcPr>
            <w:tcW w:w="9639" w:type="dxa"/>
            <w:gridSpan w:val="2"/>
            <w:tcBorders>
              <w:bottom w:val="single" w:sz="4" w:space="0" w:color="auto"/>
            </w:tcBorders>
            <w:shd w:val="clear" w:color="auto" w:fill="auto"/>
            <w:vAlign w:val="bottom"/>
          </w:tcPr>
          <w:p w:rsidR="009F2480" w:rsidRPr="003E3861" w:rsidRDefault="009F2480" w:rsidP="009F2480">
            <w:pPr>
              <w:jc w:val="right"/>
              <w:rPr>
                <w:lang w:val="en-GB"/>
              </w:rPr>
            </w:pPr>
            <w:bookmarkStart w:id="0" w:name="_GoBack"/>
            <w:bookmarkEnd w:id="0"/>
            <w:r w:rsidRPr="003E3861">
              <w:rPr>
                <w:sz w:val="40"/>
                <w:lang w:val="en-GB"/>
              </w:rPr>
              <w:t>E</w:t>
            </w:r>
            <w:r w:rsidRPr="003E3861">
              <w:rPr>
                <w:lang w:val="en-GB"/>
              </w:rPr>
              <w:t>/ECE/324/Rev.1/Add.91/Rev.1/Amend.1−</w:t>
            </w:r>
            <w:r w:rsidRPr="003E3861">
              <w:rPr>
                <w:sz w:val="40"/>
                <w:lang w:val="en-GB"/>
              </w:rPr>
              <w:t>E</w:t>
            </w:r>
            <w:r w:rsidRPr="003E3861">
              <w:rPr>
                <w:lang w:val="en-GB"/>
              </w:rPr>
              <w:t>/ECE/TRANS/505/Rev.1/Add.91/Rev.1/Amend.1</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3E3861" w:rsidRDefault="00421A10" w:rsidP="00A27C92">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9F2480" w:rsidP="00A27C92">
            <w:pPr>
              <w:spacing w:before="480" w:line="240" w:lineRule="exact"/>
            </w:pPr>
            <w:r>
              <w:t>22 février 2017</w:t>
            </w:r>
          </w:p>
        </w:tc>
      </w:tr>
    </w:tbl>
    <w:p w:rsidR="009F2480" w:rsidRPr="003B7CCC" w:rsidRDefault="009F2480" w:rsidP="009F2480">
      <w:pPr>
        <w:pStyle w:val="HChG"/>
      </w:pPr>
      <w:r w:rsidRPr="003B7CCC">
        <w:tab/>
      </w:r>
      <w:r w:rsidRPr="003B7CCC">
        <w:tab/>
        <w:t>Accord</w:t>
      </w:r>
    </w:p>
    <w:p w:rsidR="009F2480" w:rsidRPr="003B7CCC" w:rsidRDefault="009F2480" w:rsidP="009F2480">
      <w:pPr>
        <w:pStyle w:val="H1G"/>
      </w:pPr>
      <w:r w:rsidRPr="003B7CCC">
        <w:tab/>
      </w:r>
      <w:r w:rsidRPr="003B7CCC">
        <w:tab/>
        <w:t>Concernant l’adoption de prescriptions techniques uniformes applicables aux véhicules à roues, aux équipements et aux pièces susceptibles d’être montés ou utilisés sur un véhicule à roues</w:t>
      </w:r>
      <w:r w:rsidRPr="003B7CCC">
        <w:br/>
        <w:t>et les conditions de reconnaissance réciproque des homologations délivrées conformément à ces prescriptions</w:t>
      </w:r>
      <w:r w:rsidRPr="003B7CCC">
        <w:rPr>
          <w:rStyle w:val="FootnoteReference"/>
          <w:b w:val="0"/>
          <w:bCs/>
          <w:sz w:val="20"/>
          <w:vertAlign w:val="baseline"/>
        </w:rPr>
        <w:footnoteReference w:customMarkFollows="1" w:id="2"/>
        <w:t>*</w:t>
      </w:r>
    </w:p>
    <w:p w:rsidR="009F2480" w:rsidRPr="003B7CCC" w:rsidRDefault="009F2480" w:rsidP="009F2480">
      <w:pPr>
        <w:pStyle w:val="SingleTxtG"/>
        <w:jc w:val="left"/>
        <w:rPr>
          <w:b/>
          <w:sz w:val="24"/>
          <w:szCs w:val="24"/>
        </w:rPr>
      </w:pPr>
      <w:r w:rsidRPr="003B7CCC">
        <w:t>(Révision 2, comprenant les amendements entrés en vigueur le 16 octobre 1995)</w:t>
      </w:r>
    </w:p>
    <w:p w:rsidR="009F2480" w:rsidRPr="003B7CCC" w:rsidRDefault="009F2480" w:rsidP="009F2480">
      <w:pPr>
        <w:jc w:val="center"/>
      </w:pPr>
      <w:r w:rsidRPr="003B7CCC">
        <w:t>_______________</w:t>
      </w:r>
    </w:p>
    <w:p w:rsidR="009F2480" w:rsidRPr="003B7CCC" w:rsidRDefault="009F2480" w:rsidP="009F2480">
      <w:pPr>
        <w:pStyle w:val="HChG"/>
      </w:pPr>
      <w:r w:rsidRPr="003B7CCC">
        <w:tab/>
      </w:r>
      <w:r w:rsidRPr="003B7CCC">
        <w:tab/>
        <w:t>Additif 91 : Règlement n</w:t>
      </w:r>
      <w:r w:rsidRPr="003B7CCC">
        <w:rPr>
          <w:vertAlign w:val="superscript"/>
        </w:rPr>
        <w:t>o</w:t>
      </w:r>
      <w:r w:rsidRPr="003B7CCC">
        <w:t> 92</w:t>
      </w:r>
    </w:p>
    <w:p w:rsidR="009F2480" w:rsidRPr="003B7CCC" w:rsidRDefault="009F2480" w:rsidP="009F2480">
      <w:pPr>
        <w:pStyle w:val="H1G"/>
      </w:pPr>
      <w:r w:rsidRPr="003B7CCC">
        <w:tab/>
      </w:r>
      <w:r w:rsidRPr="003B7CCC">
        <w:tab/>
        <w:t>Révision 1 − Amendement 1</w:t>
      </w:r>
    </w:p>
    <w:p w:rsidR="009F2480" w:rsidRPr="003B7CCC" w:rsidRDefault="009F2480" w:rsidP="009F2480">
      <w:pPr>
        <w:pStyle w:val="SingleTxtG"/>
      </w:pPr>
      <w:r w:rsidRPr="003B7CCC">
        <w:rPr>
          <w:spacing w:val="-2"/>
        </w:rPr>
        <w:t xml:space="preserve">Complément 1 à la série 01 d’amendements − Date d’entrée en vigueur : </w:t>
      </w:r>
      <w:r w:rsidRPr="003B7CCC">
        <w:t>9 février 2017</w:t>
      </w:r>
    </w:p>
    <w:p w:rsidR="009F2480" w:rsidRPr="003B7CCC" w:rsidRDefault="009F2480" w:rsidP="009F2480">
      <w:pPr>
        <w:pStyle w:val="H1G"/>
        <w:spacing w:before="120" w:after="120" w:line="240" w:lineRule="exact"/>
      </w:pPr>
      <w:r w:rsidRPr="003B7CCC">
        <w:tab/>
      </w:r>
      <w:r w:rsidRPr="003B7CCC">
        <w:tab/>
        <w:t xml:space="preserve">Prescriptions uniformes relatives à l’homologation des dispositifs silencieux d’échappement de remplacement non d’origine des motocycles, cyclomoteurs et véhicules à trois roues </w:t>
      </w:r>
    </w:p>
    <w:p w:rsidR="009F2480" w:rsidRPr="003B7CCC" w:rsidRDefault="009F2480" w:rsidP="009F2480">
      <w:pPr>
        <w:pStyle w:val="SingleTxtG"/>
      </w:pPr>
      <w:r w:rsidRPr="003B7CCC">
        <w:rPr>
          <w:lang w:eastAsia="en-GB"/>
        </w:rPr>
        <w:t>Ce document constitue un outil de documentation. Le texte authentique et contraignant juridique est ECE/TRANS/WP.29/2016/48</w:t>
      </w:r>
      <w:r w:rsidRPr="003B7CCC">
        <w:rPr>
          <w:spacing w:val="-6"/>
          <w:lang w:eastAsia="en-GB"/>
        </w:rPr>
        <w:t>.</w:t>
      </w:r>
    </w:p>
    <w:p w:rsidR="009F2480" w:rsidRDefault="00442E31" w:rsidP="005F0207">
      <w:r>
        <w:rPr>
          <w:noProof/>
          <w:lang w:val="en-GB" w:eastAsia="en-GB"/>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7021195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val="en-GB" w:eastAsia="en-GB"/>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0;margin-top:552.8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" stroked="f">
                <v:textbox inset="0,0,0,0">
                  <w:txbxContent>
                    <w:p w:rsidR="00442E31" w:rsidRPr="0029791D" w:rsidRDefault="00442E31" w:rsidP="00C9521D">
                      <w:pPr>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p>
    <w:p w:rsidR="00EC7E3E" w:rsidRPr="003B7CCC" w:rsidRDefault="009F2480" w:rsidP="00EC7E3E">
      <w:pPr>
        <w:pStyle w:val="SingleTxtG"/>
        <w:rPr>
          <w:lang w:eastAsia="ja-JP"/>
        </w:rPr>
      </w:pPr>
      <w:r>
        <w:br w:type="page"/>
      </w:r>
      <w:r w:rsidR="00EC7E3E" w:rsidRPr="003B7CCC">
        <w:rPr>
          <w:i/>
          <w:iCs/>
          <w:lang w:eastAsia="ja-JP"/>
        </w:rPr>
        <w:lastRenderedPageBreak/>
        <w:t>Annexe 5</w:t>
      </w:r>
      <w:r w:rsidR="00EC7E3E" w:rsidRPr="003B7CCC">
        <w:rPr>
          <w:lang w:eastAsia="ja-JP"/>
        </w:rPr>
        <w:t xml:space="preserve">, </w:t>
      </w:r>
    </w:p>
    <w:p w:rsidR="00EC7E3E" w:rsidRPr="003B7CCC" w:rsidRDefault="00EC7E3E" w:rsidP="00EC7E3E">
      <w:pPr>
        <w:pStyle w:val="SingleTxtG"/>
        <w:rPr>
          <w:lang w:eastAsia="ja-JP"/>
        </w:rPr>
      </w:pPr>
      <w:r w:rsidRPr="003B7CCC">
        <w:rPr>
          <w:i/>
          <w:lang w:eastAsia="ja-JP"/>
        </w:rPr>
        <w:t>Paragraphe 1</w:t>
      </w:r>
      <w:r w:rsidRPr="003B7CCC">
        <w:rPr>
          <w:iCs/>
          <w:lang w:eastAsia="ja-JP"/>
        </w:rPr>
        <w:t>,</w:t>
      </w:r>
      <w:r w:rsidRPr="003B7CCC">
        <w:rPr>
          <w:lang w:eastAsia="ja-JP"/>
        </w:rPr>
        <w:t xml:space="preserve"> </w:t>
      </w:r>
      <w:proofErr w:type="gramStart"/>
      <w:r w:rsidRPr="003B7CCC">
        <w:rPr>
          <w:lang w:eastAsia="ja-JP"/>
        </w:rPr>
        <w:t>modifier</w:t>
      </w:r>
      <w:proofErr w:type="gramEnd"/>
      <w:r w:rsidRPr="003B7CCC">
        <w:rPr>
          <w:lang w:eastAsia="ja-JP"/>
        </w:rPr>
        <w:t xml:space="preserve"> comme suit :</w:t>
      </w:r>
    </w:p>
    <w:p w:rsidR="00EC7E3E" w:rsidRPr="003B7CCC" w:rsidRDefault="00EC7E3E" w:rsidP="00EC7E3E">
      <w:pPr>
        <w:pStyle w:val="SingleTxtG"/>
        <w:ind w:left="2268" w:hanging="1134"/>
        <w:rPr>
          <w:color w:val="000000"/>
        </w:rPr>
      </w:pPr>
      <w:r w:rsidRPr="003B7CCC">
        <w:rPr>
          <w:color w:val="000000"/>
        </w:rPr>
        <w:t>« 1.</w:t>
      </w:r>
      <w:r w:rsidRPr="003B7CCC">
        <w:rPr>
          <w:color w:val="000000"/>
        </w:rPr>
        <w:tab/>
      </w:r>
      <w:r w:rsidRPr="003B7CCC">
        <w:t>Les matériaux absorbants fibreux ne doivent pas contenir d’amiante et ne peuvent être utilisés dans la construction du silencieux que si des dispositifs appropriés garantissent le maintien en place de ces matériaux pendant toute la durée d’utilisation du silencieux et si les prescriptions énoncées à l’un des points 2, 3, 4 ou 5 sont respectées, suivant le choix du constructeur</w:t>
      </w:r>
      <w:r w:rsidRPr="003B7CCC">
        <w:rPr>
          <w:color w:val="000000"/>
        </w:rPr>
        <w:t>. ».</w:t>
      </w:r>
    </w:p>
    <w:p w:rsidR="00EC7E3E" w:rsidRPr="003B7CCC" w:rsidRDefault="00EC7E3E" w:rsidP="00EC7E3E">
      <w:pPr>
        <w:pStyle w:val="SingleTxtG"/>
        <w:rPr>
          <w:color w:val="000000"/>
          <w:kern w:val="2"/>
          <w:lang w:eastAsia="ja-JP"/>
        </w:rPr>
      </w:pPr>
      <w:r w:rsidRPr="003B7CCC">
        <w:rPr>
          <w:lang w:eastAsia="ja-JP"/>
        </w:rPr>
        <w:t>Ajouter un nouveau paragraphe 5, ainsi conçu </w:t>
      </w:r>
      <w:r w:rsidRPr="003B7CCC">
        <w:rPr>
          <w:color w:val="000000"/>
          <w:kern w:val="2"/>
          <w:lang w:eastAsia="ja-JP"/>
        </w:rPr>
        <w:t>:</w:t>
      </w:r>
    </w:p>
    <w:p w:rsidR="00EC7E3E" w:rsidRDefault="00EC7E3E" w:rsidP="00377AC1">
      <w:pPr>
        <w:pStyle w:val="SingleTxtG"/>
        <w:ind w:left="2268" w:hanging="1134"/>
        <w:rPr>
          <w:color w:val="000000"/>
        </w:rPr>
      </w:pPr>
      <w:r w:rsidRPr="003B7CCC">
        <w:rPr>
          <w:color w:val="000000"/>
        </w:rPr>
        <w:t>« 5.</w:t>
      </w:r>
      <w:r w:rsidRPr="003B7CCC">
        <w:rPr>
          <w:color w:val="000000"/>
        </w:rPr>
        <w:tab/>
      </w:r>
      <w:r w:rsidRPr="003B7CCC">
        <w:t>Les gaz d’échappement ne doivent pas être en contact avec les matériaux fibreux et ces derniers ne doivent pas être soumis à des variations de pression</w:t>
      </w:r>
      <w:r w:rsidRPr="003B7CCC">
        <w:rPr>
          <w:color w:val="000000"/>
        </w:rPr>
        <w:t>. ».</w:t>
      </w:r>
    </w:p>
    <w:p w:rsidR="00EC7E3E" w:rsidRPr="00EC7E3E" w:rsidRDefault="00EC7E3E" w:rsidP="00EC7E3E">
      <w:pPr>
        <w:pStyle w:val="SingleTxtG"/>
        <w:spacing w:before="240" w:after="0"/>
        <w:jc w:val="center"/>
        <w:rPr>
          <w:u w:val="single"/>
        </w:rPr>
      </w:pPr>
      <w:r>
        <w:rPr>
          <w:u w:val="single"/>
        </w:rPr>
        <w:tab/>
      </w:r>
      <w:r>
        <w:rPr>
          <w:u w:val="single"/>
        </w:rPr>
        <w:tab/>
      </w:r>
      <w:r>
        <w:rPr>
          <w:u w:val="single"/>
        </w:rPr>
        <w:tab/>
      </w:r>
    </w:p>
    <w:sectPr w:rsidR="00EC7E3E" w:rsidRPr="00EC7E3E" w:rsidSect="009F2480">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F4" w:rsidRDefault="009221F4"/>
  </w:endnote>
  <w:endnote w:type="continuationSeparator" w:id="0">
    <w:p w:rsidR="009221F4" w:rsidRDefault="009221F4">
      <w:pPr>
        <w:pStyle w:val="Footer"/>
      </w:pPr>
    </w:p>
  </w:endnote>
  <w:endnote w:type="continuationNotice" w:id="1">
    <w:p w:rsidR="009221F4" w:rsidRPr="00C451B9" w:rsidRDefault="009221F4"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80" w:rsidRPr="009F2480" w:rsidRDefault="009F2480" w:rsidP="009F2480">
    <w:pPr>
      <w:pStyle w:val="Footer"/>
      <w:tabs>
        <w:tab w:val="right" w:pos="9638"/>
      </w:tabs>
    </w:pPr>
    <w:r w:rsidRPr="009F2480">
      <w:rPr>
        <w:b/>
        <w:sz w:val="18"/>
      </w:rPr>
      <w:fldChar w:fldCharType="begin"/>
    </w:r>
    <w:r w:rsidRPr="009F2480">
      <w:rPr>
        <w:b/>
        <w:sz w:val="18"/>
      </w:rPr>
      <w:instrText xml:space="preserve"> PAGE  \* MERGEFORMAT </w:instrText>
    </w:r>
    <w:r w:rsidRPr="009F2480">
      <w:rPr>
        <w:b/>
        <w:sz w:val="18"/>
      </w:rPr>
      <w:fldChar w:fldCharType="separate"/>
    </w:r>
    <w:r w:rsidR="003E3861">
      <w:rPr>
        <w:b/>
        <w:noProof/>
        <w:sz w:val="18"/>
      </w:rPr>
      <w:t>2</w:t>
    </w:r>
    <w:r w:rsidRPr="009F2480">
      <w:rPr>
        <w:b/>
        <w:sz w:val="18"/>
      </w:rPr>
      <w:fldChar w:fldCharType="end"/>
    </w:r>
    <w:r>
      <w:rPr>
        <w:b/>
        <w:sz w:val="18"/>
      </w:rPr>
      <w:tab/>
    </w:r>
    <w:r>
      <w:t>GE.17-02005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80" w:rsidRPr="009F2480" w:rsidRDefault="009F2480" w:rsidP="009F2480">
    <w:pPr>
      <w:pStyle w:val="Footer"/>
      <w:tabs>
        <w:tab w:val="right" w:pos="9638"/>
      </w:tabs>
      <w:rPr>
        <w:b/>
        <w:sz w:val="18"/>
      </w:rPr>
    </w:pPr>
    <w:r>
      <w:t>GE.17-02005</w:t>
    </w:r>
    <w:r>
      <w:tab/>
    </w:r>
    <w:r w:rsidRPr="009F2480">
      <w:rPr>
        <w:b/>
        <w:sz w:val="18"/>
      </w:rPr>
      <w:fldChar w:fldCharType="begin"/>
    </w:r>
    <w:r w:rsidRPr="009F2480">
      <w:rPr>
        <w:b/>
        <w:sz w:val="18"/>
      </w:rPr>
      <w:instrText xml:space="preserve"> PAGE  \* MERGEFORMAT </w:instrText>
    </w:r>
    <w:r w:rsidRPr="009F2480">
      <w:rPr>
        <w:b/>
        <w:sz w:val="18"/>
      </w:rPr>
      <w:fldChar w:fldCharType="separate"/>
    </w:r>
    <w:r>
      <w:rPr>
        <w:b/>
        <w:noProof/>
        <w:sz w:val="18"/>
      </w:rPr>
      <w:t>3</w:t>
    </w:r>
    <w:r w:rsidRPr="009F248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2C" w:rsidRPr="009F2480" w:rsidRDefault="009F2480" w:rsidP="009F2480">
    <w:pPr>
      <w:pStyle w:val="Footer"/>
      <w:spacing w:before="120"/>
      <w:rPr>
        <w:sz w:val="20"/>
      </w:rPr>
    </w:pPr>
    <w:r>
      <w:rPr>
        <w:sz w:val="20"/>
      </w:rPr>
      <w:t>GE.</w:t>
    </w:r>
    <w:r w:rsidR="00467F2C">
      <w:rPr>
        <w:noProof/>
        <w:lang w:val="en-GB" w:eastAsia="en-GB"/>
      </w:rPr>
      <w:drawing>
        <wp:anchor distT="0" distB="0" distL="114300" distR="114300" simplePos="0" relativeHeight="251659264" behindDoc="0" locked="0" layoutInCell="1" allowOverlap="1" wp14:anchorId="4288F607" wp14:editId="1B53419D">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17-02005  (F)</w:t>
    </w:r>
    <w:r w:rsidR="005237C9">
      <w:rPr>
        <w:sz w:val="20"/>
      </w:rPr>
      <w:t xml:space="preserve">    280417    010517</w:t>
    </w:r>
    <w:r>
      <w:rPr>
        <w:sz w:val="20"/>
      </w:rPr>
      <w:br/>
    </w:r>
    <w:r w:rsidRPr="009F2480">
      <w:rPr>
        <w:rFonts w:ascii="C39T30Lfz" w:hAnsi="C39T30Lfz"/>
        <w:sz w:val="56"/>
      </w:rPr>
      <w:t></w:t>
    </w:r>
    <w:r w:rsidRPr="009F2480">
      <w:rPr>
        <w:rFonts w:ascii="C39T30Lfz" w:hAnsi="C39T30Lfz"/>
        <w:sz w:val="56"/>
      </w:rPr>
      <w:t></w:t>
    </w:r>
    <w:r w:rsidRPr="009F2480">
      <w:rPr>
        <w:rFonts w:ascii="C39T30Lfz" w:hAnsi="C39T30Lfz"/>
        <w:sz w:val="56"/>
      </w:rPr>
      <w:t></w:t>
    </w:r>
    <w:r w:rsidRPr="009F2480">
      <w:rPr>
        <w:rFonts w:ascii="C39T30Lfz" w:hAnsi="C39T30Lfz"/>
        <w:sz w:val="56"/>
      </w:rPr>
      <w:t></w:t>
    </w:r>
    <w:r w:rsidRPr="009F2480">
      <w:rPr>
        <w:rFonts w:ascii="C39T30Lfz" w:hAnsi="C39T30Lfz"/>
        <w:sz w:val="56"/>
      </w:rPr>
      <w:t></w:t>
    </w:r>
    <w:r w:rsidRPr="009F2480">
      <w:rPr>
        <w:rFonts w:ascii="C39T30Lfz" w:hAnsi="C39T30Lfz"/>
        <w:sz w:val="56"/>
      </w:rPr>
      <w:t></w:t>
    </w:r>
    <w:r w:rsidRPr="009F2480">
      <w:rPr>
        <w:rFonts w:ascii="C39T30Lfz" w:hAnsi="C39T30Lfz"/>
        <w:sz w:val="56"/>
      </w:rPr>
      <w:t></w:t>
    </w:r>
    <w:r w:rsidRPr="009F2480">
      <w:rPr>
        <w:rFonts w:ascii="C39T30Lfz" w:hAnsi="C39T30Lfz"/>
        <w:sz w:val="56"/>
      </w:rPr>
      <w:t></w:t>
    </w:r>
    <w:r w:rsidRPr="009F2480">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91/Rev.1/Amend.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91/Rev.1/Amend.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F4" w:rsidRPr="00D27D5E" w:rsidRDefault="009221F4" w:rsidP="00D27D5E">
      <w:pPr>
        <w:tabs>
          <w:tab w:val="right" w:pos="2155"/>
        </w:tabs>
        <w:spacing w:after="80"/>
        <w:ind w:left="680"/>
        <w:rPr>
          <w:u w:val="single"/>
        </w:rPr>
      </w:pPr>
      <w:r>
        <w:rPr>
          <w:u w:val="single"/>
        </w:rPr>
        <w:tab/>
      </w:r>
    </w:p>
  </w:footnote>
  <w:footnote w:type="continuationSeparator" w:id="0">
    <w:p w:rsidR="009221F4" w:rsidRPr="00D171D4" w:rsidRDefault="009221F4" w:rsidP="00D171D4">
      <w:pPr>
        <w:tabs>
          <w:tab w:val="right" w:pos="2155"/>
        </w:tabs>
        <w:spacing w:after="80"/>
        <w:ind w:left="680"/>
        <w:rPr>
          <w:u w:val="single"/>
        </w:rPr>
      </w:pPr>
      <w:r w:rsidRPr="00D171D4">
        <w:rPr>
          <w:u w:val="single"/>
        </w:rPr>
        <w:tab/>
      </w:r>
    </w:p>
  </w:footnote>
  <w:footnote w:type="continuationNotice" w:id="1">
    <w:p w:rsidR="009221F4" w:rsidRPr="00C451B9" w:rsidRDefault="009221F4" w:rsidP="00C451B9">
      <w:pPr>
        <w:spacing w:line="240" w:lineRule="auto"/>
        <w:rPr>
          <w:sz w:val="2"/>
          <w:szCs w:val="2"/>
        </w:rPr>
      </w:pPr>
    </w:p>
  </w:footnote>
  <w:footnote w:id="2">
    <w:p w:rsidR="009F2480" w:rsidRPr="00442E31" w:rsidRDefault="009F2480" w:rsidP="009F2480">
      <w:pPr>
        <w:pStyle w:val="FootnoteText"/>
      </w:pPr>
      <w:r>
        <w:rPr>
          <w:rStyle w:val="FootnoteReference"/>
        </w:rPr>
        <w:tab/>
      </w:r>
      <w:r w:rsidRPr="00442E31">
        <w:rPr>
          <w:rStyle w:val="FootnoteReference"/>
          <w:sz w:val="20"/>
          <w:vertAlign w:val="baseline"/>
        </w:rPr>
        <w:t>*</w:t>
      </w:r>
      <w:r>
        <w:rPr>
          <w:rStyle w:val="FootnoteReference"/>
          <w:sz w:val="20"/>
          <w:vertAlign w:val="baseline"/>
        </w:rPr>
        <w:tab/>
      </w:r>
      <w:r w:rsidRPr="007817A7">
        <w:t>Ancien titre de l</w:t>
      </w:r>
      <w:r>
        <w:t>’</w:t>
      </w:r>
      <w:r w:rsidRPr="007817A7">
        <w:t>Accor</w:t>
      </w:r>
      <w:r>
        <w:t>d :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80" w:rsidRPr="003E3861" w:rsidRDefault="003E3861">
    <w:pPr>
      <w:pStyle w:val="Header"/>
      <w:rPr>
        <w:lang w:val="en-GB"/>
      </w:rPr>
    </w:pPr>
    <w:r>
      <w:fldChar w:fldCharType="begin"/>
    </w:r>
    <w:r w:rsidRPr="003E3861">
      <w:rPr>
        <w:lang w:val="en-GB"/>
      </w:rPr>
      <w:instrText xml:space="preserve"> TITLE  \* MERGEFORMAT </w:instrText>
    </w:r>
    <w:r>
      <w:fldChar w:fldCharType="separate"/>
    </w:r>
    <w:r w:rsidR="009F2480" w:rsidRPr="003E3861">
      <w:rPr>
        <w:lang w:val="en-GB"/>
      </w:rPr>
      <w:t>E/ECE/324/Rev.1/Add.91/Rev.1/Amend.1</w:t>
    </w:r>
    <w:r>
      <w:fldChar w:fldCharType="end"/>
    </w:r>
    <w:r w:rsidR="009F2480" w:rsidRPr="003E3861">
      <w:rPr>
        <w:lang w:val="en-GB"/>
      </w:rPr>
      <w:br/>
    </w:r>
    <w:r>
      <w:fldChar w:fldCharType="begin"/>
    </w:r>
    <w:r w:rsidRPr="003E3861">
      <w:rPr>
        <w:lang w:val="en-GB"/>
      </w:rPr>
      <w:instrText xml:space="preserve"> KEYWORDS  \* M</w:instrText>
    </w:r>
    <w:r w:rsidRPr="003E3861">
      <w:rPr>
        <w:lang w:val="en-GB"/>
      </w:rPr>
      <w:instrText xml:space="preserve">ERGEFORMAT </w:instrText>
    </w:r>
    <w:r>
      <w:fldChar w:fldCharType="separate"/>
    </w:r>
    <w:r w:rsidR="009F2480" w:rsidRPr="003E3861">
      <w:rPr>
        <w:lang w:val="en-GB"/>
      </w:rPr>
      <w:t>E/ECE/TRANS/505/Rev.1/Add.91/Rev.1/Amend.1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80" w:rsidRPr="003E3861" w:rsidRDefault="003E3861" w:rsidP="009F2480">
    <w:pPr>
      <w:pStyle w:val="Header"/>
      <w:jc w:val="right"/>
      <w:rPr>
        <w:lang w:val="en-GB"/>
      </w:rPr>
    </w:pPr>
    <w:r>
      <w:fldChar w:fldCharType="begin"/>
    </w:r>
    <w:r w:rsidRPr="003E3861">
      <w:rPr>
        <w:lang w:val="en-GB"/>
      </w:rPr>
      <w:instrText xml:space="preserve"> TITLE  \* MERGEFORMAT </w:instrText>
    </w:r>
    <w:r>
      <w:fldChar w:fldCharType="separate"/>
    </w:r>
    <w:r w:rsidR="009F2480" w:rsidRPr="003E3861">
      <w:rPr>
        <w:lang w:val="en-GB"/>
      </w:rPr>
      <w:t>E/ECE/324/Rev.1/Add.91/Rev.1/Amend.1</w:t>
    </w:r>
    <w:r>
      <w:fldChar w:fldCharType="end"/>
    </w:r>
    <w:r w:rsidR="009F2480" w:rsidRPr="003E3861">
      <w:rPr>
        <w:lang w:val="en-GB"/>
      </w:rPr>
      <w:br/>
    </w:r>
    <w:r>
      <w:fldChar w:fldCharType="begin"/>
    </w:r>
    <w:r w:rsidRPr="003E3861">
      <w:rPr>
        <w:lang w:val="en-GB"/>
      </w:rPr>
      <w:instrText xml:space="preserve"> KEYWORDS  \* MERGEFORMAT </w:instrText>
    </w:r>
    <w:r>
      <w:fldChar w:fldCharType="separate"/>
    </w:r>
    <w:r w:rsidR="009F2480" w:rsidRPr="003E3861">
      <w:rPr>
        <w:lang w:val="en-GB"/>
      </w:rPr>
      <w:t>E/ECE/TRANS/505/Rev.1/Add.91/Rev.1/Amend.1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fr-CH"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F4"/>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9E5"/>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77AC1"/>
    <w:rsid w:val="0038047C"/>
    <w:rsid w:val="00390EEF"/>
    <w:rsid w:val="00394410"/>
    <w:rsid w:val="003976D5"/>
    <w:rsid w:val="003B53B6"/>
    <w:rsid w:val="003D6C68"/>
    <w:rsid w:val="003E01D0"/>
    <w:rsid w:val="003E3861"/>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7C9"/>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3F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21F4"/>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480"/>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45D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C7E3E"/>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character" w:customStyle="1" w:styleId="H1GChar">
    <w:name w:val="_ H_1_G Char"/>
    <w:link w:val="H1G"/>
    <w:rsid w:val="009F2480"/>
    <w:rPr>
      <w:rFonts w:eastAsiaTheme="minorHAnsi"/>
      <w:b/>
      <w:sz w:val="24"/>
      <w:lang w:val="fr-CH"/>
    </w:rPr>
  </w:style>
  <w:style w:type="character" w:customStyle="1" w:styleId="HChGChar">
    <w:name w:val="_ H _Ch_G Char"/>
    <w:link w:val="HChG"/>
    <w:rsid w:val="009F2480"/>
    <w:rPr>
      <w:rFonts w:eastAsiaTheme="minorHAnsi"/>
      <w:b/>
      <w:sz w:val="28"/>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endnote reference" w:qFormat="1"/>
    <w:lsdException w:name="endnote text"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qFormat/>
    <w:rsid w:val="0048687D"/>
    <w:pPr>
      <w:outlineLvl w:val="1"/>
    </w:pPr>
  </w:style>
  <w:style w:type="paragraph" w:styleId="Heading3">
    <w:name w:val="heading 3"/>
    <w:basedOn w:val="Normal"/>
    <w:next w:val="Normal"/>
    <w:link w:val="Heading3Char"/>
    <w:qFormat/>
    <w:rsid w:val="0048687D"/>
    <w:pPr>
      <w:outlineLvl w:val="2"/>
    </w:pPr>
  </w:style>
  <w:style w:type="paragraph" w:styleId="Heading4">
    <w:name w:val="heading 4"/>
    <w:basedOn w:val="Normal"/>
    <w:next w:val="Normal"/>
    <w:link w:val="Heading4Char"/>
    <w:qFormat/>
    <w:rsid w:val="0048687D"/>
    <w:pPr>
      <w:outlineLvl w:val="3"/>
    </w:pPr>
  </w:style>
  <w:style w:type="paragraph" w:styleId="Heading5">
    <w:name w:val="heading 5"/>
    <w:basedOn w:val="Normal"/>
    <w:next w:val="Normal"/>
    <w:link w:val="Heading5Char"/>
    <w:qFormat/>
    <w:rsid w:val="0048687D"/>
    <w:pPr>
      <w:outlineLvl w:val="4"/>
    </w:pPr>
  </w:style>
  <w:style w:type="paragraph" w:styleId="Heading6">
    <w:name w:val="heading 6"/>
    <w:basedOn w:val="Normal"/>
    <w:next w:val="Normal"/>
    <w:link w:val="Heading6Char"/>
    <w:qFormat/>
    <w:rsid w:val="0048687D"/>
    <w:pPr>
      <w:outlineLvl w:val="5"/>
    </w:pPr>
  </w:style>
  <w:style w:type="paragraph" w:styleId="Heading7">
    <w:name w:val="heading 7"/>
    <w:basedOn w:val="Normal"/>
    <w:next w:val="Normal"/>
    <w:link w:val="Heading7Char"/>
    <w:qFormat/>
    <w:rsid w:val="0048687D"/>
    <w:pPr>
      <w:outlineLvl w:val="6"/>
    </w:pPr>
  </w:style>
  <w:style w:type="paragraph" w:styleId="Heading8">
    <w:name w:val="heading 8"/>
    <w:basedOn w:val="Normal"/>
    <w:next w:val="Normal"/>
    <w:link w:val="Heading8Char"/>
    <w:qFormat/>
    <w:rsid w:val="0048687D"/>
    <w:pPr>
      <w:outlineLvl w:val="7"/>
    </w:pPr>
  </w:style>
  <w:style w:type="paragraph" w:styleId="Heading9">
    <w:name w:val="heading 9"/>
    <w:basedOn w:val="Normal"/>
    <w:next w:val="Normal"/>
    <w:link w:val="Heading9Char"/>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styleId="BalloonText">
    <w:name w:val="Balloon Text"/>
    <w:basedOn w:val="Normal"/>
    <w:link w:val="BalloonTextChar"/>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42E31"/>
    <w:rPr>
      <w:rFonts w:ascii="Tahoma" w:eastAsiaTheme="minorHAnsi" w:hAnsi="Tahoma" w:cs="Tahoma"/>
      <w:sz w:val="16"/>
      <w:szCs w:val="16"/>
      <w:lang w:val="fr-CH"/>
    </w:rPr>
  </w:style>
  <w:style w:type="character" w:customStyle="1" w:styleId="H1GChar">
    <w:name w:val="_ H_1_G Char"/>
    <w:link w:val="H1G"/>
    <w:rsid w:val="009F2480"/>
    <w:rPr>
      <w:rFonts w:eastAsiaTheme="minorHAnsi"/>
      <w:b/>
      <w:sz w:val="24"/>
      <w:lang w:val="fr-CH"/>
    </w:rPr>
  </w:style>
  <w:style w:type="character" w:customStyle="1" w:styleId="HChGChar">
    <w:name w:val="_ H _Ch_G Char"/>
    <w:link w:val="HChG"/>
    <w:rsid w:val="009F2480"/>
    <w:rPr>
      <w:rFonts w:eastAsiaTheme="minorHAnsi"/>
      <w:b/>
      <w:sz w:val="2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1363</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E/ECE/324/Rev.1/Add.91/Rev.1/Amend.1</vt:lpstr>
      <vt:lpstr>E/ECE/324/Rev.1/Add.91/Rev.1/Amend.1</vt:lpstr>
    </vt:vector>
  </TitlesOfParts>
  <Company>CSD</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E/ECE/324/Rev.1/Add.91/Rev.1/Amend.1</dc:title>
  <dc:creator>Morin</dc:creator>
  <cp:keywords>E/ECE/TRANS/505/Rev.1/Add.91/Rev.1/Amend.1</cp:keywords>
  <cp:lastModifiedBy>Benedicte Boudol</cp:lastModifiedBy>
  <cp:revision>2</cp:revision>
  <cp:lastPrinted>2008-11-04T15:54:00Z</cp:lastPrinted>
  <dcterms:created xsi:type="dcterms:W3CDTF">2017-05-01T11:46:00Z</dcterms:created>
  <dcterms:modified xsi:type="dcterms:W3CDTF">2017-05-01T11:46:00Z</dcterms:modified>
</cp:coreProperties>
</file>